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2"/>
        <w:rPr>
          <w:sz w:val="20"/>
        </w:rPr>
      </w:pPr>
    </w:p>
    <w:p>
      <w:pPr>
        <w:pStyle w:val="BodyText"/>
        <w:ind w:left="1956"/>
        <w:rPr>
          <w:sz w:val="20"/>
        </w:rPr>
      </w:pPr>
      <w:r>
        <w:rPr>
          <w:sz w:val="20"/>
        </w:rPr>
        <w:drawing>
          <wp:inline distT="0" distB="0" distL="0" distR="0">
            <wp:extent cx="2922937" cy="3030378"/>
            <wp:effectExtent l="0" t="0" r="0" b="0"/>
            <wp:docPr id="1" name="Image 1"/>
            <wp:cNvGraphicFramePr>
              <a:graphicFrameLocks/>
            </wp:cNvGraphicFramePr>
            <a:graphic>
              <a:graphicData uri="http://schemas.openxmlformats.org/drawingml/2006/picture">
                <pic:pic>
                  <pic:nvPicPr>
                    <pic:cNvPr id="1" name="Image 1"/>
                    <pic:cNvPicPr/>
                  </pic:nvPicPr>
                  <pic:blipFill>
                    <a:blip r:embed="rId6" cstate="print"/>
                    <a:stretch>
                      <a:fillRect/>
                    </a:stretch>
                  </pic:blipFill>
                  <pic:spPr>
                    <a:xfrm>
                      <a:off x="0" y="0"/>
                      <a:ext cx="2922937" cy="3030378"/>
                    </a:xfrm>
                    <a:prstGeom prst="rect">
                      <a:avLst/>
                    </a:prstGeom>
                  </pic:spPr>
                </pic:pic>
              </a:graphicData>
            </a:graphic>
          </wp:inline>
        </w:drawing>
      </w:r>
      <w:r>
        <w:rPr>
          <w:sz w:val="20"/>
        </w:rPr>
      </w:r>
    </w:p>
    <w:p>
      <w:pPr>
        <w:spacing w:before="8"/>
        <w:ind w:left="1977" w:right="0" w:firstLine="0"/>
        <w:jc w:val="left"/>
        <w:rPr>
          <w:i/>
          <w:sz w:val="24"/>
        </w:rPr>
      </w:pPr>
      <w:r>
        <w:rPr>
          <w:i/>
          <w:spacing w:val="-4"/>
          <w:sz w:val="24"/>
        </w:rPr>
        <w:t>Trimestrale</w:t>
      </w:r>
      <w:r>
        <w:rPr>
          <w:i/>
          <w:sz w:val="24"/>
        </w:rPr>
        <w:t> </w:t>
      </w:r>
      <w:r>
        <w:rPr>
          <w:i/>
          <w:spacing w:val="-4"/>
          <w:sz w:val="24"/>
        </w:rPr>
        <w:t>diretto</w:t>
      </w:r>
      <w:r>
        <w:rPr>
          <w:i/>
          <w:spacing w:val="-2"/>
          <w:sz w:val="24"/>
        </w:rPr>
        <w:t> </w:t>
      </w:r>
      <w:r>
        <w:rPr>
          <w:i/>
          <w:spacing w:val="-4"/>
          <w:sz w:val="24"/>
        </w:rPr>
        <w:t>da</w:t>
      </w:r>
      <w:r>
        <w:rPr>
          <w:i/>
          <w:spacing w:val="-2"/>
          <w:sz w:val="24"/>
        </w:rPr>
        <w:t> </w:t>
      </w:r>
      <w:r>
        <w:rPr>
          <w:i/>
          <w:spacing w:val="-4"/>
          <w:sz w:val="24"/>
        </w:rPr>
        <w:t>Fausto</w:t>
      </w:r>
      <w:r>
        <w:rPr>
          <w:i/>
          <w:spacing w:val="-2"/>
          <w:sz w:val="24"/>
        </w:rPr>
        <w:t> </w:t>
      </w:r>
      <w:r>
        <w:rPr>
          <w:i/>
          <w:spacing w:val="-4"/>
          <w:sz w:val="24"/>
        </w:rPr>
        <w:t>Capelli</w:t>
      </w:r>
    </w:p>
    <w:p>
      <w:pPr>
        <w:pStyle w:val="BodyText"/>
        <w:rPr>
          <w:i/>
        </w:rPr>
      </w:pPr>
    </w:p>
    <w:p>
      <w:pPr>
        <w:pStyle w:val="BodyText"/>
        <w:rPr>
          <w:i/>
        </w:rPr>
      </w:pPr>
    </w:p>
    <w:p>
      <w:pPr>
        <w:pStyle w:val="BodyText"/>
        <w:spacing w:before="149"/>
        <w:rPr>
          <w:i/>
        </w:rPr>
      </w:pPr>
    </w:p>
    <w:p>
      <w:pPr>
        <w:spacing w:before="1"/>
        <w:ind w:left="5" w:right="5" w:firstLine="0"/>
        <w:jc w:val="center"/>
        <w:rPr>
          <w:sz w:val="26"/>
        </w:rPr>
      </w:pPr>
      <w:r>
        <w:rPr>
          <w:smallCaps/>
          <w:sz w:val="26"/>
        </w:rPr>
        <w:t>Enrico</w:t>
      </w:r>
      <w:r>
        <w:rPr>
          <w:smallCaps/>
          <w:spacing w:val="-10"/>
          <w:sz w:val="26"/>
        </w:rPr>
        <w:t> </w:t>
      </w:r>
      <w:r>
        <w:rPr>
          <w:smallCaps/>
          <w:spacing w:val="-2"/>
          <w:sz w:val="26"/>
        </w:rPr>
        <w:t>Traversa</w:t>
      </w:r>
    </w:p>
    <w:p>
      <w:pPr>
        <w:pStyle w:val="BodyText"/>
        <w:spacing w:before="74"/>
        <w:rPr>
          <w:sz w:val="21"/>
        </w:rPr>
      </w:pPr>
    </w:p>
    <w:p>
      <w:pPr>
        <w:spacing w:before="0"/>
        <w:ind w:left="2" w:right="7" w:firstLine="0"/>
        <w:jc w:val="center"/>
        <w:rPr>
          <w:b/>
          <w:sz w:val="24"/>
        </w:rPr>
      </w:pPr>
      <w:r>
        <w:rPr>
          <w:b/>
          <w:sz w:val="24"/>
        </w:rPr>
        <w:t>SECONDA</w:t>
      </w:r>
      <w:r>
        <w:rPr>
          <w:b/>
          <w:spacing w:val="-6"/>
          <w:sz w:val="24"/>
        </w:rPr>
        <w:t> </w:t>
      </w:r>
      <w:r>
        <w:rPr>
          <w:b/>
          <w:sz w:val="24"/>
        </w:rPr>
        <w:t>IMPORTANTE</w:t>
      </w:r>
      <w:r>
        <w:rPr>
          <w:b/>
          <w:spacing w:val="-5"/>
          <w:sz w:val="24"/>
        </w:rPr>
        <w:t> </w:t>
      </w:r>
      <w:r>
        <w:rPr>
          <w:b/>
          <w:sz w:val="24"/>
        </w:rPr>
        <w:t>SENTENZA</w:t>
      </w:r>
      <w:r>
        <w:rPr>
          <w:b/>
          <w:spacing w:val="-7"/>
          <w:sz w:val="24"/>
        </w:rPr>
        <w:t> </w:t>
      </w:r>
      <w:r>
        <w:rPr>
          <w:b/>
          <w:sz w:val="24"/>
        </w:rPr>
        <w:t>DELLA</w:t>
      </w:r>
      <w:r>
        <w:rPr>
          <w:b/>
          <w:spacing w:val="-6"/>
          <w:sz w:val="24"/>
        </w:rPr>
        <w:t> </w:t>
      </w:r>
      <w:r>
        <w:rPr>
          <w:b/>
          <w:spacing w:val="-2"/>
          <w:sz w:val="24"/>
        </w:rPr>
        <w:t>CORTE</w:t>
      </w:r>
    </w:p>
    <w:p>
      <w:pPr>
        <w:spacing w:before="0"/>
        <w:ind w:left="733" w:right="735" w:firstLine="1"/>
        <w:jc w:val="center"/>
        <w:rPr>
          <w:b/>
          <w:sz w:val="24"/>
        </w:rPr>
      </w:pPr>
      <w:r>
        <w:rPr>
          <w:b/>
          <w:sz w:val="24"/>
        </w:rPr>
        <w:t>DI</w:t>
      </w:r>
      <w:r>
        <w:rPr>
          <w:b/>
          <w:spacing w:val="-5"/>
          <w:sz w:val="24"/>
        </w:rPr>
        <w:t> </w:t>
      </w:r>
      <w:r>
        <w:rPr>
          <w:b/>
          <w:sz w:val="24"/>
        </w:rPr>
        <w:t>GIUSTIZIA</w:t>
      </w:r>
      <w:r>
        <w:rPr>
          <w:b/>
          <w:spacing w:val="-1"/>
          <w:sz w:val="24"/>
        </w:rPr>
        <w:t> </w:t>
      </w:r>
      <w:r>
        <w:rPr>
          <w:b/>
          <w:sz w:val="24"/>
        </w:rPr>
        <w:t>UE</w:t>
      </w:r>
      <w:r>
        <w:rPr>
          <w:b/>
          <w:spacing w:val="-3"/>
          <w:sz w:val="24"/>
        </w:rPr>
        <w:t> </w:t>
      </w:r>
      <w:r>
        <w:rPr>
          <w:b/>
          <w:sz w:val="24"/>
        </w:rPr>
        <w:t>(CAUSA</w:t>
      </w:r>
      <w:r>
        <w:rPr>
          <w:b/>
          <w:spacing w:val="-1"/>
          <w:sz w:val="24"/>
        </w:rPr>
        <w:t> </w:t>
      </w:r>
      <w:r>
        <w:rPr>
          <w:b/>
          <w:sz w:val="24"/>
        </w:rPr>
        <w:t>N.</w:t>
      </w:r>
      <w:r>
        <w:rPr>
          <w:b/>
          <w:spacing w:val="-3"/>
          <w:sz w:val="24"/>
        </w:rPr>
        <w:t> </w:t>
      </w:r>
      <w:r>
        <w:rPr>
          <w:b/>
          <w:sz w:val="24"/>
        </w:rPr>
        <w:t>C-292/23)</w:t>
      </w:r>
      <w:r>
        <w:rPr>
          <w:b/>
          <w:spacing w:val="-3"/>
          <w:sz w:val="24"/>
        </w:rPr>
        <w:t> </w:t>
      </w:r>
      <w:r>
        <w:rPr>
          <w:b/>
          <w:sz w:val="24"/>
        </w:rPr>
        <w:t>AVENTE</w:t>
      </w:r>
      <w:r>
        <w:rPr>
          <w:b/>
          <w:spacing w:val="-3"/>
          <w:sz w:val="24"/>
        </w:rPr>
        <w:t> </w:t>
      </w:r>
      <w:r>
        <w:rPr>
          <w:b/>
          <w:sz w:val="24"/>
        </w:rPr>
        <w:t>AD</w:t>
      </w:r>
      <w:r>
        <w:rPr>
          <w:b/>
          <w:spacing w:val="-5"/>
          <w:sz w:val="24"/>
        </w:rPr>
        <w:t> </w:t>
      </w:r>
      <w:r>
        <w:rPr>
          <w:b/>
          <w:sz w:val="24"/>
        </w:rPr>
        <w:t>OGGETTO L’INTERPRETAZIONE</w:t>
      </w:r>
      <w:r>
        <w:rPr>
          <w:b/>
          <w:spacing w:val="-8"/>
          <w:sz w:val="24"/>
        </w:rPr>
        <w:t> </w:t>
      </w:r>
      <w:r>
        <w:rPr>
          <w:b/>
          <w:sz w:val="24"/>
        </w:rPr>
        <w:t>DEL</w:t>
      </w:r>
      <w:r>
        <w:rPr>
          <w:b/>
          <w:spacing w:val="-8"/>
          <w:sz w:val="24"/>
        </w:rPr>
        <w:t> </w:t>
      </w:r>
      <w:r>
        <w:rPr>
          <w:b/>
          <w:sz w:val="24"/>
        </w:rPr>
        <w:t>REGOLAMENTO</w:t>
      </w:r>
      <w:r>
        <w:rPr>
          <w:b/>
          <w:spacing w:val="-8"/>
          <w:sz w:val="24"/>
        </w:rPr>
        <w:t> </w:t>
      </w:r>
      <w:r>
        <w:rPr>
          <w:b/>
          <w:sz w:val="24"/>
        </w:rPr>
        <w:t>(UE)</w:t>
      </w:r>
      <w:r>
        <w:rPr>
          <w:b/>
          <w:spacing w:val="-8"/>
          <w:sz w:val="24"/>
        </w:rPr>
        <w:t> </w:t>
      </w:r>
      <w:r>
        <w:rPr>
          <w:b/>
          <w:sz w:val="24"/>
        </w:rPr>
        <w:t>N.</w:t>
      </w:r>
      <w:r>
        <w:rPr>
          <w:b/>
          <w:spacing w:val="-8"/>
          <w:sz w:val="24"/>
        </w:rPr>
        <w:t> </w:t>
      </w:r>
      <w:r>
        <w:rPr>
          <w:b/>
          <w:sz w:val="24"/>
        </w:rPr>
        <w:t>2017/1939 ISTITUTIVO DELLA PROCURA EUROPEA (EPPO)</w:t>
      </w:r>
    </w:p>
    <w:p>
      <w:pPr>
        <w:pStyle w:val="BodyText"/>
        <w:rPr>
          <w:b/>
        </w:rPr>
      </w:pPr>
    </w:p>
    <w:p>
      <w:pPr>
        <w:pStyle w:val="BodyText"/>
        <w:spacing w:before="172"/>
        <w:rPr>
          <w:b/>
        </w:rPr>
      </w:pPr>
    </w:p>
    <w:p>
      <w:pPr>
        <w:pStyle w:val="BodyText"/>
        <w:ind w:left="5" w:right="5"/>
        <w:jc w:val="center"/>
      </w:pPr>
      <w:r>
        <w:rPr/>
        <w:t>Estratto</w:t>
      </w:r>
      <w:r>
        <w:rPr>
          <w:spacing w:val="4"/>
        </w:rPr>
        <w:t> </w:t>
      </w:r>
      <w:r>
        <w:rPr>
          <w:spacing w:val="-5"/>
        </w:rPr>
        <w:t>dal</w:t>
      </w:r>
    </w:p>
    <w:p>
      <w:pPr>
        <w:pStyle w:val="BodyText"/>
        <w:spacing w:line="624" w:lineRule="auto" w:before="9"/>
        <w:ind w:left="2401" w:right="2403"/>
        <w:jc w:val="center"/>
      </w:pPr>
      <w:r>
        <w:rPr/>
        <w:t>fascicolo</w:t>
      </w:r>
      <w:r>
        <w:rPr>
          <w:spacing w:val="-9"/>
        </w:rPr>
        <w:t> </w:t>
      </w:r>
      <w:r>
        <w:rPr/>
        <w:t>n.</w:t>
      </w:r>
      <w:r>
        <w:rPr>
          <w:spacing w:val="-8"/>
        </w:rPr>
        <w:t> </w:t>
      </w:r>
      <w:r>
        <w:rPr/>
        <w:t>1-2/2025</w:t>
      </w:r>
      <w:r>
        <w:rPr>
          <w:spacing w:val="-9"/>
        </w:rPr>
        <w:t> </w:t>
      </w:r>
      <w:r>
        <w:rPr/>
        <w:t>della</w:t>
      </w:r>
      <w:r>
        <w:rPr>
          <w:spacing w:val="-8"/>
        </w:rPr>
        <w:t> </w:t>
      </w:r>
      <w:r>
        <w:rPr/>
        <w:t>Rivista ISSN 0391-6111</w:t>
      </w:r>
    </w:p>
    <w:p>
      <w:pPr>
        <w:pStyle w:val="Heading1"/>
        <w:spacing w:before="73"/>
        <w:ind w:left="7" w:right="5" w:firstLine="0"/>
        <w:jc w:val="center"/>
      </w:pPr>
      <w:r>
        <w:rPr/>
        <w:t>Editoriale</w:t>
      </w:r>
      <w:r>
        <w:rPr>
          <w:spacing w:val="-1"/>
        </w:rPr>
        <w:t> </w:t>
      </w:r>
      <w:r>
        <w:rPr/>
        <w:t>Scientifica -</w:t>
      </w:r>
      <w:r>
        <w:rPr>
          <w:spacing w:val="-1"/>
        </w:rPr>
        <w:t> </w:t>
      </w:r>
      <w:r>
        <w:rPr>
          <w:spacing w:val="-2"/>
        </w:rPr>
        <w:t>Napoli</w:t>
      </w:r>
    </w:p>
    <w:p>
      <w:pPr>
        <w:spacing w:after="0"/>
        <w:jc w:val="center"/>
        <w:sectPr>
          <w:footerReference w:type="default" r:id="rId5"/>
          <w:type w:val="continuous"/>
          <w:pgSz w:w="11910" w:h="16840"/>
          <w:pgMar w:header="0" w:footer="0" w:top="1920" w:bottom="280" w:left="1680" w:right="1680"/>
          <w:pgNumType w:start="113"/>
        </w:sectPr>
      </w:pPr>
    </w:p>
    <w:p>
      <w:pPr>
        <w:pStyle w:val="BodyText"/>
        <w:rPr>
          <w:b/>
          <w:sz w:val="28"/>
        </w:rPr>
      </w:pPr>
    </w:p>
    <w:p>
      <w:pPr>
        <w:pStyle w:val="BodyText"/>
        <w:rPr>
          <w:b/>
          <w:sz w:val="28"/>
        </w:rPr>
      </w:pPr>
    </w:p>
    <w:p>
      <w:pPr>
        <w:pStyle w:val="BodyText"/>
        <w:spacing w:before="161"/>
        <w:rPr>
          <w:b/>
          <w:sz w:val="28"/>
        </w:rPr>
      </w:pPr>
    </w:p>
    <w:p>
      <w:pPr>
        <w:pStyle w:val="Title"/>
        <w:ind w:left="4"/>
      </w:pPr>
      <w:r>
        <w:rPr/>
        <w:t>DIRITTO</w:t>
      </w:r>
      <w:r>
        <w:rPr>
          <w:spacing w:val="-4"/>
        </w:rPr>
        <w:t> </w:t>
      </w:r>
      <w:r>
        <w:rPr>
          <w:spacing w:val="-2"/>
        </w:rPr>
        <w:t>COMUNITARIO</w:t>
      </w:r>
    </w:p>
    <w:p>
      <w:pPr>
        <w:pStyle w:val="Title"/>
        <w:spacing w:before="70"/>
        <w:ind w:right="6"/>
      </w:pPr>
      <w:r>
        <w:rPr/>
        <w:t>E</w:t>
      </w:r>
      <w:r>
        <w:rPr>
          <w:spacing w:val="-1"/>
        </w:rPr>
        <w:t> </w:t>
      </w:r>
      <w:r>
        <w:rPr/>
        <w:t>DEGLI</w:t>
      </w:r>
      <w:r>
        <w:rPr>
          <w:spacing w:val="-2"/>
        </w:rPr>
        <w:t> </w:t>
      </w:r>
      <w:r>
        <w:rPr/>
        <w:t>SCAMBI</w:t>
      </w:r>
      <w:r>
        <w:rPr>
          <w:spacing w:val="-2"/>
        </w:rPr>
        <w:t> INTERNAZIONALI</w:t>
      </w:r>
    </w:p>
    <w:p>
      <w:pPr>
        <w:spacing w:line="228" w:lineRule="auto" w:before="315"/>
        <w:ind w:left="673" w:right="667" w:firstLine="396"/>
        <w:jc w:val="both"/>
        <w:rPr>
          <w:i/>
          <w:sz w:val="24"/>
        </w:rPr>
      </w:pPr>
      <w:r>
        <w:rPr/>
        <mc:AlternateContent>
          <mc:Choice Requires="wps">
            <w:drawing>
              <wp:anchor distT="0" distB="0" distL="0" distR="0" allowOverlap="1" layoutInCell="1" locked="0" behindDoc="1" simplePos="0" relativeHeight="487371776">
                <wp:simplePos x="0" y="0"/>
                <wp:positionH relativeFrom="page">
                  <wp:posOffset>1443037</wp:posOffset>
                </wp:positionH>
                <wp:positionV relativeFrom="paragraph">
                  <wp:posOffset>197889</wp:posOffset>
                </wp:positionV>
                <wp:extent cx="4700905" cy="6210300"/>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4700905" cy="6210300"/>
                          <a:chExt cx="4700905" cy="6210300"/>
                        </a:xfrm>
                      </wpg:grpSpPr>
                      <wps:wsp>
                        <wps:cNvPr id="3" name="Graphic 3"/>
                        <wps:cNvSpPr/>
                        <wps:spPr>
                          <a:xfrm>
                            <a:off x="3382073" y="5315267"/>
                            <a:ext cx="38100" cy="7620"/>
                          </a:xfrm>
                          <a:custGeom>
                            <a:avLst/>
                            <a:gdLst/>
                            <a:ahLst/>
                            <a:cxnLst/>
                            <a:rect l="l" t="t" r="r" b="b"/>
                            <a:pathLst>
                              <a:path w="38100" h="7620">
                                <a:moveTo>
                                  <a:pt x="38100" y="0"/>
                                </a:moveTo>
                                <a:lnTo>
                                  <a:pt x="0" y="0"/>
                                </a:lnTo>
                                <a:lnTo>
                                  <a:pt x="0" y="7619"/>
                                </a:lnTo>
                                <a:lnTo>
                                  <a:pt x="38100" y="7619"/>
                                </a:lnTo>
                                <a:lnTo>
                                  <a:pt x="38100" y="0"/>
                                </a:lnTo>
                                <a:close/>
                              </a:path>
                            </a:pathLst>
                          </a:custGeom>
                          <a:solidFill>
                            <a:srgbClr val="000000"/>
                          </a:solidFill>
                        </wps:spPr>
                        <wps:bodyPr wrap="square" lIns="0" tIns="0" rIns="0" bIns="0" rtlCol="0">
                          <a:prstTxWarp prst="textNoShape">
                            <a:avLst/>
                          </a:prstTxWarp>
                          <a:noAutofit/>
                        </wps:bodyPr>
                      </wps:wsp>
                      <wps:wsp>
                        <wps:cNvPr id="4" name="Graphic 4"/>
                        <wps:cNvSpPr/>
                        <wps:spPr>
                          <a:xfrm>
                            <a:off x="4762" y="4762"/>
                            <a:ext cx="4691380" cy="6200775"/>
                          </a:xfrm>
                          <a:custGeom>
                            <a:avLst/>
                            <a:gdLst/>
                            <a:ahLst/>
                            <a:cxnLst/>
                            <a:rect l="l" t="t" r="r" b="b"/>
                            <a:pathLst>
                              <a:path w="4691380" h="6200775">
                                <a:moveTo>
                                  <a:pt x="0" y="6200775"/>
                                </a:moveTo>
                                <a:lnTo>
                                  <a:pt x="4691380" y="6200775"/>
                                </a:lnTo>
                                <a:lnTo>
                                  <a:pt x="4691380" y="0"/>
                                </a:lnTo>
                                <a:lnTo>
                                  <a:pt x="0" y="0"/>
                                </a:lnTo>
                                <a:lnTo>
                                  <a:pt x="0" y="62007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13.625pt;margin-top:15.581836pt;width:370.15pt;height:489pt;mso-position-horizontal-relative:page;mso-position-vertical-relative:paragraph;z-index:-15944704" id="docshapegroup1" coordorigin="2273,312" coordsize="7403,9780">
                <v:rect style="position:absolute;left:7598;top:8682;width:60;height:12" id="docshape2" filled="true" fillcolor="#000000" stroked="false">
                  <v:fill type="solid"/>
                </v:rect>
                <v:rect style="position:absolute;left:2280;top:319;width:7388;height:9765" id="docshape3" filled="false" stroked="true" strokeweight=".75pt" strokecolor="#000000">
                  <v:stroke dashstyle="solid"/>
                </v:rect>
                <w10:wrap type="none"/>
              </v:group>
            </w:pict>
          </mc:Fallback>
        </mc:AlternateContent>
      </w:r>
      <w:r>
        <w:rPr>
          <w:i/>
          <w:sz w:val="24"/>
        </w:rPr>
        <w:t>La Rivista </w:t>
      </w:r>
      <w:r>
        <w:rPr>
          <w:b/>
          <w:sz w:val="24"/>
        </w:rPr>
        <w:t>«Diritto comunitario e degli scambi internazionali»</w:t>
      </w:r>
      <w:r>
        <w:rPr>
          <w:i/>
          <w:sz w:val="24"/>
        </w:rPr>
        <w:t>,</w:t>
      </w:r>
      <w:r>
        <w:rPr>
          <w:i/>
          <w:sz w:val="24"/>
        </w:rPr>
        <w:t> fondata nel 1961, è la più antica rivista italiana di diritto europeo. Nel 2011 ha celebrato il suo cinquantesimo anniversario.</w:t>
      </w:r>
    </w:p>
    <w:p>
      <w:pPr>
        <w:spacing w:line="228" w:lineRule="auto" w:before="0"/>
        <w:ind w:left="673" w:right="665" w:firstLine="428"/>
        <w:jc w:val="both"/>
        <w:rPr>
          <w:i/>
          <w:sz w:val="24"/>
        </w:rPr>
      </w:pPr>
      <w:r>
        <w:rPr>
          <w:i/>
          <w:sz w:val="24"/>
        </w:rPr>
        <w:t>Da oltre mezzo secolo tratta sistematicamente le problematiche co-</w:t>
      </w:r>
      <w:r>
        <w:rPr>
          <w:i/>
          <w:sz w:val="24"/>
        </w:rPr>
        <w:t> munitarie e degli scambi internazionali, analizzando in modo approfondi- to, tra l'altro, la giurisprudenza della Corte di giustizia di Lussemburgo e quella dei giudici nazionali (in particolare dei giudici italiani) riferite a tali problematiche.</w:t>
      </w:r>
    </w:p>
    <w:p>
      <w:pPr>
        <w:spacing w:line="225" w:lineRule="auto" w:before="1"/>
        <w:ind w:left="673" w:right="665" w:firstLine="396"/>
        <w:jc w:val="both"/>
        <w:rPr>
          <w:i/>
          <w:sz w:val="24"/>
        </w:rPr>
      </w:pPr>
      <w:r>
        <w:rPr>
          <w:i/>
          <w:sz w:val="24"/>
        </w:rPr>
        <w:t>La Rivista, a differenza di altre testate, mantiene nel tempo la pubbli-</w:t>
      </w:r>
      <w:r>
        <w:rPr>
          <w:i/>
          <w:sz w:val="24"/>
        </w:rPr>
        <w:t> cazione in formato cartaceo.</w:t>
      </w:r>
    </w:p>
    <w:p>
      <w:pPr>
        <w:spacing w:line="228" w:lineRule="auto" w:before="3"/>
        <w:ind w:left="673" w:right="671" w:firstLine="396"/>
        <w:jc w:val="both"/>
        <w:rPr>
          <w:i/>
          <w:sz w:val="24"/>
        </w:rPr>
      </w:pPr>
      <w:r>
        <w:rPr>
          <w:i/>
          <w:sz w:val="24"/>
        </w:rPr>
        <w:t>Sul</w:t>
      </w:r>
      <w:r>
        <w:rPr>
          <w:i/>
          <w:spacing w:val="-7"/>
          <w:sz w:val="24"/>
        </w:rPr>
        <w:t> </w:t>
      </w:r>
      <w:r>
        <w:rPr>
          <w:i/>
          <w:sz w:val="24"/>
        </w:rPr>
        <w:t>sito</w:t>
      </w:r>
      <w:r>
        <w:rPr>
          <w:i/>
          <w:spacing w:val="-7"/>
          <w:sz w:val="24"/>
        </w:rPr>
        <w:t> </w:t>
      </w:r>
      <w:r>
        <w:rPr>
          <w:i/>
          <w:sz w:val="24"/>
        </w:rPr>
        <w:t>internet</w:t>
      </w:r>
      <w:r>
        <w:rPr>
          <w:i/>
          <w:spacing w:val="-4"/>
          <w:sz w:val="24"/>
        </w:rPr>
        <w:t> </w:t>
      </w:r>
      <w:r>
        <w:rPr>
          <w:b/>
          <w:i/>
          <w:sz w:val="24"/>
        </w:rPr>
        <w:t>«</w:t>
      </w:r>
      <w:hyperlink r:id="rId7">
        <w:r>
          <w:rPr>
            <w:b/>
            <w:i/>
            <w:sz w:val="24"/>
          </w:rPr>
          <w:t>www.editorialescientifica.com</w:t>
        </w:r>
      </w:hyperlink>
      <w:r>
        <w:rPr>
          <w:b/>
          <w:i/>
          <w:sz w:val="24"/>
        </w:rPr>
        <w:t>»</w:t>
      </w:r>
      <w:r>
        <w:rPr>
          <w:b/>
          <w:i/>
          <w:spacing w:val="-10"/>
          <w:sz w:val="24"/>
        </w:rPr>
        <w:t> </w:t>
      </w:r>
      <w:r>
        <w:rPr>
          <w:i/>
          <w:sz w:val="24"/>
        </w:rPr>
        <w:t>è</w:t>
      </w:r>
      <w:r>
        <w:rPr>
          <w:i/>
          <w:spacing w:val="-9"/>
          <w:sz w:val="24"/>
        </w:rPr>
        <w:t> </w:t>
      </w:r>
      <w:r>
        <w:rPr>
          <w:i/>
          <w:sz w:val="24"/>
        </w:rPr>
        <w:t>possibile</w:t>
      </w:r>
      <w:r>
        <w:rPr>
          <w:i/>
          <w:spacing w:val="-9"/>
          <w:sz w:val="24"/>
        </w:rPr>
        <w:t> </w:t>
      </w:r>
      <w:r>
        <w:rPr>
          <w:i/>
          <w:sz w:val="24"/>
        </w:rPr>
        <w:t>consulta-</w:t>
      </w:r>
      <w:r>
        <w:rPr>
          <w:i/>
          <w:sz w:val="24"/>
        </w:rPr>
        <w:t> re, gratuitamente, gli indici dei singoli fascicoli e gli indici annuali della Rivista</w:t>
      </w:r>
      <w:r>
        <w:rPr>
          <w:i/>
          <w:spacing w:val="-6"/>
          <w:sz w:val="24"/>
        </w:rPr>
        <w:t> </w:t>
      </w:r>
      <w:r>
        <w:rPr>
          <w:i/>
          <w:sz w:val="24"/>
        </w:rPr>
        <w:t>(dal</w:t>
      </w:r>
      <w:r>
        <w:rPr>
          <w:i/>
          <w:spacing w:val="-3"/>
          <w:sz w:val="24"/>
        </w:rPr>
        <w:t> </w:t>
      </w:r>
      <w:r>
        <w:rPr>
          <w:i/>
          <w:sz w:val="24"/>
        </w:rPr>
        <w:t>2001)</w:t>
      </w:r>
      <w:r>
        <w:rPr>
          <w:i/>
          <w:spacing w:val="-8"/>
          <w:sz w:val="24"/>
        </w:rPr>
        <w:t> </w:t>
      </w:r>
      <w:r>
        <w:rPr>
          <w:i/>
          <w:sz w:val="24"/>
        </w:rPr>
        <w:t>nonché</w:t>
      </w:r>
      <w:r>
        <w:rPr>
          <w:i/>
          <w:spacing w:val="-8"/>
          <w:sz w:val="24"/>
        </w:rPr>
        <w:t> </w:t>
      </w:r>
      <w:r>
        <w:rPr>
          <w:i/>
          <w:sz w:val="24"/>
        </w:rPr>
        <w:t>effettuare</w:t>
      </w:r>
      <w:r>
        <w:rPr>
          <w:i/>
          <w:spacing w:val="-8"/>
          <w:sz w:val="24"/>
        </w:rPr>
        <w:t> </w:t>
      </w:r>
      <w:r>
        <w:rPr>
          <w:i/>
          <w:sz w:val="24"/>
        </w:rPr>
        <w:t>il</w:t>
      </w:r>
      <w:r>
        <w:rPr>
          <w:i/>
          <w:spacing w:val="-5"/>
          <w:sz w:val="24"/>
        </w:rPr>
        <w:t> </w:t>
      </w:r>
      <w:r>
        <w:rPr>
          <w:i/>
          <w:sz w:val="24"/>
        </w:rPr>
        <w:t>relativo</w:t>
      </w:r>
      <w:r>
        <w:rPr>
          <w:i/>
          <w:spacing w:val="-8"/>
          <w:sz w:val="24"/>
        </w:rPr>
        <w:t> </w:t>
      </w:r>
      <w:r>
        <w:rPr>
          <w:sz w:val="24"/>
        </w:rPr>
        <w:t>download</w:t>
      </w:r>
      <w:r>
        <w:rPr>
          <w:spacing w:val="-5"/>
          <w:sz w:val="24"/>
        </w:rPr>
        <w:t> </w:t>
      </w:r>
      <w:r>
        <w:rPr>
          <w:i/>
          <w:sz w:val="24"/>
        </w:rPr>
        <w:t>mediante</w:t>
      </w:r>
      <w:r>
        <w:rPr>
          <w:i/>
          <w:spacing w:val="-8"/>
          <w:sz w:val="24"/>
        </w:rPr>
        <w:t> </w:t>
      </w:r>
      <w:r>
        <w:rPr>
          <w:i/>
          <w:sz w:val="24"/>
        </w:rPr>
        <w:t>accesso</w:t>
      </w:r>
      <w:r>
        <w:rPr>
          <w:i/>
          <w:sz w:val="24"/>
        </w:rPr>
        <w:t> al</w:t>
      </w:r>
      <w:r>
        <w:rPr>
          <w:i/>
          <w:spacing w:val="-2"/>
          <w:sz w:val="24"/>
        </w:rPr>
        <w:t> </w:t>
      </w:r>
      <w:r>
        <w:rPr>
          <w:i/>
          <w:sz w:val="24"/>
        </w:rPr>
        <w:t>predetto sito internet della</w:t>
      </w:r>
      <w:r>
        <w:rPr>
          <w:i/>
          <w:spacing w:val="-4"/>
          <w:sz w:val="24"/>
        </w:rPr>
        <w:t> </w:t>
      </w:r>
      <w:r>
        <w:rPr>
          <w:i/>
          <w:sz w:val="24"/>
        </w:rPr>
        <w:t>Casa Editrice.</w:t>
      </w:r>
    </w:p>
    <w:p>
      <w:pPr>
        <w:spacing w:line="228" w:lineRule="auto" w:before="0"/>
        <w:ind w:left="673" w:right="641" w:firstLine="396"/>
        <w:jc w:val="both"/>
        <w:rPr>
          <w:i/>
          <w:sz w:val="24"/>
        </w:rPr>
      </w:pPr>
      <w:r>
        <w:rPr>
          <w:i/>
          <w:sz w:val="24"/>
        </w:rPr>
        <w:t>Da</w:t>
      </w:r>
      <w:r>
        <w:rPr>
          <w:i/>
          <w:spacing w:val="-2"/>
          <w:sz w:val="24"/>
        </w:rPr>
        <w:t> </w:t>
      </w:r>
      <w:r>
        <w:rPr>
          <w:i/>
          <w:sz w:val="24"/>
        </w:rPr>
        <w:t>tale sito</w:t>
      </w:r>
      <w:r>
        <w:rPr>
          <w:i/>
          <w:spacing w:val="-5"/>
          <w:sz w:val="24"/>
        </w:rPr>
        <w:t> </w:t>
      </w:r>
      <w:r>
        <w:rPr>
          <w:i/>
          <w:sz w:val="24"/>
        </w:rPr>
        <w:t>internet</w:t>
      </w:r>
      <w:r>
        <w:rPr>
          <w:i/>
          <w:spacing w:val="-4"/>
          <w:sz w:val="24"/>
        </w:rPr>
        <w:t> </w:t>
      </w:r>
      <w:r>
        <w:rPr>
          <w:i/>
          <w:sz w:val="24"/>
        </w:rPr>
        <w:t>è</w:t>
      </w:r>
      <w:r>
        <w:rPr>
          <w:i/>
          <w:spacing w:val="-4"/>
          <w:sz w:val="24"/>
        </w:rPr>
        <w:t> </w:t>
      </w:r>
      <w:r>
        <w:rPr>
          <w:i/>
          <w:sz w:val="24"/>
        </w:rPr>
        <w:t>inoltre possibile acquistare:</w:t>
      </w:r>
      <w:r>
        <w:rPr>
          <w:i/>
          <w:spacing w:val="-1"/>
          <w:sz w:val="24"/>
        </w:rPr>
        <w:t> </w:t>
      </w:r>
      <w:r>
        <w:rPr>
          <w:b/>
          <w:i/>
          <w:sz w:val="24"/>
        </w:rPr>
        <w:t>a.</w:t>
      </w:r>
      <w:r>
        <w:rPr>
          <w:b/>
          <w:i/>
          <w:spacing w:val="-5"/>
          <w:sz w:val="24"/>
        </w:rPr>
        <w:t> </w:t>
      </w:r>
      <w:r>
        <w:rPr>
          <w:sz w:val="24"/>
        </w:rPr>
        <w:t>in</w:t>
      </w:r>
      <w:r>
        <w:rPr>
          <w:spacing w:val="-5"/>
          <w:sz w:val="24"/>
        </w:rPr>
        <w:t> </w:t>
      </w:r>
      <w:r>
        <w:rPr>
          <w:sz w:val="24"/>
        </w:rPr>
        <w:t>versione</w:t>
      </w:r>
      <w:r>
        <w:rPr>
          <w:spacing w:val="-4"/>
          <w:sz w:val="24"/>
        </w:rPr>
        <w:t> </w:t>
      </w:r>
      <w:r>
        <w:rPr>
          <w:sz w:val="24"/>
        </w:rPr>
        <w:t>carta- cea </w:t>
      </w:r>
      <w:r>
        <w:rPr>
          <w:i/>
          <w:sz w:val="24"/>
        </w:rPr>
        <w:t>(fino ad esaurimento): i singoli fascicoli della Rivista (disponibili dal</w:t>
      </w:r>
      <w:r>
        <w:rPr>
          <w:i/>
          <w:sz w:val="24"/>
        </w:rPr>
        <w:t> 2012)</w:t>
      </w:r>
      <w:r>
        <w:rPr>
          <w:i/>
          <w:spacing w:val="-8"/>
          <w:sz w:val="24"/>
        </w:rPr>
        <w:t> </w:t>
      </w:r>
      <w:r>
        <w:rPr>
          <w:i/>
          <w:sz w:val="24"/>
        </w:rPr>
        <w:t>e</w:t>
      </w:r>
      <w:r>
        <w:rPr>
          <w:i/>
          <w:spacing w:val="-10"/>
          <w:sz w:val="24"/>
        </w:rPr>
        <w:t> </w:t>
      </w:r>
      <w:r>
        <w:rPr>
          <w:i/>
          <w:sz w:val="24"/>
        </w:rPr>
        <w:t>le</w:t>
      </w:r>
      <w:r>
        <w:rPr>
          <w:i/>
          <w:spacing w:val="-10"/>
          <w:sz w:val="24"/>
        </w:rPr>
        <w:t> </w:t>
      </w:r>
      <w:r>
        <w:rPr>
          <w:i/>
          <w:sz w:val="24"/>
        </w:rPr>
        <w:t>annate</w:t>
      </w:r>
      <w:r>
        <w:rPr>
          <w:i/>
          <w:spacing w:val="-10"/>
          <w:sz w:val="24"/>
        </w:rPr>
        <w:t> </w:t>
      </w:r>
      <w:r>
        <w:rPr>
          <w:i/>
          <w:sz w:val="24"/>
        </w:rPr>
        <w:t>complete</w:t>
      </w:r>
      <w:r>
        <w:rPr>
          <w:i/>
          <w:spacing w:val="-10"/>
          <w:sz w:val="24"/>
        </w:rPr>
        <w:t> </w:t>
      </w:r>
      <w:r>
        <w:rPr>
          <w:i/>
          <w:sz w:val="24"/>
        </w:rPr>
        <w:t>della</w:t>
      </w:r>
      <w:r>
        <w:rPr>
          <w:i/>
          <w:spacing w:val="-12"/>
          <w:sz w:val="24"/>
        </w:rPr>
        <w:t> </w:t>
      </w:r>
      <w:r>
        <w:rPr>
          <w:i/>
          <w:sz w:val="24"/>
        </w:rPr>
        <w:t>Rivista</w:t>
      </w:r>
      <w:r>
        <w:rPr>
          <w:i/>
          <w:spacing w:val="-9"/>
          <w:sz w:val="24"/>
        </w:rPr>
        <w:t> </w:t>
      </w:r>
      <w:r>
        <w:rPr>
          <w:i/>
          <w:sz w:val="24"/>
        </w:rPr>
        <w:t>(disponibili</w:t>
      </w:r>
      <w:r>
        <w:rPr>
          <w:i/>
          <w:spacing w:val="-10"/>
          <w:sz w:val="24"/>
        </w:rPr>
        <w:t> </w:t>
      </w:r>
      <w:r>
        <w:rPr>
          <w:i/>
          <w:sz w:val="24"/>
        </w:rPr>
        <w:t>dal</w:t>
      </w:r>
      <w:r>
        <w:rPr>
          <w:i/>
          <w:spacing w:val="-10"/>
          <w:sz w:val="24"/>
        </w:rPr>
        <w:t> </w:t>
      </w:r>
      <w:r>
        <w:rPr>
          <w:i/>
          <w:sz w:val="24"/>
        </w:rPr>
        <w:t>2012);</w:t>
      </w:r>
      <w:r>
        <w:rPr>
          <w:i/>
          <w:spacing w:val="-8"/>
          <w:sz w:val="24"/>
        </w:rPr>
        <w:t> </w:t>
      </w:r>
      <w:r>
        <w:rPr>
          <w:b/>
          <w:i/>
          <w:sz w:val="24"/>
        </w:rPr>
        <w:t>b.</w:t>
      </w:r>
      <w:r>
        <w:rPr>
          <w:b/>
          <w:i/>
          <w:spacing w:val="-11"/>
          <w:sz w:val="24"/>
        </w:rPr>
        <w:t> </w:t>
      </w:r>
      <w:r>
        <w:rPr>
          <w:sz w:val="24"/>
        </w:rPr>
        <w:t>in</w:t>
      </w:r>
      <w:r>
        <w:rPr>
          <w:spacing w:val="-12"/>
          <w:sz w:val="24"/>
        </w:rPr>
        <w:t> </w:t>
      </w:r>
      <w:r>
        <w:rPr>
          <w:sz w:val="24"/>
        </w:rPr>
        <w:t>versio- ne</w:t>
      </w:r>
      <w:r>
        <w:rPr>
          <w:spacing w:val="-12"/>
          <w:sz w:val="24"/>
        </w:rPr>
        <w:t> </w:t>
      </w:r>
      <w:r>
        <w:rPr>
          <w:sz w:val="24"/>
        </w:rPr>
        <w:t>PDF:</w:t>
      </w:r>
      <w:r>
        <w:rPr>
          <w:spacing w:val="-12"/>
          <w:sz w:val="24"/>
        </w:rPr>
        <w:t> </w:t>
      </w:r>
      <w:r>
        <w:rPr>
          <w:i/>
          <w:sz w:val="24"/>
        </w:rPr>
        <w:t>i</w:t>
      </w:r>
      <w:r>
        <w:rPr>
          <w:i/>
          <w:spacing w:val="-12"/>
          <w:sz w:val="24"/>
        </w:rPr>
        <w:t> </w:t>
      </w:r>
      <w:r>
        <w:rPr>
          <w:i/>
          <w:sz w:val="24"/>
        </w:rPr>
        <w:t>singoli</w:t>
      </w:r>
      <w:r>
        <w:rPr>
          <w:i/>
          <w:spacing w:val="-9"/>
          <w:sz w:val="24"/>
        </w:rPr>
        <w:t> </w:t>
      </w:r>
      <w:r>
        <w:rPr>
          <w:i/>
          <w:sz w:val="24"/>
        </w:rPr>
        <w:t>articoli</w:t>
      </w:r>
      <w:r>
        <w:rPr>
          <w:i/>
          <w:spacing w:val="-12"/>
          <w:sz w:val="24"/>
        </w:rPr>
        <w:t> </w:t>
      </w:r>
      <w:r>
        <w:rPr>
          <w:i/>
          <w:sz w:val="24"/>
        </w:rPr>
        <w:t>della</w:t>
      </w:r>
      <w:r>
        <w:rPr>
          <w:i/>
          <w:spacing w:val="-13"/>
          <w:sz w:val="24"/>
        </w:rPr>
        <w:t> </w:t>
      </w:r>
      <w:r>
        <w:rPr>
          <w:i/>
          <w:sz w:val="24"/>
        </w:rPr>
        <w:t>Rivista</w:t>
      </w:r>
      <w:r>
        <w:rPr>
          <w:i/>
          <w:spacing w:val="-13"/>
          <w:sz w:val="24"/>
        </w:rPr>
        <w:t> </w:t>
      </w:r>
      <w:r>
        <w:rPr>
          <w:i/>
          <w:sz w:val="24"/>
        </w:rPr>
        <w:t>(disponibili</w:t>
      </w:r>
      <w:r>
        <w:rPr>
          <w:i/>
          <w:spacing w:val="-12"/>
          <w:sz w:val="24"/>
        </w:rPr>
        <w:t> </w:t>
      </w:r>
      <w:r>
        <w:rPr>
          <w:i/>
          <w:sz w:val="24"/>
        </w:rPr>
        <w:t>dal</w:t>
      </w:r>
      <w:r>
        <w:rPr>
          <w:i/>
          <w:spacing w:val="-12"/>
          <w:sz w:val="24"/>
        </w:rPr>
        <w:t> </w:t>
      </w:r>
      <w:r>
        <w:rPr>
          <w:i/>
          <w:sz w:val="24"/>
        </w:rPr>
        <w:t>2001);</w:t>
      </w:r>
      <w:r>
        <w:rPr>
          <w:i/>
          <w:spacing w:val="-13"/>
          <w:sz w:val="24"/>
        </w:rPr>
        <w:t> </w:t>
      </w:r>
      <w:r>
        <w:rPr>
          <w:i/>
          <w:sz w:val="24"/>
        </w:rPr>
        <w:t>i</w:t>
      </w:r>
      <w:r>
        <w:rPr>
          <w:i/>
          <w:spacing w:val="-9"/>
          <w:sz w:val="24"/>
        </w:rPr>
        <w:t> </w:t>
      </w:r>
      <w:r>
        <w:rPr>
          <w:i/>
          <w:sz w:val="24"/>
        </w:rPr>
        <w:t>singoli</w:t>
      </w:r>
      <w:r>
        <w:rPr>
          <w:i/>
          <w:spacing w:val="-15"/>
          <w:sz w:val="24"/>
        </w:rPr>
        <w:t> </w:t>
      </w:r>
      <w:r>
        <w:rPr>
          <w:i/>
          <w:sz w:val="24"/>
        </w:rPr>
        <w:t>fasci-</w:t>
      </w:r>
      <w:r>
        <w:rPr>
          <w:i/>
          <w:sz w:val="24"/>
        </w:rPr>
        <w:t> coli della Rivista (disponibili dal 2001); le annate complete della Rivista (disponibili dal 2001).</w:t>
      </w:r>
    </w:p>
    <w:p>
      <w:pPr>
        <w:spacing w:line="230" w:lineRule="auto" w:before="0"/>
        <w:ind w:left="673" w:right="671" w:firstLine="396"/>
        <w:jc w:val="both"/>
        <w:rPr>
          <w:i/>
          <w:sz w:val="24"/>
        </w:rPr>
      </w:pPr>
      <w:r>
        <w:rPr>
          <w:i/>
          <w:sz w:val="24"/>
        </w:rPr>
        <w:t>A partire dal fascicolo n. 1/2012 – per una migliore indicizzazione</w:t>
      </w:r>
      <w:r>
        <w:rPr>
          <w:i/>
          <w:sz w:val="24"/>
        </w:rPr>
        <w:t> della Rivista nelle banche dati internazionali – di ogni contributo viene riportato, nell’indice, il titolo anche in lingua inglese.</w:t>
      </w:r>
    </w:p>
    <w:p>
      <w:pPr>
        <w:spacing w:line="230" w:lineRule="auto" w:before="0"/>
        <w:ind w:left="673" w:right="683" w:firstLine="396"/>
        <w:jc w:val="both"/>
        <w:rPr>
          <w:i/>
          <w:sz w:val="24"/>
        </w:rPr>
      </w:pPr>
      <w:r>
        <w:rPr>
          <w:i/>
          <w:sz w:val="24"/>
        </w:rPr>
        <w:t>Ugualmente viene fornito, al termine di ogni contributo, una sintesi</w:t>
      </w:r>
      <w:r>
        <w:rPr>
          <w:i/>
          <w:sz w:val="24"/>
        </w:rPr>
        <w:t> del medesimo in lingua italiana e in lingua inglese.</w:t>
      </w:r>
    </w:p>
    <w:p>
      <w:pPr>
        <w:spacing w:line="228" w:lineRule="auto" w:before="0"/>
        <w:ind w:left="673" w:right="666" w:firstLine="396"/>
        <w:jc w:val="both"/>
        <w:rPr>
          <w:i/>
          <w:sz w:val="24"/>
        </w:rPr>
      </w:pPr>
      <w:r>
        <w:rPr>
          <w:i/>
          <w:spacing w:val="-4"/>
          <w:sz w:val="24"/>
        </w:rPr>
        <w:t>Nel trimestre ottobre-dicembre 2013</w:t>
      </w:r>
      <w:r>
        <w:rPr>
          <w:i/>
          <w:spacing w:val="-5"/>
          <w:sz w:val="24"/>
        </w:rPr>
        <w:t> </w:t>
      </w:r>
      <w:r>
        <w:rPr>
          <w:i/>
          <w:spacing w:val="-4"/>
          <w:sz w:val="24"/>
        </w:rPr>
        <w:t>sulla</w:t>
      </w:r>
      <w:r>
        <w:rPr>
          <w:i/>
          <w:spacing w:val="-5"/>
          <w:sz w:val="24"/>
        </w:rPr>
        <w:t> </w:t>
      </w:r>
      <w:r>
        <w:rPr>
          <w:i/>
          <w:spacing w:val="-4"/>
          <w:sz w:val="24"/>
        </w:rPr>
        <w:t>Rivista</w:t>
      </w:r>
      <w:r>
        <w:rPr>
          <w:i/>
          <w:spacing w:val="-5"/>
          <w:sz w:val="24"/>
        </w:rPr>
        <w:t> </w:t>
      </w:r>
      <w:r>
        <w:rPr>
          <w:i/>
          <w:spacing w:val="-4"/>
          <w:sz w:val="24"/>
        </w:rPr>
        <w:t>"</w:t>
      </w:r>
      <w:r>
        <w:rPr>
          <w:spacing w:val="-4"/>
          <w:sz w:val="24"/>
        </w:rPr>
        <w:t>Revue trimestrielle de </w:t>
      </w:r>
      <w:r>
        <w:rPr>
          <w:sz w:val="24"/>
        </w:rPr>
        <w:t>droit</w:t>
      </w:r>
      <w:r>
        <w:rPr>
          <w:spacing w:val="-6"/>
          <w:sz w:val="24"/>
        </w:rPr>
        <w:t> </w:t>
      </w:r>
      <w:r>
        <w:rPr>
          <w:sz w:val="24"/>
        </w:rPr>
        <w:t>européen</w:t>
      </w:r>
      <w:r>
        <w:rPr>
          <w:i/>
          <w:sz w:val="24"/>
        </w:rPr>
        <w:t>"</w:t>
      </w:r>
      <w:r>
        <w:rPr>
          <w:i/>
          <w:spacing w:val="-8"/>
          <w:sz w:val="24"/>
        </w:rPr>
        <w:t> </w:t>
      </w:r>
      <w:r>
        <w:rPr>
          <w:i/>
          <w:sz w:val="24"/>
        </w:rPr>
        <w:t>(n.</w:t>
      </w:r>
      <w:r>
        <w:rPr>
          <w:i/>
          <w:spacing w:val="-8"/>
          <w:sz w:val="24"/>
        </w:rPr>
        <w:t> </w:t>
      </w:r>
      <w:r>
        <w:rPr>
          <w:i/>
          <w:sz w:val="24"/>
        </w:rPr>
        <w:t>4/2013)</w:t>
      </w:r>
      <w:r>
        <w:rPr>
          <w:i/>
          <w:spacing w:val="-7"/>
          <w:sz w:val="24"/>
        </w:rPr>
        <w:t> </w:t>
      </w:r>
      <w:r>
        <w:rPr>
          <w:i/>
          <w:sz w:val="24"/>
        </w:rPr>
        <w:t>è</w:t>
      </w:r>
      <w:r>
        <w:rPr>
          <w:i/>
          <w:spacing w:val="-6"/>
          <w:sz w:val="24"/>
        </w:rPr>
        <w:t> </w:t>
      </w:r>
      <w:r>
        <w:rPr>
          <w:i/>
          <w:sz w:val="24"/>
        </w:rPr>
        <w:t>apparso</w:t>
      </w:r>
      <w:r>
        <w:rPr>
          <w:i/>
          <w:spacing w:val="-8"/>
          <w:sz w:val="24"/>
        </w:rPr>
        <w:t> </w:t>
      </w:r>
      <w:r>
        <w:rPr>
          <w:i/>
          <w:sz w:val="24"/>
        </w:rPr>
        <w:t>un</w:t>
      </w:r>
      <w:r>
        <w:rPr>
          <w:i/>
          <w:spacing w:val="-5"/>
          <w:sz w:val="24"/>
        </w:rPr>
        <w:t> </w:t>
      </w:r>
      <w:r>
        <w:rPr>
          <w:i/>
          <w:sz w:val="24"/>
        </w:rPr>
        <w:t>articolo</w:t>
      </w:r>
      <w:r>
        <w:rPr>
          <w:i/>
          <w:spacing w:val="-8"/>
          <w:sz w:val="24"/>
        </w:rPr>
        <w:t> </w:t>
      </w:r>
      <w:r>
        <w:rPr>
          <w:i/>
          <w:sz w:val="24"/>
        </w:rPr>
        <w:t>(p.</w:t>
      </w:r>
      <w:r>
        <w:rPr>
          <w:i/>
          <w:spacing w:val="-8"/>
          <w:sz w:val="24"/>
        </w:rPr>
        <w:t> </w:t>
      </w:r>
      <w:r>
        <w:rPr>
          <w:i/>
          <w:sz w:val="24"/>
        </w:rPr>
        <w:t>781)</w:t>
      </w:r>
      <w:r>
        <w:rPr>
          <w:i/>
          <w:spacing w:val="-7"/>
          <w:sz w:val="24"/>
        </w:rPr>
        <w:t> </w:t>
      </w:r>
      <w:r>
        <w:rPr>
          <w:i/>
          <w:sz w:val="24"/>
        </w:rPr>
        <w:t>dedicato</w:t>
      </w:r>
      <w:r>
        <w:rPr>
          <w:i/>
          <w:spacing w:val="-8"/>
          <w:sz w:val="24"/>
        </w:rPr>
        <w:t> </w:t>
      </w:r>
      <w:r>
        <w:rPr>
          <w:i/>
          <w:sz w:val="24"/>
        </w:rPr>
        <w:t>alle</w:t>
      </w:r>
      <w:r>
        <w:rPr>
          <w:i/>
          <w:spacing w:val="-6"/>
          <w:sz w:val="24"/>
        </w:rPr>
        <w:t> </w:t>
      </w:r>
      <w:r>
        <w:rPr>
          <w:i/>
          <w:sz w:val="24"/>
        </w:rPr>
        <w:t>più</w:t>
      </w:r>
      <w:r>
        <w:rPr>
          <w:i/>
          <w:sz w:val="24"/>
        </w:rPr>
        <w:t> </w:t>
      </w:r>
      <w:r>
        <w:rPr>
          <w:i/>
          <w:spacing w:val="-2"/>
          <w:sz w:val="24"/>
        </w:rPr>
        <w:t>importanti</w:t>
      </w:r>
      <w:r>
        <w:rPr>
          <w:i/>
          <w:spacing w:val="-10"/>
          <w:sz w:val="24"/>
        </w:rPr>
        <w:t> </w:t>
      </w:r>
      <w:r>
        <w:rPr>
          <w:i/>
          <w:spacing w:val="-2"/>
          <w:sz w:val="24"/>
        </w:rPr>
        <w:t>riviste</w:t>
      </w:r>
      <w:r>
        <w:rPr>
          <w:i/>
          <w:spacing w:val="-10"/>
          <w:sz w:val="24"/>
        </w:rPr>
        <w:t> </w:t>
      </w:r>
      <w:r>
        <w:rPr>
          <w:i/>
          <w:spacing w:val="-2"/>
          <w:sz w:val="24"/>
        </w:rPr>
        <w:t>giuridiche</w:t>
      </w:r>
      <w:r>
        <w:rPr>
          <w:i/>
          <w:spacing w:val="-10"/>
          <w:sz w:val="24"/>
        </w:rPr>
        <w:t> </w:t>
      </w:r>
      <w:r>
        <w:rPr>
          <w:i/>
          <w:spacing w:val="-2"/>
          <w:sz w:val="24"/>
        </w:rPr>
        <w:t>di</w:t>
      </w:r>
      <w:r>
        <w:rPr>
          <w:i/>
          <w:spacing w:val="-10"/>
          <w:sz w:val="24"/>
        </w:rPr>
        <w:t> </w:t>
      </w:r>
      <w:r>
        <w:rPr>
          <w:i/>
          <w:spacing w:val="-2"/>
          <w:sz w:val="24"/>
        </w:rPr>
        <w:t>diritto</w:t>
      </w:r>
      <w:r>
        <w:rPr>
          <w:i/>
          <w:spacing w:val="-11"/>
          <w:sz w:val="24"/>
        </w:rPr>
        <w:t> </w:t>
      </w:r>
      <w:r>
        <w:rPr>
          <w:i/>
          <w:spacing w:val="-2"/>
          <w:sz w:val="24"/>
        </w:rPr>
        <w:t>europeo</w:t>
      </w:r>
      <w:r>
        <w:rPr>
          <w:i/>
          <w:spacing w:val="-11"/>
          <w:sz w:val="24"/>
        </w:rPr>
        <w:t> </w:t>
      </w:r>
      <w:r>
        <w:rPr>
          <w:i/>
          <w:spacing w:val="-2"/>
          <w:sz w:val="24"/>
        </w:rPr>
        <w:t>dal</w:t>
      </w:r>
      <w:r>
        <w:rPr>
          <w:i/>
          <w:spacing w:val="-10"/>
          <w:sz w:val="24"/>
        </w:rPr>
        <w:t> </w:t>
      </w:r>
      <w:r>
        <w:rPr>
          <w:i/>
          <w:spacing w:val="-2"/>
          <w:sz w:val="24"/>
        </w:rPr>
        <w:t>titolo:</w:t>
      </w:r>
      <w:r>
        <w:rPr>
          <w:i/>
          <w:spacing w:val="-11"/>
          <w:sz w:val="24"/>
        </w:rPr>
        <w:t> </w:t>
      </w:r>
      <w:r>
        <w:rPr>
          <w:i/>
          <w:spacing w:val="-2"/>
          <w:sz w:val="24"/>
        </w:rPr>
        <w:t>«</w:t>
      </w:r>
      <w:r>
        <w:rPr>
          <w:spacing w:val="-2"/>
          <w:sz w:val="24"/>
        </w:rPr>
        <w:t>Quelles</w:t>
      </w:r>
      <w:r>
        <w:rPr>
          <w:spacing w:val="-12"/>
          <w:sz w:val="24"/>
        </w:rPr>
        <w:t> </w:t>
      </w:r>
      <w:r>
        <w:rPr>
          <w:spacing w:val="-2"/>
          <w:sz w:val="24"/>
        </w:rPr>
        <w:t>sont</w:t>
      </w:r>
      <w:r>
        <w:rPr>
          <w:spacing w:val="-10"/>
          <w:sz w:val="24"/>
        </w:rPr>
        <w:t> </w:t>
      </w:r>
      <w:r>
        <w:rPr>
          <w:spacing w:val="-2"/>
          <w:sz w:val="24"/>
        </w:rPr>
        <w:t>le</w:t>
      </w:r>
      <w:r>
        <w:rPr>
          <w:spacing w:val="-10"/>
          <w:sz w:val="24"/>
        </w:rPr>
        <w:t> </w:t>
      </w:r>
      <w:r>
        <w:rPr>
          <w:spacing w:val="-2"/>
          <w:sz w:val="24"/>
        </w:rPr>
        <w:t>re- </w:t>
      </w:r>
      <w:r>
        <w:rPr>
          <w:sz w:val="24"/>
        </w:rPr>
        <w:t>vue</w:t>
      </w:r>
      <w:r>
        <w:rPr>
          <w:spacing w:val="-15"/>
          <w:sz w:val="24"/>
        </w:rPr>
        <w:t> </w:t>
      </w:r>
      <w:r>
        <w:rPr>
          <w:sz w:val="24"/>
        </w:rPr>
        <w:t>juridiques</w:t>
      </w:r>
      <w:r>
        <w:rPr>
          <w:spacing w:val="-15"/>
          <w:sz w:val="24"/>
        </w:rPr>
        <w:t> </w:t>
      </w:r>
      <w:r>
        <w:rPr>
          <w:sz w:val="24"/>
        </w:rPr>
        <w:t>qui</w:t>
      </w:r>
      <w:r>
        <w:rPr>
          <w:spacing w:val="-15"/>
          <w:sz w:val="24"/>
        </w:rPr>
        <w:t> </w:t>
      </w:r>
      <w:r>
        <w:rPr>
          <w:sz w:val="24"/>
        </w:rPr>
        <w:t>comptent</w:t>
      </w:r>
      <w:r>
        <w:rPr>
          <w:spacing w:val="-15"/>
          <w:sz w:val="24"/>
        </w:rPr>
        <w:t> </w:t>
      </w:r>
      <w:r>
        <w:rPr>
          <w:sz w:val="24"/>
        </w:rPr>
        <w:t>à</w:t>
      </w:r>
      <w:r>
        <w:rPr>
          <w:spacing w:val="-15"/>
          <w:sz w:val="24"/>
        </w:rPr>
        <w:t> </w:t>
      </w:r>
      <w:r>
        <w:rPr>
          <w:sz w:val="24"/>
        </w:rPr>
        <w:t>la</w:t>
      </w:r>
      <w:r>
        <w:rPr>
          <w:spacing w:val="-14"/>
          <w:sz w:val="24"/>
        </w:rPr>
        <w:t> </w:t>
      </w:r>
      <w:r>
        <w:rPr>
          <w:sz w:val="24"/>
        </w:rPr>
        <w:t>Cour</w:t>
      </w:r>
      <w:r>
        <w:rPr>
          <w:spacing w:val="-15"/>
          <w:sz w:val="24"/>
        </w:rPr>
        <w:t> </w:t>
      </w:r>
      <w:r>
        <w:rPr>
          <w:sz w:val="24"/>
        </w:rPr>
        <w:t>de</w:t>
      </w:r>
      <w:r>
        <w:rPr>
          <w:spacing w:val="-14"/>
          <w:sz w:val="24"/>
        </w:rPr>
        <w:t> </w:t>
      </w:r>
      <w:r>
        <w:rPr>
          <w:sz w:val="24"/>
        </w:rPr>
        <w:t>justice</w:t>
      </w:r>
      <w:r>
        <w:rPr>
          <w:spacing w:val="-14"/>
          <w:sz w:val="24"/>
        </w:rPr>
        <w:t> </w:t>
      </w:r>
      <w:r>
        <w:rPr>
          <w:sz w:val="24"/>
        </w:rPr>
        <w:t>de</w:t>
      </w:r>
      <w:r>
        <w:rPr>
          <w:spacing w:val="-14"/>
          <w:sz w:val="24"/>
        </w:rPr>
        <w:t> </w:t>
      </w:r>
      <w:r>
        <w:rPr>
          <w:sz w:val="24"/>
        </w:rPr>
        <w:t>l'Union</w:t>
      </w:r>
      <w:r>
        <w:rPr>
          <w:spacing w:val="-15"/>
          <w:sz w:val="24"/>
        </w:rPr>
        <w:t> </w:t>
      </w:r>
      <w:r>
        <w:rPr>
          <w:sz w:val="24"/>
        </w:rPr>
        <w:t>européenne?</w:t>
      </w:r>
      <w:r>
        <w:rPr>
          <w:i/>
          <w:sz w:val="24"/>
        </w:rPr>
        <w:t>».</w:t>
      </w:r>
    </w:p>
    <w:p>
      <w:pPr>
        <w:spacing w:line="228" w:lineRule="auto" w:before="0"/>
        <w:ind w:left="673" w:right="665" w:firstLine="396"/>
        <w:jc w:val="both"/>
        <w:rPr>
          <w:sz w:val="24"/>
        </w:rPr>
      </w:pPr>
      <w:r>
        <w:rPr>
          <w:i/>
          <w:sz w:val="24"/>
        </w:rPr>
        <w:t>Secondo</w:t>
      </w:r>
      <w:r>
        <w:rPr>
          <w:i/>
          <w:spacing w:val="-7"/>
          <w:sz w:val="24"/>
        </w:rPr>
        <w:t> </w:t>
      </w:r>
      <w:r>
        <w:rPr>
          <w:i/>
          <w:sz w:val="24"/>
        </w:rPr>
        <w:t>la</w:t>
      </w:r>
      <w:r>
        <w:rPr>
          <w:i/>
          <w:spacing w:val="-7"/>
          <w:sz w:val="24"/>
        </w:rPr>
        <w:t> </w:t>
      </w:r>
      <w:r>
        <w:rPr>
          <w:i/>
          <w:sz w:val="24"/>
        </w:rPr>
        <w:t>"</w:t>
      </w:r>
      <w:r>
        <w:rPr>
          <w:sz w:val="24"/>
        </w:rPr>
        <w:t>Revue</w:t>
      </w:r>
      <w:r>
        <w:rPr>
          <w:spacing w:val="-5"/>
          <w:sz w:val="24"/>
        </w:rPr>
        <w:t> </w:t>
      </w:r>
      <w:r>
        <w:rPr>
          <w:sz w:val="24"/>
        </w:rPr>
        <w:t>trimestrielle</w:t>
      </w:r>
      <w:r>
        <w:rPr>
          <w:spacing w:val="-5"/>
          <w:sz w:val="24"/>
        </w:rPr>
        <w:t> </w:t>
      </w:r>
      <w:r>
        <w:rPr>
          <w:sz w:val="24"/>
        </w:rPr>
        <w:t>de</w:t>
      </w:r>
      <w:r>
        <w:rPr>
          <w:spacing w:val="-5"/>
          <w:sz w:val="24"/>
        </w:rPr>
        <w:t> </w:t>
      </w:r>
      <w:r>
        <w:rPr>
          <w:sz w:val="24"/>
        </w:rPr>
        <w:t>droit</w:t>
      </w:r>
      <w:r>
        <w:rPr>
          <w:spacing w:val="-9"/>
          <w:sz w:val="24"/>
        </w:rPr>
        <w:t> </w:t>
      </w:r>
      <w:r>
        <w:rPr>
          <w:sz w:val="24"/>
        </w:rPr>
        <w:t>européen</w:t>
      </w:r>
      <w:r>
        <w:rPr>
          <w:i/>
          <w:sz w:val="24"/>
        </w:rPr>
        <w:t>", le</w:t>
      </w:r>
      <w:r>
        <w:rPr>
          <w:i/>
          <w:spacing w:val="-3"/>
          <w:sz w:val="24"/>
        </w:rPr>
        <w:t> </w:t>
      </w:r>
      <w:r>
        <w:rPr>
          <w:i/>
          <w:sz w:val="24"/>
        </w:rPr>
        <w:t>tre</w:t>
      </w:r>
      <w:r>
        <w:rPr>
          <w:i/>
          <w:spacing w:val="-3"/>
          <w:sz w:val="24"/>
        </w:rPr>
        <w:t> </w:t>
      </w:r>
      <w:r>
        <w:rPr>
          <w:i/>
          <w:sz w:val="24"/>
        </w:rPr>
        <w:t>riviste</w:t>
      </w:r>
      <w:r>
        <w:rPr>
          <w:i/>
          <w:spacing w:val="-5"/>
          <w:sz w:val="24"/>
        </w:rPr>
        <w:t> </w:t>
      </w:r>
      <w:r>
        <w:rPr>
          <w:i/>
          <w:sz w:val="24"/>
        </w:rPr>
        <w:t>italia-</w:t>
      </w:r>
      <w:r>
        <w:rPr>
          <w:i/>
          <w:sz w:val="24"/>
        </w:rPr>
        <w:t> ne classificate per la loro influenza e per la loro importanza e notorietà sono</w:t>
      </w:r>
      <w:r>
        <w:rPr>
          <w:i/>
          <w:spacing w:val="-3"/>
          <w:sz w:val="24"/>
        </w:rPr>
        <w:t> </w:t>
      </w:r>
      <w:r>
        <w:rPr>
          <w:i/>
          <w:sz w:val="24"/>
        </w:rPr>
        <w:t>state,</w:t>
      </w:r>
      <w:r>
        <w:rPr>
          <w:i/>
          <w:spacing w:val="-3"/>
          <w:sz w:val="24"/>
        </w:rPr>
        <w:t> </w:t>
      </w:r>
      <w:r>
        <w:rPr>
          <w:i/>
          <w:sz w:val="24"/>
        </w:rPr>
        <w:t>nell'ordine:</w:t>
      </w:r>
      <w:r>
        <w:rPr>
          <w:i/>
          <w:spacing w:val="-3"/>
          <w:sz w:val="24"/>
        </w:rPr>
        <w:t> </w:t>
      </w:r>
      <w:r>
        <w:rPr>
          <w:i/>
          <w:sz w:val="24"/>
        </w:rPr>
        <w:t>(1)</w:t>
      </w:r>
      <w:r>
        <w:rPr>
          <w:i/>
          <w:spacing w:val="-1"/>
          <w:sz w:val="24"/>
        </w:rPr>
        <w:t> </w:t>
      </w:r>
      <w:r>
        <w:rPr>
          <w:sz w:val="24"/>
        </w:rPr>
        <w:t>Diritto</w:t>
      </w:r>
      <w:r>
        <w:rPr>
          <w:spacing w:val="-3"/>
          <w:sz w:val="24"/>
        </w:rPr>
        <w:t> </w:t>
      </w:r>
      <w:r>
        <w:rPr>
          <w:sz w:val="24"/>
        </w:rPr>
        <w:t>dell'Unione</w:t>
      </w:r>
      <w:r>
        <w:rPr>
          <w:spacing w:val="-2"/>
          <w:sz w:val="24"/>
        </w:rPr>
        <w:t> </w:t>
      </w:r>
      <w:r>
        <w:rPr>
          <w:sz w:val="24"/>
        </w:rPr>
        <w:t>europea</w:t>
      </w:r>
      <w:r>
        <w:rPr>
          <w:i/>
          <w:sz w:val="24"/>
        </w:rPr>
        <w:t>,</w:t>
      </w:r>
      <w:r>
        <w:rPr>
          <w:i/>
          <w:spacing w:val="-4"/>
          <w:sz w:val="24"/>
        </w:rPr>
        <w:t> </w:t>
      </w:r>
      <w:r>
        <w:rPr>
          <w:i/>
          <w:sz w:val="24"/>
        </w:rPr>
        <w:t>(2)</w:t>
      </w:r>
      <w:r>
        <w:rPr>
          <w:i/>
          <w:spacing w:val="-3"/>
          <w:sz w:val="24"/>
        </w:rPr>
        <w:t> </w:t>
      </w:r>
      <w:r>
        <w:rPr>
          <w:sz w:val="24"/>
        </w:rPr>
        <w:t>Diritto</w:t>
      </w:r>
      <w:r>
        <w:rPr>
          <w:spacing w:val="-3"/>
          <w:sz w:val="24"/>
        </w:rPr>
        <w:t> </w:t>
      </w:r>
      <w:r>
        <w:rPr>
          <w:sz w:val="24"/>
        </w:rPr>
        <w:t>comuni- tario e degli scambi internazionali, </w:t>
      </w:r>
      <w:r>
        <w:rPr>
          <w:i/>
          <w:sz w:val="24"/>
        </w:rPr>
        <w:t>(3) </w:t>
      </w:r>
      <w:r>
        <w:rPr>
          <w:sz w:val="24"/>
        </w:rPr>
        <w:t>Rivista italiana di diritto pubblico </w:t>
      </w:r>
      <w:r>
        <w:rPr>
          <w:spacing w:val="-2"/>
          <w:sz w:val="24"/>
        </w:rPr>
        <w:t>comunitario.</w:t>
      </w:r>
    </w:p>
    <w:p>
      <w:pPr>
        <w:spacing w:line="230" w:lineRule="auto" w:before="0"/>
        <w:ind w:left="673" w:right="679" w:firstLine="396"/>
        <w:jc w:val="both"/>
        <w:rPr>
          <w:i/>
          <w:sz w:val="24"/>
        </w:rPr>
      </w:pPr>
      <w:r>
        <w:rPr>
          <w:i/>
          <w:sz w:val="24"/>
        </w:rPr>
        <w:t>La rilevanza e la notorietà della Rivista si sono ampliate grazie ai</w:t>
      </w:r>
      <w:r>
        <w:rPr>
          <w:i/>
          <w:sz w:val="24"/>
        </w:rPr>
        <w:t> contributi forniti dagli studiosi e dai ricercatori nel corso degli anni.</w:t>
      </w:r>
    </w:p>
    <w:p>
      <w:pPr>
        <w:spacing w:after="0" w:line="230" w:lineRule="auto"/>
        <w:jc w:val="both"/>
        <w:rPr>
          <w:sz w:val="24"/>
        </w:rPr>
        <w:sectPr>
          <w:pgSz w:w="11910" w:h="16840"/>
          <w:pgMar w:header="0" w:footer="0" w:top="1920" w:bottom="280" w:left="1680" w:right="1680"/>
        </w:sect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rPr>
          <w:i/>
        </w:rPr>
      </w:pPr>
    </w:p>
    <w:p>
      <w:pPr>
        <w:pStyle w:val="BodyText"/>
        <w:spacing w:before="61"/>
        <w:rPr>
          <w:i/>
        </w:rPr>
      </w:pPr>
    </w:p>
    <w:p>
      <w:pPr>
        <w:spacing w:line="266" w:lineRule="exact" w:before="1"/>
        <w:ind w:left="673" w:right="0" w:firstLine="0"/>
        <w:jc w:val="both"/>
        <w:rPr>
          <w:b/>
          <w:sz w:val="24"/>
        </w:rPr>
      </w:pPr>
      <w:r>
        <w:rPr>
          <w:b/>
          <w:spacing w:val="-2"/>
          <w:sz w:val="24"/>
        </w:rPr>
        <w:t>SECONDA</w:t>
      </w:r>
      <w:r>
        <w:rPr>
          <w:b/>
          <w:spacing w:val="-10"/>
          <w:sz w:val="24"/>
        </w:rPr>
        <w:t> </w:t>
      </w:r>
      <w:r>
        <w:rPr>
          <w:b/>
          <w:spacing w:val="-2"/>
          <w:sz w:val="24"/>
        </w:rPr>
        <w:t>IMPORTANTE</w:t>
      </w:r>
      <w:r>
        <w:rPr>
          <w:b/>
          <w:spacing w:val="-6"/>
          <w:sz w:val="24"/>
        </w:rPr>
        <w:t> </w:t>
      </w:r>
      <w:r>
        <w:rPr>
          <w:b/>
          <w:spacing w:val="-2"/>
          <w:sz w:val="24"/>
        </w:rPr>
        <w:t>SENTENZA</w:t>
      </w:r>
      <w:r>
        <w:rPr>
          <w:b/>
          <w:spacing w:val="-7"/>
          <w:sz w:val="24"/>
        </w:rPr>
        <w:t> </w:t>
      </w:r>
      <w:r>
        <w:rPr>
          <w:b/>
          <w:spacing w:val="-2"/>
          <w:sz w:val="24"/>
        </w:rPr>
        <w:t>DELLA</w:t>
      </w:r>
      <w:r>
        <w:rPr>
          <w:b/>
          <w:spacing w:val="-7"/>
          <w:sz w:val="24"/>
        </w:rPr>
        <w:t> </w:t>
      </w:r>
      <w:r>
        <w:rPr>
          <w:b/>
          <w:spacing w:val="-2"/>
          <w:sz w:val="24"/>
        </w:rPr>
        <w:t>CORTE</w:t>
      </w:r>
    </w:p>
    <w:p>
      <w:pPr>
        <w:spacing w:line="225" w:lineRule="auto" w:before="3"/>
        <w:ind w:left="673" w:right="896" w:firstLine="0"/>
        <w:jc w:val="both"/>
        <w:rPr>
          <w:b/>
          <w:sz w:val="24"/>
        </w:rPr>
      </w:pPr>
      <w:r>
        <w:rPr>
          <w:b/>
          <w:sz w:val="24"/>
        </w:rPr>
        <w:t>DI</w:t>
      </w:r>
      <w:r>
        <w:rPr>
          <w:b/>
          <w:spacing w:val="-15"/>
          <w:sz w:val="24"/>
        </w:rPr>
        <w:t> </w:t>
      </w:r>
      <w:r>
        <w:rPr>
          <w:b/>
          <w:sz w:val="24"/>
        </w:rPr>
        <w:t>GIUSTIZIA</w:t>
      </w:r>
      <w:r>
        <w:rPr>
          <w:b/>
          <w:spacing w:val="-15"/>
          <w:sz w:val="24"/>
        </w:rPr>
        <w:t> </w:t>
      </w:r>
      <w:r>
        <w:rPr>
          <w:b/>
          <w:sz w:val="24"/>
        </w:rPr>
        <w:t>UE</w:t>
      </w:r>
      <w:r>
        <w:rPr>
          <w:b/>
          <w:spacing w:val="-15"/>
          <w:sz w:val="24"/>
        </w:rPr>
        <w:t> </w:t>
      </w:r>
      <w:r>
        <w:rPr>
          <w:b/>
          <w:sz w:val="24"/>
        </w:rPr>
        <w:t>(CAUSA</w:t>
      </w:r>
      <w:r>
        <w:rPr>
          <w:b/>
          <w:spacing w:val="-15"/>
          <w:sz w:val="24"/>
        </w:rPr>
        <w:t> </w:t>
      </w:r>
      <w:r>
        <w:rPr>
          <w:b/>
          <w:sz w:val="24"/>
        </w:rPr>
        <w:t>N.</w:t>
      </w:r>
      <w:r>
        <w:rPr>
          <w:b/>
          <w:spacing w:val="-15"/>
          <w:sz w:val="24"/>
        </w:rPr>
        <w:t> </w:t>
      </w:r>
      <w:r>
        <w:rPr>
          <w:b/>
          <w:sz w:val="24"/>
        </w:rPr>
        <w:t>C-292/23)</w:t>
      </w:r>
      <w:r>
        <w:rPr>
          <w:b/>
          <w:spacing w:val="-15"/>
          <w:sz w:val="24"/>
        </w:rPr>
        <w:t> </w:t>
      </w:r>
      <w:r>
        <w:rPr>
          <w:b/>
          <w:sz w:val="24"/>
        </w:rPr>
        <w:t>AVENTE</w:t>
      </w:r>
      <w:r>
        <w:rPr>
          <w:b/>
          <w:spacing w:val="-15"/>
          <w:sz w:val="24"/>
        </w:rPr>
        <w:t> </w:t>
      </w:r>
      <w:r>
        <w:rPr>
          <w:b/>
          <w:sz w:val="24"/>
        </w:rPr>
        <w:t>AD</w:t>
      </w:r>
      <w:r>
        <w:rPr>
          <w:b/>
          <w:spacing w:val="-15"/>
          <w:sz w:val="24"/>
        </w:rPr>
        <w:t> </w:t>
      </w:r>
      <w:r>
        <w:rPr>
          <w:b/>
          <w:sz w:val="24"/>
        </w:rPr>
        <w:t>OGGETTO </w:t>
      </w:r>
      <w:r>
        <w:rPr>
          <w:b/>
          <w:spacing w:val="-2"/>
          <w:sz w:val="24"/>
        </w:rPr>
        <w:t>L’INTERPRETAZIONE</w:t>
      </w:r>
      <w:r>
        <w:rPr>
          <w:b/>
          <w:spacing w:val="-7"/>
          <w:sz w:val="24"/>
        </w:rPr>
        <w:t> </w:t>
      </w:r>
      <w:r>
        <w:rPr>
          <w:b/>
          <w:spacing w:val="-2"/>
          <w:sz w:val="24"/>
        </w:rPr>
        <w:t>DEL</w:t>
      </w:r>
      <w:r>
        <w:rPr>
          <w:b/>
          <w:spacing w:val="-12"/>
          <w:sz w:val="24"/>
        </w:rPr>
        <w:t> </w:t>
      </w:r>
      <w:r>
        <w:rPr>
          <w:b/>
          <w:spacing w:val="-2"/>
          <w:sz w:val="24"/>
        </w:rPr>
        <w:t>REGOLAMENTO</w:t>
      </w:r>
      <w:r>
        <w:rPr>
          <w:b/>
          <w:spacing w:val="-8"/>
          <w:sz w:val="24"/>
        </w:rPr>
        <w:t> </w:t>
      </w:r>
      <w:r>
        <w:rPr>
          <w:b/>
          <w:spacing w:val="-2"/>
          <w:sz w:val="24"/>
        </w:rPr>
        <w:t>(UE)</w:t>
      </w:r>
      <w:r>
        <w:rPr>
          <w:b/>
          <w:spacing w:val="-11"/>
          <w:sz w:val="24"/>
        </w:rPr>
        <w:t> </w:t>
      </w:r>
      <w:r>
        <w:rPr>
          <w:b/>
          <w:spacing w:val="-2"/>
          <w:sz w:val="24"/>
        </w:rPr>
        <w:t>N.</w:t>
      </w:r>
      <w:r>
        <w:rPr>
          <w:b/>
          <w:spacing w:val="-12"/>
          <w:sz w:val="24"/>
        </w:rPr>
        <w:t> </w:t>
      </w:r>
      <w:r>
        <w:rPr>
          <w:b/>
          <w:spacing w:val="-2"/>
          <w:sz w:val="24"/>
        </w:rPr>
        <w:t>2017/1939 </w:t>
      </w:r>
      <w:r>
        <w:rPr>
          <w:b/>
          <w:sz w:val="24"/>
        </w:rPr>
        <w:t>ISTITUTIVO DELLA PROCURA EUROPEA (EPPO)</w:t>
      </w:r>
    </w:p>
    <w:p>
      <w:pPr>
        <w:pStyle w:val="BodyText"/>
        <w:spacing w:before="154"/>
        <w:rPr>
          <w:b/>
        </w:rPr>
      </w:pPr>
    </w:p>
    <w:p>
      <w:pPr>
        <w:spacing w:line="228" w:lineRule="auto" w:before="0"/>
        <w:ind w:left="673" w:right="666" w:firstLine="0"/>
        <w:jc w:val="both"/>
        <w:rPr>
          <w:sz w:val="22"/>
        </w:rPr>
      </w:pPr>
      <w:r>
        <w:rPr>
          <w:b/>
          <w:sz w:val="22"/>
        </w:rPr>
        <w:t>Sommario: 1</w:t>
      </w:r>
      <w:r>
        <w:rPr>
          <w:i/>
          <w:sz w:val="22"/>
        </w:rPr>
        <w:t>. Introduzione: i fatti della causa</w:t>
      </w:r>
      <w:r>
        <w:rPr>
          <w:i/>
          <w:spacing w:val="19"/>
          <w:sz w:val="22"/>
        </w:rPr>
        <w:t> </w:t>
      </w:r>
      <w:r>
        <w:rPr>
          <w:sz w:val="22"/>
        </w:rPr>
        <w:t>a quo </w:t>
      </w:r>
      <w:r>
        <w:rPr>
          <w:i/>
          <w:sz w:val="22"/>
        </w:rPr>
        <w:t>e i quesiti posti alla Corte</w:t>
      </w:r>
      <w:r>
        <w:rPr>
          <w:i/>
          <w:spacing w:val="40"/>
          <w:sz w:val="22"/>
        </w:rPr>
        <w:t> </w:t>
      </w:r>
      <w:r>
        <w:rPr>
          <w:i/>
          <w:sz w:val="22"/>
        </w:rPr>
        <w:t>di giustizia dal giudice di rinvio </w:t>
      </w:r>
      <w:r>
        <w:rPr>
          <w:sz w:val="22"/>
        </w:rPr>
        <w:t>- </w:t>
      </w:r>
      <w:r>
        <w:rPr>
          <w:b/>
          <w:sz w:val="22"/>
        </w:rPr>
        <w:t>2. </w:t>
      </w:r>
      <w:r>
        <w:rPr>
          <w:i/>
          <w:sz w:val="22"/>
        </w:rPr>
        <w:t>Esame dell’art. 42 del Regolamento EPPO:</w:t>
      </w:r>
      <w:r>
        <w:rPr>
          <w:i/>
          <w:sz w:val="22"/>
        </w:rPr>
        <w:t> il controllo giurisdizionale sugli atti della Procura europea </w:t>
      </w:r>
      <w:r>
        <w:rPr>
          <w:sz w:val="22"/>
        </w:rPr>
        <w:t>- </w:t>
      </w:r>
      <w:r>
        <w:rPr>
          <w:b/>
          <w:sz w:val="22"/>
        </w:rPr>
        <w:t>2.1 </w:t>
      </w:r>
      <w:r>
        <w:rPr>
          <w:i/>
          <w:sz w:val="22"/>
        </w:rPr>
        <w:t>Genesi e conte-</w:t>
      </w:r>
      <w:r>
        <w:rPr>
          <w:i/>
          <w:sz w:val="22"/>
        </w:rPr>
        <w:t> sto istituzionale dell’art. 42 </w:t>
      </w:r>
      <w:r>
        <w:rPr>
          <w:sz w:val="22"/>
        </w:rPr>
        <w:t>- </w:t>
      </w:r>
      <w:r>
        <w:rPr>
          <w:b/>
          <w:sz w:val="22"/>
        </w:rPr>
        <w:t>2.2 </w:t>
      </w:r>
      <w:r>
        <w:rPr>
          <w:i/>
          <w:sz w:val="22"/>
        </w:rPr>
        <w:t>Competenza generale dei giudici nazionali in</w:t>
      </w:r>
      <w:r>
        <w:rPr>
          <w:i/>
          <w:sz w:val="22"/>
        </w:rPr>
        <w:t> materia di ricorsi diretti contro gli «atti procedurali» della Procura europea </w:t>
      </w:r>
      <w:r>
        <w:rPr>
          <w:sz w:val="22"/>
        </w:rPr>
        <w:t>- </w:t>
      </w:r>
      <w:r>
        <w:rPr>
          <w:b/>
          <w:sz w:val="22"/>
        </w:rPr>
        <w:t>3. </w:t>
      </w:r>
      <w:r>
        <w:rPr>
          <w:i/>
          <w:sz w:val="22"/>
        </w:rPr>
        <w:t>Analisi della sentenza della Corte di giustizia </w:t>
      </w:r>
      <w:r>
        <w:rPr>
          <w:sz w:val="22"/>
        </w:rPr>
        <w:t>- </w:t>
      </w:r>
      <w:r>
        <w:rPr>
          <w:b/>
          <w:sz w:val="22"/>
        </w:rPr>
        <w:t>3.1 </w:t>
      </w:r>
      <w:r>
        <w:rPr>
          <w:i/>
          <w:sz w:val="22"/>
        </w:rPr>
        <w:t>La definizione di «atti proce-</w:t>
      </w:r>
      <w:r>
        <w:rPr>
          <w:i/>
          <w:sz w:val="22"/>
        </w:rPr>
        <w:t> durali destinati a produrre effetti giuridici nei confronti dei terzi» - </w:t>
      </w:r>
      <w:r>
        <w:rPr>
          <w:b/>
          <w:sz w:val="22"/>
        </w:rPr>
        <w:t>3.2 </w:t>
      </w:r>
      <w:r>
        <w:rPr>
          <w:i/>
          <w:sz w:val="22"/>
        </w:rPr>
        <w:t>Il con-</w:t>
      </w:r>
      <w:r>
        <w:rPr>
          <w:i/>
          <w:sz w:val="22"/>
        </w:rPr>
        <w:t> trollo giurisdizionale sugli «atti</w:t>
      </w:r>
      <w:r>
        <w:rPr>
          <w:i/>
          <w:spacing w:val="-1"/>
          <w:sz w:val="22"/>
        </w:rPr>
        <w:t> </w:t>
      </w:r>
      <w:r>
        <w:rPr>
          <w:i/>
          <w:sz w:val="22"/>
        </w:rPr>
        <w:t>procedurali» della Procura europea </w:t>
      </w:r>
      <w:r>
        <w:rPr>
          <w:sz w:val="22"/>
        </w:rPr>
        <w:t>- </w:t>
      </w:r>
      <w:r>
        <w:rPr>
          <w:b/>
          <w:sz w:val="22"/>
        </w:rPr>
        <w:t>3.3 </w:t>
      </w:r>
      <w:r>
        <w:rPr>
          <w:i/>
          <w:sz w:val="22"/>
        </w:rPr>
        <w:t>Viola-</w:t>
      </w:r>
      <w:r>
        <w:rPr>
          <w:i/>
          <w:sz w:val="22"/>
        </w:rPr>
        <w:t> zione del «principio di equivalenza» dei rimedi giurisdizionali da parte della le- gislazione spagnola </w:t>
      </w:r>
      <w:r>
        <w:rPr>
          <w:sz w:val="22"/>
        </w:rPr>
        <w:t>- </w:t>
      </w:r>
      <w:r>
        <w:rPr>
          <w:b/>
          <w:sz w:val="22"/>
        </w:rPr>
        <w:t>4. </w:t>
      </w:r>
      <w:r>
        <w:rPr>
          <w:i/>
          <w:sz w:val="22"/>
        </w:rPr>
        <w:t>Considerazioni conclusive </w:t>
      </w:r>
      <w:r>
        <w:rPr>
          <w:sz w:val="22"/>
        </w:rPr>
        <w:t>- </w:t>
      </w:r>
      <w:r>
        <w:rPr>
          <w:b/>
          <w:sz w:val="22"/>
        </w:rPr>
        <w:t>4.1 </w:t>
      </w:r>
      <w:r>
        <w:rPr>
          <w:i/>
          <w:sz w:val="22"/>
        </w:rPr>
        <w:t>Pericoli insiti nella de-</w:t>
      </w:r>
      <w:r>
        <w:rPr>
          <w:i/>
          <w:sz w:val="22"/>
        </w:rPr>
        <w:t> lega al giudice di rinvio della valutazione degli effetti giuridici vincolanti di un atto procedurale della Procura europea </w:t>
      </w:r>
      <w:r>
        <w:rPr>
          <w:sz w:val="22"/>
        </w:rPr>
        <w:t>- </w:t>
      </w:r>
      <w:r>
        <w:rPr>
          <w:b/>
          <w:sz w:val="22"/>
        </w:rPr>
        <w:t>4.2 </w:t>
      </w:r>
      <w:r>
        <w:rPr>
          <w:i/>
          <w:sz w:val="22"/>
        </w:rPr>
        <w:t>Modalità del controllo giurisdizio-</w:t>
      </w:r>
      <w:r>
        <w:rPr>
          <w:i/>
          <w:sz w:val="22"/>
        </w:rPr>
        <w:t> nale sugli atti procedurali della Procura europea: ricorso diretto o controllo in- cidentale </w:t>
      </w:r>
      <w:r>
        <w:rPr>
          <w:sz w:val="22"/>
        </w:rPr>
        <w:t>- </w:t>
      </w:r>
      <w:r>
        <w:rPr>
          <w:b/>
          <w:sz w:val="22"/>
        </w:rPr>
        <w:t>4.3 </w:t>
      </w:r>
      <w:r>
        <w:rPr>
          <w:i/>
          <w:sz w:val="22"/>
        </w:rPr>
        <w:t>Compatibilità della legislazione italiana con l’art. 42, par. 1, del</w:t>
      </w:r>
      <w:r>
        <w:rPr>
          <w:i/>
          <w:sz w:val="22"/>
        </w:rPr>
        <w:t> Regolamento EPPO</w:t>
      </w:r>
      <w:r>
        <w:rPr>
          <w:sz w:val="22"/>
        </w:rPr>
        <w:t>.</w:t>
      </w:r>
    </w:p>
    <w:p>
      <w:pPr>
        <w:pStyle w:val="BodyText"/>
        <w:spacing w:before="27"/>
        <w:rPr>
          <w:sz w:val="22"/>
        </w:rPr>
      </w:pPr>
    </w:p>
    <w:p>
      <w:pPr>
        <w:pStyle w:val="Heading1"/>
        <w:numPr>
          <w:ilvl w:val="0"/>
          <w:numId w:val="1"/>
        </w:numPr>
        <w:tabs>
          <w:tab w:pos="1068" w:val="left" w:leader="none"/>
        </w:tabs>
        <w:spacing w:line="225" w:lineRule="auto" w:before="0" w:after="0"/>
        <w:ind w:left="1068" w:right="672" w:hanging="396"/>
        <w:jc w:val="left"/>
      </w:pPr>
      <w:r>
        <w:rPr/>
        <w:t>Introduzione: i fatti della</w:t>
      </w:r>
      <w:r>
        <w:rPr>
          <w:spacing w:val="-3"/>
        </w:rPr>
        <w:t> </w:t>
      </w:r>
      <w:r>
        <w:rPr/>
        <w:t>causa </w:t>
      </w:r>
      <w:r>
        <w:rPr>
          <w:i/>
        </w:rPr>
        <w:t>a quo </w:t>
      </w:r>
      <w:r>
        <w:rPr/>
        <w:t>e i quesiti posti alla Corte di giustizia dal giudice di rinvio</w:t>
      </w:r>
    </w:p>
    <w:p>
      <w:pPr>
        <w:pStyle w:val="BodyText"/>
        <w:spacing w:before="12"/>
        <w:rPr>
          <w:b/>
        </w:rPr>
      </w:pPr>
    </w:p>
    <w:p>
      <w:pPr>
        <w:pStyle w:val="BodyText"/>
        <w:spacing w:line="270" w:lineRule="exact"/>
        <w:ind w:right="669"/>
        <w:jc w:val="right"/>
      </w:pPr>
      <w:r>
        <w:rPr/>
        <w:t>Sulla</w:t>
      </w:r>
      <w:r>
        <w:rPr>
          <w:spacing w:val="7"/>
        </w:rPr>
        <w:t> </w:t>
      </w:r>
      <w:r>
        <w:rPr/>
        <w:t>scia</w:t>
      </w:r>
      <w:r>
        <w:rPr>
          <w:spacing w:val="7"/>
        </w:rPr>
        <w:t> </w:t>
      </w:r>
      <w:r>
        <w:rPr/>
        <w:t>della</w:t>
      </w:r>
      <w:r>
        <w:rPr>
          <w:spacing w:val="7"/>
        </w:rPr>
        <w:t> </w:t>
      </w:r>
      <w:r>
        <w:rPr/>
        <w:t>prima</w:t>
      </w:r>
      <w:r>
        <w:rPr>
          <w:spacing w:val="8"/>
        </w:rPr>
        <w:t> </w:t>
      </w:r>
      <w:r>
        <w:rPr/>
        <w:t>grande</w:t>
      </w:r>
      <w:r>
        <w:rPr>
          <w:spacing w:val="7"/>
        </w:rPr>
        <w:t> </w:t>
      </w:r>
      <w:r>
        <w:rPr/>
        <w:t>sentenza</w:t>
      </w:r>
      <w:r>
        <w:rPr>
          <w:spacing w:val="16"/>
        </w:rPr>
        <w:t> </w:t>
      </w:r>
      <w:r>
        <w:rPr/>
        <w:t>in</w:t>
      </w:r>
      <w:r>
        <w:rPr>
          <w:spacing w:val="2"/>
        </w:rPr>
        <w:t> </w:t>
      </w:r>
      <w:r>
        <w:rPr/>
        <w:t>causa</w:t>
      </w:r>
      <w:r>
        <w:rPr>
          <w:spacing w:val="7"/>
        </w:rPr>
        <w:t> </w:t>
      </w:r>
      <w:r>
        <w:rPr/>
        <w:t>n.</w:t>
      </w:r>
      <w:r>
        <w:rPr>
          <w:spacing w:val="10"/>
        </w:rPr>
        <w:t> </w:t>
      </w:r>
      <w:r>
        <w:rPr/>
        <w:t>C-281/22</w:t>
      </w:r>
      <w:r>
        <w:rPr>
          <w:spacing w:val="6"/>
        </w:rPr>
        <w:t> </w:t>
      </w:r>
      <w:r>
        <w:rPr/>
        <w:t>del</w:t>
      </w:r>
      <w:r>
        <w:rPr>
          <w:spacing w:val="7"/>
        </w:rPr>
        <w:t> </w:t>
      </w:r>
      <w:r>
        <w:rPr/>
        <w:t>21</w:t>
      </w:r>
      <w:r>
        <w:rPr>
          <w:spacing w:val="7"/>
        </w:rPr>
        <w:t> </w:t>
      </w:r>
      <w:r>
        <w:rPr>
          <w:spacing w:val="-5"/>
        </w:rPr>
        <w:t>di-</w:t>
      </w:r>
    </w:p>
    <w:p>
      <w:pPr>
        <w:pStyle w:val="BodyText"/>
        <w:spacing w:line="270" w:lineRule="exact"/>
        <w:ind w:right="679"/>
        <w:jc w:val="right"/>
      </w:pPr>
      <w:r>
        <w:rPr/>
        <w:t>cembre</w:t>
      </w:r>
      <w:r>
        <w:rPr>
          <w:spacing w:val="6"/>
        </w:rPr>
        <w:t> </w:t>
      </w:r>
      <w:r>
        <w:rPr/>
        <w:t>2023,</w:t>
      </w:r>
      <w:r>
        <w:rPr>
          <w:spacing w:val="2"/>
        </w:rPr>
        <w:t> </w:t>
      </w:r>
      <w:r>
        <w:rPr/>
        <w:t>la</w:t>
      </w:r>
      <w:r>
        <w:rPr>
          <w:spacing w:val="7"/>
        </w:rPr>
        <w:t> </w:t>
      </w:r>
      <w:r>
        <w:rPr/>
        <w:t>Corte</w:t>
      </w:r>
      <w:r>
        <w:rPr>
          <w:spacing w:val="6"/>
        </w:rPr>
        <w:t> </w:t>
      </w:r>
      <w:r>
        <w:rPr/>
        <w:t>di</w:t>
      </w:r>
      <w:r>
        <w:rPr>
          <w:spacing w:val="7"/>
        </w:rPr>
        <w:t> </w:t>
      </w:r>
      <w:r>
        <w:rPr/>
        <w:t>giustizia</w:t>
      </w:r>
      <w:r>
        <w:rPr>
          <w:spacing w:val="7"/>
        </w:rPr>
        <w:t> </w:t>
      </w:r>
      <w:r>
        <w:rPr/>
        <w:t>dell’Unione</w:t>
      </w:r>
      <w:r>
        <w:rPr>
          <w:spacing w:val="6"/>
        </w:rPr>
        <w:t> </w:t>
      </w:r>
      <w:r>
        <w:rPr/>
        <w:t>europea</w:t>
      </w:r>
      <w:r>
        <w:rPr>
          <w:spacing w:val="7"/>
        </w:rPr>
        <w:t> </w:t>
      </w:r>
      <w:r>
        <w:rPr/>
        <w:t>ha</w:t>
      </w:r>
      <w:r>
        <w:rPr>
          <w:spacing w:val="7"/>
        </w:rPr>
        <w:t> </w:t>
      </w:r>
      <w:r>
        <w:rPr/>
        <w:t>emanato,</w:t>
      </w:r>
      <w:r>
        <w:rPr>
          <w:spacing w:val="6"/>
        </w:rPr>
        <w:t> </w:t>
      </w:r>
      <w:r>
        <w:rPr>
          <w:spacing w:val="-2"/>
        </w:rPr>
        <w:t>anche</w:t>
      </w:r>
    </w:p>
    <w:p>
      <w:pPr>
        <w:pStyle w:val="BodyText"/>
        <w:spacing w:before="60"/>
      </w:pPr>
    </w:p>
    <w:p>
      <w:pPr>
        <w:spacing w:line="164" w:lineRule="exact" w:before="0"/>
        <w:ind w:left="673" w:right="0" w:firstLine="0"/>
        <w:jc w:val="both"/>
        <w:rPr>
          <w:sz w:val="15"/>
        </w:rPr>
      </w:pPr>
      <w:r>
        <w:rPr>
          <w:smallCaps/>
          <w:sz w:val="15"/>
        </w:rPr>
        <w:t>Diritto</w:t>
      </w:r>
      <w:r>
        <w:rPr>
          <w:smallCaps/>
          <w:spacing w:val="-8"/>
          <w:sz w:val="15"/>
        </w:rPr>
        <w:t> </w:t>
      </w:r>
      <w:r>
        <w:rPr>
          <w:smallCaps/>
          <w:sz w:val="15"/>
        </w:rPr>
        <w:t>Comunitario</w:t>
      </w:r>
      <w:r>
        <w:rPr>
          <w:smallCaps/>
          <w:spacing w:val="-4"/>
          <w:sz w:val="15"/>
        </w:rPr>
        <w:t> </w:t>
      </w:r>
      <w:r>
        <w:rPr>
          <w:smallCaps/>
          <w:sz w:val="15"/>
        </w:rPr>
        <w:t>e</w:t>
      </w:r>
      <w:r>
        <w:rPr>
          <w:smallCaps/>
          <w:spacing w:val="-7"/>
          <w:sz w:val="15"/>
        </w:rPr>
        <w:t> </w:t>
      </w:r>
      <w:r>
        <w:rPr>
          <w:smallCaps/>
          <w:sz w:val="15"/>
        </w:rPr>
        <w:t>degli</w:t>
      </w:r>
      <w:r>
        <w:rPr>
          <w:smallCaps/>
          <w:spacing w:val="-1"/>
          <w:sz w:val="15"/>
        </w:rPr>
        <w:t> </w:t>
      </w:r>
      <w:r>
        <w:rPr>
          <w:smallCaps/>
          <w:sz w:val="15"/>
        </w:rPr>
        <w:t>Scambi</w:t>
      </w:r>
      <w:r>
        <w:rPr>
          <w:smallCaps/>
          <w:spacing w:val="-2"/>
          <w:sz w:val="15"/>
        </w:rPr>
        <w:t> </w:t>
      </w:r>
      <w:r>
        <w:rPr>
          <w:smallCaps/>
          <w:sz w:val="15"/>
        </w:rPr>
        <w:t>Internazionali,</w:t>
      </w:r>
      <w:r>
        <w:rPr>
          <w:smallCaps/>
          <w:spacing w:val="-8"/>
          <w:sz w:val="15"/>
        </w:rPr>
        <w:t> </w:t>
      </w:r>
      <w:r>
        <w:rPr>
          <w:smallCaps/>
          <w:sz w:val="15"/>
        </w:rPr>
        <w:t>Fasc.</w:t>
      </w:r>
      <w:r>
        <w:rPr>
          <w:smallCaps/>
          <w:spacing w:val="-8"/>
          <w:sz w:val="15"/>
        </w:rPr>
        <w:t> </w:t>
      </w:r>
      <w:r>
        <w:rPr>
          <w:smallCaps/>
          <w:sz w:val="15"/>
        </w:rPr>
        <w:t>1-2/2025,</w:t>
      </w:r>
      <w:r>
        <w:rPr>
          <w:smallCaps/>
          <w:spacing w:val="-8"/>
          <w:sz w:val="15"/>
        </w:rPr>
        <w:t> </w:t>
      </w:r>
      <w:r>
        <w:rPr>
          <w:smallCaps/>
          <w:sz w:val="15"/>
        </w:rPr>
        <w:t>PP.</w:t>
      </w:r>
      <w:r>
        <w:rPr>
          <w:smallCaps/>
          <w:spacing w:val="-8"/>
          <w:sz w:val="15"/>
        </w:rPr>
        <w:t> </w:t>
      </w:r>
      <w:r>
        <w:rPr>
          <w:smallCaps/>
          <w:sz w:val="15"/>
        </w:rPr>
        <w:t>115-</w:t>
      </w:r>
      <w:r>
        <w:rPr>
          <w:smallCaps/>
          <w:spacing w:val="-5"/>
          <w:sz w:val="15"/>
        </w:rPr>
        <w:t>134</w:t>
      </w:r>
    </w:p>
    <w:p>
      <w:pPr>
        <w:tabs>
          <w:tab w:pos="4025" w:val="left" w:leader="none"/>
        </w:tabs>
        <w:spacing w:line="164" w:lineRule="exact" w:before="0"/>
        <w:ind w:left="673" w:right="0" w:firstLine="0"/>
        <w:jc w:val="both"/>
        <w:rPr>
          <w:sz w:val="15"/>
        </w:rPr>
      </w:pPr>
      <w:r>
        <w:rPr>
          <w:smallCaps/>
          <w:sz w:val="15"/>
        </w:rPr>
        <w:t>©</w:t>
      </w:r>
      <w:r>
        <w:rPr>
          <w:smallCaps/>
          <w:spacing w:val="-8"/>
          <w:sz w:val="15"/>
        </w:rPr>
        <w:t> </w:t>
      </w:r>
      <w:r>
        <w:rPr>
          <w:smallCaps/>
          <w:sz w:val="15"/>
        </w:rPr>
        <w:t>Editoriale</w:t>
      </w:r>
      <w:r>
        <w:rPr>
          <w:smallCaps/>
          <w:spacing w:val="-2"/>
          <w:sz w:val="15"/>
        </w:rPr>
        <w:t> </w:t>
      </w:r>
      <w:r>
        <w:rPr>
          <w:smallCaps/>
          <w:sz w:val="15"/>
        </w:rPr>
        <w:t>Scientifica</w:t>
      </w:r>
      <w:r>
        <w:rPr>
          <w:smallCaps/>
          <w:spacing w:val="-4"/>
          <w:sz w:val="15"/>
        </w:rPr>
        <w:t> </w:t>
      </w:r>
      <w:r>
        <w:rPr>
          <w:smallCaps/>
          <w:spacing w:val="-5"/>
          <w:sz w:val="15"/>
        </w:rPr>
        <w:t>Srl</w:t>
      </w:r>
      <w:r>
        <w:rPr>
          <w:smallCaps/>
          <w:sz w:val="15"/>
        </w:rPr>
        <w:tab/>
        <w:t>(Estratto fuori</w:t>
      </w:r>
      <w:r>
        <w:rPr>
          <w:smallCaps/>
          <w:spacing w:val="-5"/>
          <w:sz w:val="15"/>
        </w:rPr>
        <w:t> </w:t>
      </w:r>
      <w:r>
        <w:rPr>
          <w:smallCaps/>
          <w:spacing w:val="-2"/>
          <w:sz w:val="15"/>
        </w:rPr>
        <w:t>commercio)</w:t>
      </w:r>
    </w:p>
    <w:p>
      <w:pPr>
        <w:spacing w:after="0" w:line="164" w:lineRule="exact"/>
        <w:jc w:val="both"/>
        <w:rPr>
          <w:sz w:val="15"/>
        </w:rPr>
        <w:sectPr>
          <w:pgSz w:w="11910" w:h="16840"/>
          <w:pgMar w:header="0" w:footer="0" w:top="1920" w:bottom="280" w:left="1680" w:right="1680"/>
        </w:sectPr>
      </w:pPr>
    </w:p>
    <w:p>
      <w:pPr>
        <w:pStyle w:val="BodyText"/>
      </w:pPr>
    </w:p>
    <w:p>
      <w:pPr>
        <w:pStyle w:val="BodyText"/>
        <w:spacing w:before="14"/>
      </w:pPr>
    </w:p>
    <w:p>
      <w:pPr>
        <w:pStyle w:val="BodyText"/>
        <w:spacing w:line="228" w:lineRule="auto"/>
        <w:ind w:left="673" w:right="668"/>
        <w:jc w:val="both"/>
      </w:pPr>
      <w:r>
        <w:rPr/>
        <w:t>in questo caso a sezioni unite («Grande Chambre»), in data 8 aprile 2025, una seconda importante sentenza</w:t>
      </w:r>
      <w:hyperlink w:history="true" w:anchor="_bookmark0">
        <w:r>
          <w:rPr>
            <w:position w:val="7"/>
            <w:sz w:val="13"/>
          </w:rPr>
          <w:t>1</w:t>
        </w:r>
      </w:hyperlink>
      <w:r>
        <w:rPr>
          <w:spacing w:val="40"/>
          <w:position w:val="7"/>
          <w:sz w:val="13"/>
        </w:rPr>
        <w:t> </w:t>
      </w:r>
      <w:r>
        <w:rPr/>
        <w:t>avente ad oggetto l’interpretazione di un’altra disposizione-chiave del Regolamento (Ue) n. 2017/1939</w:t>
      </w:r>
      <w:r>
        <w:rPr>
          <w:spacing w:val="-1"/>
        </w:rPr>
        <w:t> </w:t>
      </w:r>
      <w:r>
        <w:rPr/>
        <w:t>istitutivo della Procura europea antifrode (acronimo in inglese: EPPO)</w:t>
      </w:r>
      <w:hyperlink w:history="true" w:anchor="_bookmark1">
        <w:r>
          <w:rPr>
            <w:position w:val="7"/>
            <w:sz w:val="13"/>
          </w:rPr>
          <w:t>2</w:t>
        </w:r>
      </w:hyperlink>
      <w:r>
        <w:rPr/>
        <w:t>. Si tratta dell’art. 42, par. 1, del Regolamento stesso, riguardante il controllo giuri- sdizionale sugli atti della Procura europea, in forza del quale: «Gli atti procedurali dell’EPPO destinati a produrre effetti giuridici nei confronti dei terzi sono soggetti al controllo degli organi giurisdizionali nazionali competenti, conformemente alle procedure e ai requisiti stabiliti dal diritto nazionale»</w:t>
      </w:r>
      <w:r>
        <w:rPr>
          <w:i/>
        </w:rPr>
        <w:t>. </w:t>
      </w:r>
      <w:r>
        <w:rPr/>
        <w:t>Si tratta di una disposizione importantissima del Regolamento EPPO che, grazie ad un’apposita previsione dell’art. 86, par. 3, del Tratta- to UE, deroga al fondamentale art. 263 del Trattato stesso in base al quale il controllo di legittimità degli atti delle istituzioni europee è di competen- za esclusiva della Corte di giustizia.</w:t>
      </w:r>
    </w:p>
    <w:p>
      <w:pPr>
        <w:pStyle w:val="BodyText"/>
        <w:spacing w:line="228" w:lineRule="auto" w:before="3"/>
        <w:ind w:left="673" w:right="667" w:firstLine="396"/>
        <w:jc w:val="both"/>
      </w:pPr>
      <w:r>
        <w:rPr/>
        <w:t>La questione interpretativa è stata posta dal giudice istruttore centrale di Madrid (Spagna) nell’ambito di un procedimento penale a carico di due direttori di una società che avevano ottenuto una sovvenzione dell’Unione per la realizzazione di un progetto di ricerca. Secondo l’accusa, i costi so- stenuti per l’assunzione di due ricercatori non erano stati sufficientemente giustificati. Al fine di acquisire informazioni al riguardo, i procuratori eu- ropei delegati (PED, organi periferici della Procura europea) operanti in Spagna avevano citato i due suddetti ricercatori a comparire come testi- moni. Gli avvocati dei due imputati impugnavano tale atto d’indagine, da un</w:t>
      </w:r>
      <w:r>
        <w:rPr>
          <w:spacing w:val="-3"/>
        </w:rPr>
        <w:t> </w:t>
      </w:r>
      <w:r>
        <w:rPr/>
        <w:t>lato</w:t>
      </w:r>
      <w:r>
        <w:rPr>
          <w:spacing w:val="-3"/>
        </w:rPr>
        <w:t> </w:t>
      </w:r>
      <w:r>
        <w:rPr/>
        <w:t>invocando</w:t>
      </w:r>
      <w:r>
        <w:rPr>
          <w:spacing w:val="-3"/>
        </w:rPr>
        <w:t> </w:t>
      </w:r>
      <w:r>
        <w:rPr/>
        <w:t>l’art.</w:t>
      </w:r>
      <w:r>
        <w:rPr>
          <w:spacing w:val="-3"/>
        </w:rPr>
        <w:t> </w:t>
      </w:r>
      <w:r>
        <w:rPr/>
        <w:t>42</w:t>
      </w:r>
      <w:r>
        <w:rPr>
          <w:spacing w:val="-3"/>
        </w:rPr>
        <w:t> </w:t>
      </w:r>
      <w:r>
        <w:rPr/>
        <w:t>del Regolamento</w:t>
      </w:r>
      <w:r>
        <w:rPr>
          <w:spacing w:val="-3"/>
        </w:rPr>
        <w:t> </w:t>
      </w:r>
      <w:r>
        <w:rPr/>
        <w:t>EPPO</w:t>
      </w:r>
      <w:r>
        <w:rPr>
          <w:spacing w:val="-5"/>
        </w:rPr>
        <w:t> </w:t>
      </w:r>
      <w:r>
        <w:rPr/>
        <w:t>e</w:t>
      </w:r>
      <w:r>
        <w:rPr>
          <w:spacing w:val="-2"/>
        </w:rPr>
        <w:t> </w:t>
      </w:r>
      <w:r>
        <w:rPr/>
        <w:t>dall’altro</w:t>
      </w:r>
      <w:r>
        <w:rPr>
          <w:spacing w:val="-6"/>
        </w:rPr>
        <w:t> </w:t>
      </w:r>
      <w:r>
        <w:rPr/>
        <w:t>contestando la legittimità dell’art. 90 della legge spagnola di attuazione del Regola- mento EPPO</w:t>
      </w:r>
      <w:hyperlink w:history="true" w:anchor="_bookmark2">
        <w:r>
          <w:rPr>
            <w:position w:val="7"/>
            <w:sz w:val="13"/>
          </w:rPr>
          <w:t>3</w:t>
        </w:r>
      </w:hyperlink>
      <w:r>
        <w:rPr>
          <w:spacing w:val="31"/>
          <w:position w:val="7"/>
          <w:sz w:val="13"/>
        </w:rPr>
        <w:t> </w:t>
      </w:r>
      <w:r>
        <w:rPr/>
        <w:t>che escludeva la citazione di testimoni dall’ambito degli atti procedurali della Procura europea impugnabili dinanzi al giudice istruttore centrale, mentre il medesimo atto d’indagine disposto da un giudice istrut- tore</w:t>
      </w:r>
      <w:r>
        <w:rPr>
          <w:spacing w:val="29"/>
        </w:rPr>
        <w:t> </w:t>
      </w:r>
      <w:r>
        <w:rPr/>
        <w:t>nazionale</w:t>
      </w:r>
      <w:r>
        <w:rPr>
          <w:spacing w:val="27"/>
        </w:rPr>
        <w:t> </w:t>
      </w:r>
      <w:r>
        <w:rPr/>
        <w:t>era</w:t>
      </w:r>
      <w:r>
        <w:rPr>
          <w:spacing w:val="27"/>
        </w:rPr>
        <w:t> </w:t>
      </w:r>
      <w:r>
        <w:rPr/>
        <w:t>impugnabile</w:t>
      </w:r>
      <w:r>
        <w:rPr>
          <w:spacing w:val="27"/>
        </w:rPr>
        <w:t> </w:t>
      </w:r>
      <w:r>
        <w:rPr/>
        <w:t>dinanzi</w:t>
      </w:r>
      <w:r>
        <w:rPr>
          <w:spacing w:val="26"/>
        </w:rPr>
        <w:t> </w:t>
      </w:r>
      <w:r>
        <w:rPr/>
        <w:t>al</w:t>
      </w:r>
      <w:r>
        <w:rPr>
          <w:spacing w:val="30"/>
        </w:rPr>
        <w:t> </w:t>
      </w:r>
      <w:r>
        <w:rPr/>
        <w:t>giudice</w:t>
      </w:r>
      <w:r>
        <w:rPr>
          <w:spacing w:val="30"/>
        </w:rPr>
        <w:t> </w:t>
      </w:r>
      <w:r>
        <w:rPr/>
        <w:t>del</w:t>
      </w:r>
      <w:r>
        <w:rPr>
          <w:spacing w:val="30"/>
        </w:rPr>
        <w:t> </w:t>
      </w:r>
      <w:r>
        <w:rPr/>
        <w:t>riesame</w:t>
      </w:r>
      <w:r>
        <w:rPr>
          <w:spacing w:val="30"/>
        </w:rPr>
        <w:t> </w:t>
      </w:r>
      <w:r>
        <w:rPr/>
        <w:t>sulla</w:t>
      </w:r>
      <w:r>
        <w:rPr>
          <w:spacing w:val="30"/>
        </w:rPr>
        <w:t> </w:t>
      </w:r>
      <w:r>
        <w:rPr>
          <w:spacing w:val="-4"/>
        </w:rPr>
        <w:t>base</w:t>
      </w:r>
    </w:p>
    <w:p>
      <w:pPr>
        <w:pStyle w:val="BodyText"/>
        <w:spacing w:before="63"/>
      </w:pPr>
    </w:p>
    <w:p>
      <w:pPr>
        <w:spacing w:line="196" w:lineRule="auto" w:before="1"/>
        <w:ind w:left="673" w:right="665" w:firstLine="284"/>
        <w:jc w:val="both"/>
        <w:rPr>
          <w:sz w:val="19"/>
        </w:rPr>
      </w:pPr>
      <w:bookmarkStart w:name="_bookmark0" w:id="1"/>
      <w:bookmarkEnd w:id="1"/>
      <w:r>
        <w:rPr/>
      </w:r>
      <w:r>
        <w:rPr>
          <w:sz w:val="19"/>
          <w:vertAlign w:val="superscript"/>
        </w:rPr>
        <w:t>1</w:t>
      </w:r>
      <w:r>
        <w:rPr>
          <w:sz w:val="19"/>
          <w:vertAlign w:val="baseline"/>
        </w:rPr>
        <w:t> Sentenza</w:t>
      </w:r>
      <w:r>
        <w:rPr>
          <w:spacing w:val="-2"/>
          <w:sz w:val="19"/>
          <w:vertAlign w:val="baseline"/>
        </w:rPr>
        <w:t> </w:t>
      </w:r>
      <w:r>
        <w:rPr>
          <w:sz w:val="19"/>
          <w:vertAlign w:val="baseline"/>
        </w:rPr>
        <w:t>dell’8</w:t>
      </w:r>
      <w:r>
        <w:rPr>
          <w:spacing w:val="-1"/>
          <w:sz w:val="19"/>
          <w:vertAlign w:val="baseline"/>
        </w:rPr>
        <w:t> </w:t>
      </w:r>
      <w:r>
        <w:rPr>
          <w:sz w:val="19"/>
          <w:vertAlign w:val="baseline"/>
        </w:rPr>
        <w:t>aprile</w:t>
      </w:r>
      <w:r>
        <w:rPr>
          <w:spacing w:val="-2"/>
          <w:sz w:val="19"/>
          <w:vertAlign w:val="baseline"/>
        </w:rPr>
        <w:t> </w:t>
      </w:r>
      <w:r>
        <w:rPr>
          <w:sz w:val="19"/>
          <w:vertAlign w:val="baseline"/>
        </w:rPr>
        <w:t>2025</w:t>
      </w:r>
      <w:r>
        <w:rPr>
          <w:spacing w:val="-1"/>
          <w:sz w:val="19"/>
          <w:vertAlign w:val="baseline"/>
        </w:rPr>
        <w:t> </w:t>
      </w:r>
      <w:r>
        <w:rPr>
          <w:sz w:val="19"/>
          <w:vertAlign w:val="baseline"/>
        </w:rPr>
        <w:t>nella</w:t>
      </w:r>
      <w:r>
        <w:rPr>
          <w:spacing w:val="-2"/>
          <w:sz w:val="19"/>
          <w:vertAlign w:val="baseline"/>
        </w:rPr>
        <w:t> </w:t>
      </w:r>
      <w:r>
        <w:rPr>
          <w:sz w:val="19"/>
          <w:vertAlign w:val="baseline"/>
        </w:rPr>
        <w:t>causa</w:t>
      </w:r>
      <w:r>
        <w:rPr>
          <w:spacing w:val="-2"/>
          <w:sz w:val="19"/>
          <w:vertAlign w:val="baseline"/>
        </w:rPr>
        <w:t> </w:t>
      </w:r>
      <w:r>
        <w:rPr>
          <w:sz w:val="19"/>
          <w:vertAlign w:val="baseline"/>
        </w:rPr>
        <w:t>pregiudiziale</w:t>
      </w:r>
      <w:r>
        <w:rPr>
          <w:spacing w:val="-2"/>
          <w:sz w:val="19"/>
          <w:vertAlign w:val="baseline"/>
        </w:rPr>
        <w:t> </w:t>
      </w:r>
      <w:r>
        <w:rPr>
          <w:sz w:val="19"/>
          <w:vertAlign w:val="baseline"/>
        </w:rPr>
        <w:t>n.</w:t>
      </w:r>
      <w:r>
        <w:rPr>
          <w:spacing w:val="-1"/>
          <w:sz w:val="19"/>
          <w:vertAlign w:val="baseline"/>
        </w:rPr>
        <w:t> </w:t>
      </w:r>
      <w:r>
        <w:rPr>
          <w:sz w:val="19"/>
          <w:vertAlign w:val="baseline"/>
        </w:rPr>
        <w:t>C-292/23,</w:t>
      </w:r>
      <w:r>
        <w:rPr>
          <w:spacing w:val="-1"/>
          <w:sz w:val="19"/>
          <w:vertAlign w:val="baseline"/>
        </w:rPr>
        <w:t> </w:t>
      </w:r>
      <w:r>
        <w:rPr>
          <w:sz w:val="19"/>
          <w:vertAlign w:val="baseline"/>
        </w:rPr>
        <w:t>Procedimento</w:t>
      </w:r>
      <w:r>
        <w:rPr>
          <w:spacing w:val="-1"/>
          <w:sz w:val="19"/>
          <w:vertAlign w:val="baseline"/>
        </w:rPr>
        <w:t> </w:t>
      </w:r>
      <w:r>
        <w:rPr>
          <w:sz w:val="19"/>
          <w:vertAlign w:val="baseline"/>
        </w:rPr>
        <w:t>penale</w:t>
      </w:r>
      <w:r>
        <w:rPr>
          <w:spacing w:val="-2"/>
          <w:sz w:val="19"/>
          <w:vertAlign w:val="baseline"/>
        </w:rPr>
        <w:t> </w:t>
      </w:r>
      <w:r>
        <w:rPr>
          <w:sz w:val="19"/>
          <w:vertAlign w:val="baseline"/>
        </w:rPr>
        <w:t>a carico di </w:t>
      </w:r>
      <w:r>
        <w:rPr>
          <w:i/>
          <w:sz w:val="19"/>
          <w:vertAlign w:val="baseline"/>
        </w:rPr>
        <w:t>I.R.O</w:t>
      </w:r>
      <w:r>
        <w:rPr>
          <w:sz w:val="19"/>
          <w:vertAlign w:val="baseline"/>
        </w:rPr>
        <w:t>. e </w:t>
      </w:r>
      <w:r>
        <w:rPr>
          <w:i/>
          <w:sz w:val="19"/>
          <w:vertAlign w:val="baseline"/>
        </w:rPr>
        <w:t>F.J.I.R, </w:t>
      </w:r>
      <w:r>
        <w:rPr>
          <w:sz w:val="19"/>
          <w:vertAlign w:val="baseline"/>
        </w:rPr>
        <w:t>EU:C:2025:255.</w:t>
      </w:r>
    </w:p>
    <w:p>
      <w:pPr>
        <w:spacing w:line="192" w:lineRule="auto" w:before="45"/>
        <w:ind w:left="673" w:right="667" w:firstLine="284"/>
        <w:jc w:val="both"/>
        <w:rPr>
          <w:sz w:val="19"/>
        </w:rPr>
      </w:pPr>
      <w:bookmarkStart w:name="_bookmark1" w:id="2"/>
      <w:bookmarkEnd w:id="2"/>
      <w:r>
        <w:rPr/>
      </w:r>
      <w:r>
        <w:rPr>
          <w:sz w:val="19"/>
          <w:vertAlign w:val="superscript"/>
        </w:rPr>
        <w:t>2</w:t>
      </w:r>
      <w:r>
        <w:rPr>
          <w:sz w:val="19"/>
          <w:vertAlign w:val="baseline"/>
        </w:rPr>
        <w:t> Regolamento</w:t>
      </w:r>
      <w:r>
        <w:rPr>
          <w:spacing w:val="-2"/>
          <w:sz w:val="19"/>
          <w:vertAlign w:val="baseline"/>
        </w:rPr>
        <w:t> </w:t>
      </w:r>
      <w:r>
        <w:rPr>
          <w:sz w:val="19"/>
          <w:vertAlign w:val="baseline"/>
        </w:rPr>
        <w:t>(Ue) n. 2017/1939 del</w:t>
      </w:r>
      <w:r>
        <w:rPr>
          <w:spacing w:val="-3"/>
          <w:sz w:val="19"/>
          <w:vertAlign w:val="baseline"/>
        </w:rPr>
        <w:t> </w:t>
      </w:r>
      <w:r>
        <w:rPr>
          <w:sz w:val="19"/>
          <w:vertAlign w:val="baseline"/>
        </w:rPr>
        <w:t>Consiglio del</w:t>
      </w:r>
      <w:r>
        <w:rPr>
          <w:spacing w:val="-3"/>
          <w:sz w:val="19"/>
          <w:vertAlign w:val="baseline"/>
        </w:rPr>
        <w:t> </w:t>
      </w:r>
      <w:r>
        <w:rPr>
          <w:sz w:val="19"/>
          <w:vertAlign w:val="baseline"/>
        </w:rPr>
        <w:t>12 ottobre</w:t>
      </w:r>
      <w:r>
        <w:rPr>
          <w:spacing w:val="-3"/>
          <w:sz w:val="19"/>
          <w:vertAlign w:val="baseline"/>
        </w:rPr>
        <w:t> </w:t>
      </w:r>
      <w:r>
        <w:rPr>
          <w:sz w:val="19"/>
          <w:vertAlign w:val="baseline"/>
        </w:rPr>
        <w:t>2017</w:t>
      </w:r>
      <w:r>
        <w:rPr>
          <w:spacing w:val="-2"/>
          <w:sz w:val="19"/>
          <w:vertAlign w:val="baseline"/>
        </w:rPr>
        <w:t> </w:t>
      </w:r>
      <w:r>
        <w:rPr>
          <w:sz w:val="19"/>
          <w:vertAlign w:val="baseline"/>
        </w:rPr>
        <w:t>relativo all’attuazione di</w:t>
      </w:r>
      <w:r>
        <w:rPr>
          <w:spacing w:val="-2"/>
          <w:sz w:val="19"/>
          <w:vertAlign w:val="baseline"/>
        </w:rPr>
        <w:t> </w:t>
      </w:r>
      <w:r>
        <w:rPr>
          <w:sz w:val="19"/>
          <w:vertAlign w:val="baseline"/>
        </w:rPr>
        <w:t>una</w:t>
      </w:r>
      <w:r>
        <w:rPr>
          <w:spacing w:val="-2"/>
          <w:sz w:val="19"/>
          <w:vertAlign w:val="baseline"/>
        </w:rPr>
        <w:t> </w:t>
      </w:r>
      <w:r>
        <w:rPr>
          <w:sz w:val="19"/>
          <w:vertAlign w:val="baseline"/>
        </w:rPr>
        <w:t>cooperazione</w:t>
      </w:r>
      <w:r>
        <w:rPr>
          <w:spacing w:val="-2"/>
          <w:sz w:val="19"/>
          <w:vertAlign w:val="baseline"/>
        </w:rPr>
        <w:t> </w:t>
      </w:r>
      <w:r>
        <w:rPr>
          <w:sz w:val="19"/>
          <w:vertAlign w:val="baseline"/>
        </w:rPr>
        <w:t>rafforzata</w:t>
      </w:r>
      <w:r>
        <w:rPr>
          <w:spacing w:val="-2"/>
          <w:sz w:val="19"/>
          <w:vertAlign w:val="baseline"/>
        </w:rPr>
        <w:t> </w:t>
      </w:r>
      <w:r>
        <w:rPr>
          <w:sz w:val="19"/>
          <w:vertAlign w:val="baseline"/>
        </w:rPr>
        <w:t>sull’istituzione</w:t>
      </w:r>
      <w:r>
        <w:rPr>
          <w:spacing w:val="-2"/>
          <w:sz w:val="19"/>
          <w:vertAlign w:val="baseline"/>
        </w:rPr>
        <w:t> </w:t>
      </w:r>
      <w:r>
        <w:rPr>
          <w:sz w:val="19"/>
          <w:vertAlign w:val="baseline"/>
        </w:rPr>
        <w:t>della</w:t>
      </w:r>
      <w:r>
        <w:rPr>
          <w:spacing w:val="-2"/>
          <w:sz w:val="19"/>
          <w:vertAlign w:val="baseline"/>
        </w:rPr>
        <w:t> </w:t>
      </w:r>
      <w:r>
        <w:rPr>
          <w:sz w:val="19"/>
          <w:vertAlign w:val="baseline"/>
        </w:rPr>
        <w:t>Procura</w:t>
      </w:r>
      <w:r>
        <w:rPr>
          <w:spacing w:val="-2"/>
          <w:sz w:val="19"/>
          <w:vertAlign w:val="baseline"/>
        </w:rPr>
        <w:t> </w:t>
      </w:r>
      <w:r>
        <w:rPr>
          <w:sz w:val="19"/>
          <w:vertAlign w:val="baseline"/>
        </w:rPr>
        <w:t>europea</w:t>
      </w:r>
      <w:r>
        <w:rPr>
          <w:spacing w:val="-2"/>
          <w:sz w:val="19"/>
          <w:vertAlign w:val="baseline"/>
        </w:rPr>
        <w:t> </w:t>
      </w:r>
      <w:r>
        <w:rPr>
          <w:sz w:val="19"/>
          <w:vertAlign w:val="baseline"/>
        </w:rPr>
        <w:t>(«EPPO»),</w:t>
      </w:r>
      <w:r>
        <w:rPr>
          <w:spacing w:val="-1"/>
          <w:sz w:val="19"/>
          <w:vertAlign w:val="baseline"/>
        </w:rPr>
        <w:t> </w:t>
      </w:r>
      <w:r>
        <w:rPr>
          <w:sz w:val="19"/>
          <w:vertAlign w:val="baseline"/>
        </w:rPr>
        <w:t>in</w:t>
      </w:r>
      <w:r>
        <w:rPr>
          <w:spacing w:val="-1"/>
          <w:sz w:val="19"/>
          <w:vertAlign w:val="baseline"/>
        </w:rPr>
        <w:t> </w:t>
      </w:r>
      <w:r>
        <w:rPr>
          <w:i/>
          <w:sz w:val="19"/>
          <w:vertAlign w:val="baseline"/>
        </w:rPr>
        <w:t>Gu-Ue</w:t>
      </w:r>
      <w:r>
        <w:rPr>
          <w:i/>
          <w:spacing w:val="-2"/>
          <w:sz w:val="19"/>
          <w:vertAlign w:val="baseline"/>
        </w:rPr>
        <w:t> </w:t>
      </w:r>
      <w:r>
        <w:rPr>
          <w:sz w:val="19"/>
          <w:vertAlign w:val="baseline"/>
        </w:rPr>
        <w:t>n.</w:t>
      </w:r>
      <w:r>
        <w:rPr>
          <w:spacing w:val="-1"/>
          <w:sz w:val="19"/>
          <w:vertAlign w:val="baseline"/>
        </w:rPr>
        <w:t> </w:t>
      </w:r>
      <w:r>
        <w:rPr>
          <w:sz w:val="19"/>
          <w:vertAlign w:val="baseline"/>
        </w:rPr>
        <w:t>L 283 del 31 ottobre 2017, pp. 1-71. Sulla genesi del Regolamento EPPO, L. S</w:t>
      </w:r>
      <w:r>
        <w:rPr>
          <w:sz w:val="15"/>
          <w:vertAlign w:val="baseline"/>
        </w:rPr>
        <w:t>ALAZAR</w:t>
      </w:r>
      <w:r>
        <w:rPr>
          <w:sz w:val="19"/>
          <w:vertAlign w:val="baseline"/>
        </w:rPr>
        <w:t>, </w:t>
      </w:r>
      <w:r>
        <w:rPr>
          <w:i/>
          <w:sz w:val="19"/>
          <w:vertAlign w:val="baseline"/>
        </w:rPr>
        <w:t>Ha-</w:t>
      </w:r>
      <w:r>
        <w:rPr>
          <w:i/>
          <w:sz w:val="19"/>
          <w:vertAlign w:val="baseline"/>
        </w:rPr>
        <w:t> bemus EPPO! La lunga marcia della Procura europea</w:t>
      </w:r>
      <w:r>
        <w:rPr>
          <w:sz w:val="19"/>
          <w:vertAlign w:val="baseline"/>
        </w:rPr>
        <w:t>, in </w:t>
      </w:r>
      <w:r>
        <w:rPr>
          <w:i/>
          <w:sz w:val="19"/>
          <w:vertAlign w:val="baseline"/>
        </w:rPr>
        <w:t>Archivio penale, </w:t>
      </w:r>
      <w:r>
        <w:rPr>
          <w:sz w:val="19"/>
          <w:vertAlign w:val="baseline"/>
        </w:rPr>
        <w:t>2017, n. 3, pp. 1- 61; P. C</w:t>
      </w:r>
      <w:r>
        <w:rPr>
          <w:sz w:val="15"/>
          <w:vertAlign w:val="baseline"/>
        </w:rPr>
        <w:t>SONKA</w:t>
      </w:r>
      <w:r>
        <w:rPr>
          <w:sz w:val="19"/>
          <w:vertAlign w:val="baseline"/>
        </w:rPr>
        <w:t>, </w:t>
      </w:r>
      <w:r>
        <w:rPr>
          <w:i/>
          <w:sz w:val="19"/>
          <w:vertAlign w:val="baseline"/>
        </w:rPr>
        <w:t>The establishment of the European Public Prosecutor’s Office, </w:t>
      </w:r>
      <w:r>
        <w:rPr>
          <w:sz w:val="19"/>
          <w:vertAlign w:val="baseline"/>
        </w:rPr>
        <w:t>in </w:t>
      </w:r>
      <w:r>
        <w:rPr>
          <w:i/>
          <w:sz w:val="19"/>
          <w:vertAlign w:val="baseline"/>
        </w:rPr>
        <w:t>Eucrim, </w:t>
      </w:r>
      <w:r>
        <w:rPr>
          <w:sz w:val="19"/>
          <w:vertAlign w:val="baseline"/>
        </w:rPr>
        <w:t>n. 3/2017, pp. 125-135; L. C</w:t>
      </w:r>
      <w:r>
        <w:rPr>
          <w:sz w:val="15"/>
          <w:vertAlign w:val="baseline"/>
        </w:rPr>
        <w:t>AMALDO</w:t>
      </w:r>
      <w:r>
        <w:rPr>
          <w:sz w:val="19"/>
          <w:vertAlign w:val="baseline"/>
        </w:rPr>
        <w:t>, </w:t>
      </w:r>
      <w:r>
        <w:rPr>
          <w:i/>
          <w:sz w:val="19"/>
          <w:vertAlign w:val="baseline"/>
        </w:rPr>
        <w:t>L’istituzione della Procura europea: il nuovo organo in-</w:t>
      </w:r>
      <w:r>
        <w:rPr>
          <w:i/>
          <w:sz w:val="19"/>
          <w:vertAlign w:val="baseline"/>
        </w:rPr>
        <w:t> vestigativo affonda le proprie radici negli ordinamenti nazionali</w:t>
      </w:r>
      <w:r>
        <w:rPr>
          <w:sz w:val="19"/>
          <w:vertAlign w:val="baseline"/>
        </w:rPr>
        <w:t>, in </w:t>
      </w:r>
      <w:r>
        <w:rPr>
          <w:i/>
          <w:sz w:val="19"/>
          <w:vertAlign w:val="baseline"/>
        </w:rPr>
        <w:t>Cass. Pen., </w:t>
      </w:r>
      <w:r>
        <w:rPr>
          <w:sz w:val="19"/>
          <w:vertAlign w:val="baseline"/>
        </w:rPr>
        <w:t>2018, p. 958. Da segnalare infine che il Regolamento (Ue) n. 2017/1939 ha formato l’oggetto di un detta- gliato commentario articolo per articolo di H. H</w:t>
      </w:r>
      <w:r>
        <w:rPr>
          <w:sz w:val="15"/>
          <w:vertAlign w:val="baseline"/>
        </w:rPr>
        <w:t>ERRNFELD </w:t>
      </w:r>
      <w:r>
        <w:rPr>
          <w:sz w:val="19"/>
          <w:vertAlign w:val="baseline"/>
        </w:rPr>
        <w:t>- D. B</w:t>
      </w:r>
      <w:r>
        <w:rPr>
          <w:sz w:val="15"/>
          <w:vertAlign w:val="baseline"/>
        </w:rPr>
        <w:t>RODOWSKI </w:t>
      </w:r>
      <w:r>
        <w:rPr>
          <w:sz w:val="19"/>
          <w:vertAlign w:val="baseline"/>
        </w:rPr>
        <w:t>- C. B</w:t>
      </w:r>
      <w:r>
        <w:rPr>
          <w:sz w:val="15"/>
          <w:vertAlign w:val="baseline"/>
        </w:rPr>
        <w:t>URCHARD</w:t>
      </w:r>
      <w:r>
        <w:rPr>
          <w:sz w:val="19"/>
          <w:vertAlign w:val="baseline"/>
        </w:rPr>
        <w:t>, </w:t>
      </w:r>
      <w:r>
        <w:rPr>
          <w:i/>
          <w:sz w:val="19"/>
          <w:vertAlign w:val="baseline"/>
        </w:rPr>
        <w:t>European Public Prosecutor’s Office</w:t>
      </w:r>
      <w:r>
        <w:rPr>
          <w:sz w:val="19"/>
          <w:vertAlign w:val="baseline"/>
        </w:rPr>
        <w:t>, Baden-Baden, Nomos, 2021.</w:t>
      </w:r>
    </w:p>
    <w:p>
      <w:pPr>
        <w:spacing w:line="197" w:lineRule="exact" w:before="17"/>
        <w:ind w:left="956" w:right="0" w:firstLine="0"/>
        <w:jc w:val="both"/>
        <w:rPr>
          <w:sz w:val="19"/>
        </w:rPr>
      </w:pPr>
      <w:bookmarkStart w:name="_bookmark2" w:id="3"/>
      <w:bookmarkEnd w:id="3"/>
      <w:r>
        <w:rPr/>
      </w:r>
      <w:r>
        <w:rPr>
          <w:sz w:val="19"/>
          <w:vertAlign w:val="superscript"/>
        </w:rPr>
        <w:t>3</w:t>
      </w:r>
      <w:r>
        <w:rPr>
          <w:spacing w:val="1"/>
          <w:sz w:val="19"/>
          <w:vertAlign w:val="baseline"/>
        </w:rPr>
        <w:t> </w:t>
      </w:r>
      <w:r>
        <w:rPr>
          <w:i/>
          <w:sz w:val="19"/>
          <w:vertAlign w:val="baseline"/>
        </w:rPr>
        <w:t>“Ley</w:t>
      </w:r>
      <w:r>
        <w:rPr>
          <w:i/>
          <w:spacing w:val="-1"/>
          <w:sz w:val="19"/>
          <w:vertAlign w:val="baseline"/>
        </w:rPr>
        <w:t> </w:t>
      </w:r>
      <w:r>
        <w:rPr>
          <w:i/>
          <w:sz w:val="19"/>
          <w:vertAlign w:val="baseline"/>
        </w:rPr>
        <w:t>Orgánica”</w:t>
      </w:r>
      <w:r>
        <w:rPr>
          <w:i/>
          <w:spacing w:val="2"/>
          <w:sz w:val="19"/>
          <w:vertAlign w:val="baseline"/>
        </w:rPr>
        <w:t> </w:t>
      </w:r>
      <w:r>
        <w:rPr>
          <w:sz w:val="19"/>
          <w:vertAlign w:val="baseline"/>
        </w:rPr>
        <w:t>n. 9/2021 del</w:t>
      </w:r>
      <w:r>
        <w:rPr>
          <w:spacing w:val="-1"/>
          <w:sz w:val="19"/>
          <w:vertAlign w:val="baseline"/>
        </w:rPr>
        <w:t> </w:t>
      </w:r>
      <w:r>
        <w:rPr>
          <w:sz w:val="19"/>
          <w:vertAlign w:val="baseline"/>
        </w:rPr>
        <w:t>1°</w:t>
      </w:r>
      <w:r>
        <w:rPr>
          <w:spacing w:val="-1"/>
          <w:sz w:val="19"/>
          <w:vertAlign w:val="baseline"/>
        </w:rPr>
        <w:t> </w:t>
      </w:r>
      <w:r>
        <w:rPr>
          <w:sz w:val="19"/>
          <w:vertAlign w:val="baseline"/>
        </w:rPr>
        <w:t>luglio 2021 recante</w:t>
      </w:r>
      <w:r>
        <w:rPr>
          <w:spacing w:val="-1"/>
          <w:sz w:val="19"/>
          <w:vertAlign w:val="baseline"/>
        </w:rPr>
        <w:t> </w:t>
      </w:r>
      <w:r>
        <w:rPr>
          <w:sz w:val="19"/>
          <w:vertAlign w:val="baseline"/>
        </w:rPr>
        <w:t>applicazione</w:t>
      </w:r>
      <w:r>
        <w:rPr>
          <w:spacing w:val="-1"/>
          <w:sz w:val="19"/>
          <w:vertAlign w:val="baseline"/>
        </w:rPr>
        <w:t> </w:t>
      </w:r>
      <w:r>
        <w:rPr>
          <w:sz w:val="19"/>
          <w:vertAlign w:val="baseline"/>
        </w:rPr>
        <w:t>del</w:t>
      </w:r>
      <w:r>
        <w:rPr>
          <w:spacing w:val="-1"/>
          <w:sz w:val="19"/>
          <w:vertAlign w:val="baseline"/>
        </w:rPr>
        <w:t> </w:t>
      </w:r>
      <w:r>
        <w:rPr>
          <w:sz w:val="19"/>
          <w:vertAlign w:val="baseline"/>
        </w:rPr>
        <w:t>Regolamento </w:t>
      </w:r>
      <w:r>
        <w:rPr>
          <w:spacing w:val="-4"/>
          <w:sz w:val="19"/>
          <w:vertAlign w:val="baseline"/>
        </w:rPr>
        <w:t>(Ue)</w:t>
      </w:r>
    </w:p>
    <w:p>
      <w:pPr>
        <w:spacing w:line="194" w:lineRule="auto" w:before="13"/>
        <w:ind w:left="673" w:right="667" w:firstLine="0"/>
        <w:jc w:val="both"/>
        <w:rPr>
          <w:sz w:val="19"/>
        </w:rPr>
      </w:pPr>
      <w:r>
        <w:rPr>
          <w:sz w:val="19"/>
        </w:rPr>
        <w:t>n. 2017/1939, pubblicata nel </w:t>
      </w:r>
      <w:r>
        <w:rPr>
          <w:i/>
          <w:sz w:val="19"/>
        </w:rPr>
        <w:t>Boletín Oficial del Estado </w:t>
      </w:r>
      <w:r>
        <w:rPr>
          <w:sz w:val="19"/>
        </w:rPr>
        <w:t>(BOE) n. 157 del 2 luglio 2021, p. </w:t>
      </w:r>
      <w:r>
        <w:rPr>
          <w:spacing w:val="-2"/>
          <w:sz w:val="19"/>
        </w:rPr>
        <w:t>78523.</w:t>
      </w:r>
    </w:p>
    <w:p>
      <w:pPr>
        <w:spacing w:after="0" w:line="194" w:lineRule="auto"/>
        <w:jc w:val="both"/>
        <w:rPr>
          <w:sz w:val="19"/>
        </w:rPr>
        <w:sectPr>
          <w:headerReference w:type="even" r:id="rId8"/>
          <w:headerReference w:type="default" r:id="rId9"/>
          <w:pgSz w:w="11910" w:h="16840"/>
          <w:pgMar w:header="2182" w:footer="0" w:top="2480" w:bottom="280" w:left="1680" w:right="1680"/>
          <w:pgNumType w:start="116"/>
        </w:sectPr>
      </w:pPr>
    </w:p>
    <w:p>
      <w:pPr>
        <w:pStyle w:val="BodyText"/>
      </w:pPr>
    </w:p>
    <w:p>
      <w:pPr>
        <w:pStyle w:val="BodyText"/>
        <w:spacing w:before="14"/>
      </w:pPr>
    </w:p>
    <w:p>
      <w:pPr>
        <w:pStyle w:val="BodyText"/>
        <w:spacing w:line="228" w:lineRule="auto"/>
        <w:ind w:left="673" w:right="668"/>
        <w:jc w:val="both"/>
      </w:pPr>
      <w:r>
        <w:rPr/>
        <w:t>delle disposizioni applicabili del codice spagnolo di procedura penale. Proprio al fine di decidere in ordine alla compatibilità con il diritto euro- peo del suddetto art. 90 della legge spagnola di attuazione del Regolamen- to</w:t>
      </w:r>
      <w:r>
        <w:rPr>
          <w:spacing w:val="-2"/>
        </w:rPr>
        <w:t> </w:t>
      </w:r>
      <w:r>
        <w:rPr/>
        <w:t>EPPO,</w:t>
      </w:r>
      <w:r>
        <w:rPr>
          <w:spacing w:val="-2"/>
        </w:rPr>
        <w:t> </w:t>
      </w:r>
      <w:r>
        <w:rPr/>
        <w:t>il</w:t>
      </w:r>
      <w:r>
        <w:rPr>
          <w:spacing w:val="-1"/>
        </w:rPr>
        <w:t> </w:t>
      </w:r>
      <w:r>
        <w:rPr/>
        <w:t>giudice</w:t>
      </w:r>
      <w:r>
        <w:rPr>
          <w:spacing w:val="-1"/>
        </w:rPr>
        <w:t> </w:t>
      </w:r>
      <w:r>
        <w:rPr/>
        <w:t>di</w:t>
      </w:r>
      <w:r>
        <w:rPr>
          <w:spacing w:val="-1"/>
        </w:rPr>
        <w:t> </w:t>
      </w:r>
      <w:r>
        <w:rPr/>
        <w:t>rinvio</w:t>
      </w:r>
      <w:r>
        <w:rPr>
          <w:spacing w:val="-2"/>
        </w:rPr>
        <w:t> </w:t>
      </w:r>
      <w:r>
        <w:rPr/>
        <w:t>ha</w:t>
      </w:r>
      <w:r>
        <w:rPr>
          <w:spacing w:val="-1"/>
        </w:rPr>
        <w:t> </w:t>
      </w:r>
      <w:r>
        <w:rPr/>
        <w:t>chiesto</w:t>
      </w:r>
      <w:r>
        <w:rPr>
          <w:spacing w:val="-2"/>
        </w:rPr>
        <w:t> </w:t>
      </w:r>
      <w:r>
        <w:rPr/>
        <w:t>alla</w:t>
      </w:r>
      <w:r>
        <w:rPr>
          <w:spacing w:val="-1"/>
        </w:rPr>
        <w:t> </w:t>
      </w:r>
      <w:r>
        <w:rPr/>
        <w:t>Corte</w:t>
      </w:r>
      <w:r>
        <w:rPr>
          <w:spacing w:val="-1"/>
        </w:rPr>
        <w:t> </w:t>
      </w:r>
      <w:r>
        <w:rPr/>
        <w:t>di</w:t>
      </w:r>
      <w:r>
        <w:rPr>
          <w:spacing w:val="-1"/>
        </w:rPr>
        <w:t> </w:t>
      </w:r>
      <w:r>
        <w:rPr/>
        <w:t>giustizia</w:t>
      </w:r>
      <w:r>
        <w:rPr>
          <w:spacing w:val="-1"/>
        </w:rPr>
        <w:t> </w:t>
      </w:r>
      <w:r>
        <w:rPr/>
        <w:t>di</w:t>
      </w:r>
      <w:r>
        <w:rPr>
          <w:spacing w:val="-1"/>
        </w:rPr>
        <w:t> </w:t>
      </w:r>
      <w:r>
        <w:rPr/>
        <w:t>interpreta- re l’art. 42 del medesimo Regolamento EPPO in relazione, da un lato, agli art. 47 (diritto ad un ricorso giurisdizionale effettivo) e art. 48 (rispetto dei diritti della</w:t>
      </w:r>
      <w:r>
        <w:rPr>
          <w:spacing w:val="-3"/>
        </w:rPr>
        <w:t> </w:t>
      </w:r>
      <w:r>
        <w:rPr/>
        <w:t>difesa)</w:t>
      </w:r>
      <w:r>
        <w:rPr>
          <w:spacing w:val="-1"/>
        </w:rPr>
        <w:t> </w:t>
      </w:r>
      <w:r>
        <w:rPr/>
        <w:t>della</w:t>
      </w:r>
      <w:r>
        <w:rPr>
          <w:spacing w:val="-3"/>
        </w:rPr>
        <w:t> </w:t>
      </w:r>
      <w:r>
        <w:rPr/>
        <w:t>Carta dei diritti fondamentali</w:t>
      </w:r>
      <w:r>
        <w:rPr>
          <w:spacing w:val="-3"/>
        </w:rPr>
        <w:t> </w:t>
      </w:r>
      <w:r>
        <w:rPr/>
        <w:t>dell’Unione</w:t>
      </w:r>
      <w:r>
        <w:rPr>
          <w:spacing w:val="-3"/>
        </w:rPr>
        <w:t> </w:t>
      </w:r>
      <w:r>
        <w:rPr/>
        <w:t>europea e dall’altro, ai principi generali di equivalenza e di effettività ai quali de- vono conformarsi le legislazioni nazionali in materia di procedimenti che disciplinano l’esercizio dei diritti conferiti ai cittadini dal diritto europeo</w:t>
      </w:r>
      <w:hyperlink w:history="true" w:anchor="_bookmark3">
        <w:r>
          <w:rPr>
            <w:position w:val="7"/>
            <w:sz w:val="13"/>
          </w:rPr>
          <w:t>4</w:t>
        </w:r>
      </w:hyperlink>
      <w:r>
        <w:rPr/>
        <w:t>.</w:t>
      </w:r>
    </w:p>
    <w:p>
      <w:pPr>
        <w:pStyle w:val="BodyText"/>
        <w:spacing w:before="166"/>
      </w:pPr>
    </w:p>
    <w:p>
      <w:pPr>
        <w:pStyle w:val="Heading1"/>
        <w:numPr>
          <w:ilvl w:val="0"/>
          <w:numId w:val="1"/>
        </w:numPr>
        <w:tabs>
          <w:tab w:pos="1068" w:val="left" w:leader="none"/>
        </w:tabs>
        <w:spacing w:line="225" w:lineRule="auto" w:before="0" w:after="0"/>
        <w:ind w:left="1068" w:right="669" w:hanging="396"/>
        <w:jc w:val="both"/>
      </w:pPr>
      <w:r>
        <w:rPr/>
        <w:t>Esame dell’art. 42 del Regolamento EPPO: il controllo giurisdi- zionale sugli atti della Procura europea</w:t>
      </w:r>
    </w:p>
    <w:p>
      <w:pPr>
        <w:pStyle w:val="ListParagraph"/>
        <w:numPr>
          <w:ilvl w:val="1"/>
          <w:numId w:val="1"/>
        </w:numPr>
        <w:tabs>
          <w:tab w:pos="1069" w:val="left" w:leader="none"/>
        </w:tabs>
        <w:spacing w:line="240" w:lineRule="auto" w:before="111" w:after="0"/>
        <w:ind w:left="1069" w:right="0" w:hanging="396"/>
        <w:jc w:val="both"/>
        <w:rPr>
          <w:i/>
          <w:sz w:val="24"/>
        </w:rPr>
      </w:pPr>
      <w:r>
        <w:rPr>
          <w:i/>
          <w:sz w:val="24"/>
        </w:rPr>
        <w:t>Genesi</w:t>
      </w:r>
      <w:r>
        <w:rPr>
          <w:i/>
          <w:spacing w:val="-3"/>
          <w:sz w:val="24"/>
        </w:rPr>
        <w:t> </w:t>
      </w:r>
      <w:r>
        <w:rPr>
          <w:i/>
          <w:sz w:val="24"/>
        </w:rPr>
        <w:t>e</w:t>
      </w:r>
      <w:r>
        <w:rPr>
          <w:i/>
          <w:spacing w:val="-2"/>
          <w:sz w:val="24"/>
        </w:rPr>
        <w:t> </w:t>
      </w:r>
      <w:r>
        <w:rPr>
          <w:i/>
          <w:sz w:val="24"/>
        </w:rPr>
        <w:t>contesto</w:t>
      </w:r>
      <w:r>
        <w:rPr>
          <w:i/>
          <w:spacing w:val="-3"/>
          <w:sz w:val="24"/>
        </w:rPr>
        <w:t> </w:t>
      </w:r>
      <w:r>
        <w:rPr>
          <w:i/>
          <w:sz w:val="24"/>
        </w:rPr>
        <w:t>istituzionale</w:t>
      </w:r>
      <w:r>
        <w:rPr>
          <w:i/>
          <w:spacing w:val="-2"/>
          <w:sz w:val="24"/>
        </w:rPr>
        <w:t> </w:t>
      </w:r>
      <w:r>
        <w:rPr>
          <w:i/>
          <w:sz w:val="24"/>
        </w:rPr>
        <w:t>dell’art.</w:t>
      </w:r>
      <w:r>
        <w:rPr>
          <w:i/>
          <w:spacing w:val="-3"/>
          <w:sz w:val="24"/>
        </w:rPr>
        <w:t> </w:t>
      </w:r>
      <w:r>
        <w:rPr>
          <w:i/>
          <w:spacing w:val="-5"/>
          <w:sz w:val="24"/>
        </w:rPr>
        <w:t>42</w:t>
      </w:r>
    </w:p>
    <w:p>
      <w:pPr>
        <w:pStyle w:val="BodyText"/>
        <w:spacing w:line="223" w:lineRule="auto" w:before="116"/>
        <w:ind w:left="673" w:right="665" w:firstLine="396"/>
        <w:jc w:val="both"/>
      </w:pPr>
      <w:r>
        <w:rPr/>
        <w:t>Al fine di comprendere appieno il “valore aggiunto” della sentenza in causa n. C-292/23 in commento, appare necessario esaminare preliminar- mente il significato e la portata della disposizione regolamentare oggetto del quesito del</w:t>
      </w:r>
      <w:r>
        <w:rPr>
          <w:spacing w:val="-1"/>
        </w:rPr>
        <w:t> </w:t>
      </w:r>
      <w:r>
        <w:rPr/>
        <w:t>giudice</w:t>
      </w:r>
      <w:r>
        <w:rPr>
          <w:spacing w:val="-1"/>
        </w:rPr>
        <w:t> </w:t>
      </w:r>
      <w:r>
        <w:rPr/>
        <w:t>istruttore spagnolo</w:t>
      </w:r>
      <w:r>
        <w:rPr>
          <w:spacing w:val="-3"/>
        </w:rPr>
        <w:t> </w:t>
      </w:r>
      <w:r>
        <w:rPr/>
        <w:t>sulla base</w:t>
      </w:r>
      <w:r>
        <w:rPr>
          <w:spacing w:val="-1"/>
        </w:rPr>
        <w:t> </w:t>
      </w:r>
      <w:r>
        <w:rPr/>
        <w:t>del</w:t>
      </w:r>
      <w:r>
        <w:rPr>
          <w:spacing w:val="-1"/>
        </w:rPr>
        <w:t> </w:t>
      </w:r>
      <w:r>
        <w:rPr/>
        <w:t>dato</w:t>
      </w:r>
      <w:r>
        <w:rPr>
          <w:spacing w:val="-2"/>
        </w:rPr>
        <w:t> </w:t>
      </w:r>
      <w:r>
        <w:rPr/>
        <w:t>testuale della norma stessa, dei punti della motivazione del Regolamento EPPO che ad essa si riferiscono e dei primi commenti formulati dalla dottrina all’indo- mani dell’adozione di tale medesimo atto legislativo. Il «controllo giuri- sdizionale» sugli «atti procedurali» della Procura europea è disciplinato</w:t>
      </w:r>
      <w:r>
        <w:rPr>
          <w:spacing w:val="40"/>
        </w:rPr>
        <w:t> </w:t>
      </w:r>
      <w:r>
        <w:rPr/>
        <w:t>dal</w:t>
      </w:r>
      <w:r>
        <w:rPr>
          <w:spacing w:val="-2"/>
        </w:rPr>
        <w:t> </w:t>
      </w:r>
      <w:r>
        <w:rPr/>
        <w:t>lungo</w:t>
      </w:r>
      <w:r>
        <w:rPr>
          <w:spacing w:val="-2"/>
        </w:rPr>
        <w:t> </w:t>
      </w:r>
      <w:r>
        <w:rPr/>
        <w:t>summenzionato</w:t>
      </w:r>
      <w:r>
        <w:rPr>
          <w:spacing w:val="-2"/>
        </w:rPr>
        <w:t> </w:t>
      </w:r>
      <w:r>
        <w:rPr/>
        <w:t>art.</w:t>
      </w:r>
      <w:r>
        <w:rPr>
          <w:spacing w:val="-2"/>
        </w:rPr>
        <w:t> </w:t>
      </w:r>
      <w:r>
        <w:rPr/>
        <w:t>42</w:t>
      </w:r>
      <w:r>
        <w:rPr>
          <w:spacing w:val="-2"/>
        </w:rPr>
        <w:t> </w:t>
      </w:r>
      <w:r>
        <w:rPr/>
        <w:t>del Regolamento</w:t>
      </w:r>
      <w:r>
        <w:rPr>
          <w:spacing w:val="-1"/>
        </w:rPr>
        <w:t> </w:t>
      </w:r>
      <w:r>
        <w:rPr/>
        <w:t>(Ue)</w:t>
      </w:r>
      <w:r>
        <w:rPr>
          <w:spacing w:val="-2"/>
        </w:rPr>
        <w:t> </w:t>
      </w:r>
      <w:r>
        <w:rPr/>
        <w:t>n.</w:t>
      </w:r>
      <w:r>
        <w:rPr>
          <w:spacing w:val="-2"/>
        </w:rPr>
        <w:t> </w:t>
      </w:r>
      <w:r>
        <w:rPr/>
        <w:t>2017/1939,</w:t>
      </w:r>
      <w:r>
        <w:rPr>
          <w:spacing w:val="-2"/>
        </w:rPr>
        <w:t> </w:t>
      </w:r>
      <w:r>
        <w:rPr/>
        <w:t>che, come ricordato da uno dei primi commentatori del Regolamento stesso</w:t>
      </w:r>
      <w:hyperlink w:history="true" w:anchor="_bookmark4">
        <w:r>
          <w:rPr>
            <w:position w:val="7"/>
            <w:sz w:val="13"/>
          </w:rPr>
          <w:t>5</w:t>
        </w:r>
      </w:hyperlink>
      <w:r>
        <w:rPr/>
        <w:t>,</w:t>
      </w:r>
      <w:r>
        <w:rPr>
          <w:spacing w:val="40"/>
        </w:rPr>
        <w:t> </w:t>
      </w:r>
      <w:r>
        <w:rPr/>
        <w:t>ha formato l’oggetto di un lungo e intenso negoziato in seno al Consiglio dei ministri della giustizia. Questi non avevano infatti accolto favorevol- mente il laconico art. 36 della proposta della Commissione</w:t>
      </w:r>
      <w:hyperlink w:history="true" w:anchor="_bookmark5">
        <w:r>
          <w:rPr>
            <w:position w:val="7"/>
            <w:sz w:val="13"/>
          </w:rPr>
          <w:t>6</w:t>
        </w:r>
      </w:hyperlink>
      <w:r>
        <w:rPr>
          <w:spacing w:val="38"/>
          <w:position w:val="7"/>
          <w:sz w:val="13"/>
        </w:rPr>
        <w:t> </w:t>
      </w:r>
      <w:r>
        <w:rPr/>
        <w:t>che, da un la- to,</w:t>
      </w:r>
      <w:r>
        <w:rPr>
          <w:spacing w:val="-2"/>
        </w:rPr>
        <w:t> </w:t>
      </w:r>
      <w:r>
        <w:rPr/>
        <w:t>non</w:t>
      </w:r>
      <w:r>
        <w:rPr>
          <w:spacing w:val="-2"/>
        </w:rPr>
        <w:t> </w:t>
      </w:r>
      <w:r>
        <w:rPr/>
        <w:t>menzionava</w:t>
      </w:r>
      <w:r>
        <w:rPr>
          <w:spacing w:val="-5"/>
        </w:rPr>
        <w:t> </w:t>
      </w:r>
      <w:r>
        <w:rPr/>
        <w:t>minimamente</w:t>
      </w:r>
      <w:r>
        <w:rPr>
          <w:spacing w:val="-5"/>
        </w:rPr>
        <w:t> </w:t>
      </w:r>
      <w:r>
        <w:rPr/>
        <w:t>la</w:t>
      </w:r>
      <w:r>
        <w:rPr>
          <w:spacing w:val="-1"/>
        </w:rPr>
        <w:t> </w:t>
      </w:r>
      <w:r>
        <w:rPr/>
        <w:t>Corte</w:t>
      </w:r>
      <w:r>
        <w:rPr>
          <w:spacing w:val="-5"/>
        </w:rPr>
        <w:t> </w:t>
      </w:r>
      <w:r>
        <w:rPr/>
        <w:t>di</w:t>
      </w:r>
      <w:r>
        <w:rPr>
          <w:spacing w:val="-1"/>
        </w:rPr>
        <w:t> </w:t>
      </w:r>
      <w:r>
        <w:rPr/>
        <w:t>giustizia</w:t>
      </w:r>
      <w:r>
        <w:rPr>
          <w:spacing w:val="-1"/>
        </w:rPr>
        <w:t> </w:t>
      </w:r>
      <w:r>
        <w:rPr/>
        <w:t>e</w:t>
      </w:r>
      <w:r>
        <w:rPr>
          <w:spacing w:val="-5"/>
        </w:rPr>
        <w:t> </w:t>
      </w:r>
      <w:r>
        <w:rPr/>
        <w:t>le</w:t>
      </w:r>
      <w:r>
        <w:rPr>
          <w:spacing w:val="-1"/>
        </w:rPr>
        <w:t> </w:t>
      </w:r>
      <w:r>
        <w:rPr/>
        <w:t>sue</w:t>
      </w:r>
      <w:r>
        <w:rPr>
          <w:spacing w:val="-1"/>
        </w:rPr>
        <w:t> </w:t>
      </w:r>
      <w:r>
        <w:rPr/>
        <w:t>competenze e,</w:t>
      </w:r>
      <w:r>
        <w:rPr>
          <w:spacing w:val="-3"/>
        </w:rPr>
        <w:t> </w:t>
      </w:r>
      <w:r>
        <w:rPr/>
        <w:t>dall’altro,</w:t>
      </w:r>
      <w:r>
        <w:rPr>
          <w:spacing w:val="-3"/>
        </w:rPr>
        <w:t> </w:t>
      </w:r>
      <w:r>
        <w:rPr/>
        <w:t>attribuiva</w:t>
      </w:r>
      <w:r>
        <w:rPr>
          <w:spacing w:val="-2"/>
        </w:rPr>
        <w:t> </w:t>
      </w:r>
      <w:r>
        <w:rPr/>
        <w:t>alle</w:t>
      </w:r>
      <w:r>
        <w:rPr>
          <w:spacing w:val="-2"/>
        </w:rPr>
        <w:t> </w:t>
      </w:r>
      <w:r>
        <w:rPr/>
        <w:t>giurisdizioni</w:t>
      </w:r>
      <w:r>
        <w:rPr>
          <w:spacing w:val="-2"/>
        </w:rPr>
        <w:t> </w:t>
      </w:r>
      <w:r>
        <w:rPr/>
        <w:t>penali</w:t>
      </w:r>
      <w:r>
        <w:rPr>
          <w:spacing w:val="-2"/>
        </w:rPr>
        <w:t> </w:t>
      </w:r>
      <w:r>
        <w:rPr/>
        <w:t>degli</w:t>
      </w:r>
      <w:r>
        <w:rPr>
          <w:spacing w:val="-2"/>
        </w:rPr>
        <w:t> </w:t>
      </w:r>
      <w:r>
        <w:rPr/>
        <w:t>Stati</w:t>
      </w:r>
      <w:r>
        <w:rPr>
          <w:spacing w:val="-2"/>
        </w:rPr>
        <w:t> </w:t>
      </w:r>
      <w:r>
        <w:rPr/>
        <w:t>membri</w:t>
      </w:r>
      <w:r>
        <w:rPr>
          <w:spacing w:val="-2"/>
        </w:rPr>
        <w:t> </w:t>
      </w:r>
      <w:r>
        <w:rPr/>
        <w:t>la</w:t>
      </w:r>
      <w:r>
        <w:rPr>
          <w:spacing w:val="-2"/>
        </w:rPr>
        <w:t> </w:t>
      </w:r>
      <w:r>
        <w:rPr/>
        <w:t>totali- tà dei controlli sugli atti della Procura europea.</w:t>
      </w:r>
    </w:p>
    <w:p>
      <w:pPr>
        <w:pStyle w:val="BodyText"/>
        <w:spacing w:before="5"/>
      </w:pPr>
    </w:p>
    <w:p>
      <w:pPr>
        <w:spacing w:line="192" w:lineRule="auto" w:before="0"/>
        <w:ind w:left="673" w:right="667" w:firstLine="284"/>
        <w:jc w:val="both"/>
        <w:rPr>
          <w:sz w:val="19"/>
        </w:rPr>
      </w:pPr>
      <w:bookmarkStart w:name="_bookmark3" w:id="4"/>
      <w:bookmarkEnd w:id="4"/>
      <w:r>
        <w:rPr/>
      </w:r>
      <w:r>
        <w:rPr>
          <w:sz w:val="19"/>
          <w:vertAlign w:val="superscript"/>
        </w:rPr>
        <w:t>4</w:t>
      </w:r>
      <w:r>
        <w:rPr>
          <w:sz w:val="19"/>
          <w:vertAlign w:val="baseline"/>
        </w:rPr>
        <w:t> La sentenza in causa n. C-292/23 ha già formato l’oggetto di alcuni commenti: M. C</w:t>
      </w:r>
      <w:r>
        <w:rPr>
          <w:sz w:val="15"/>
          <w:vertAlign w:val="baseline"/>
        </w:rPr>
        <w:t>ASTELLANETA</w:t>
      </w:r>
      <w:r>
        <w:rPr>
          <w:sz w:val="19"/>
          <w:vertAlign w:val="baseline"/>
        </w:rPr>
        <w:t>,</w:t>
      </w:r>
      <w:r>
        <w:rPr>
          <w:spacing w:val="-1"/>
          <w:sz w:val="19"/>
          <w:vertAlign w:val="baseline"/>
        </w:rPr>
        <w:t> </w:t>
      </w:r>
      <w:r>
        <w:rPr>
          <w:i/>
          <w:sz w:val="19"/>
          <w:vertAlign w:val="baseline"/>
        </w:rPr>
        <w:t>Procura</w:t>
      </w:r>
      <w:r>
        <w:rPr>
          <w:i/>
          <w:spacing w:val="-1"/>
          <w:sz w:val="19"/>
          <w:vertAlign w:val="baseline"/>
        </w:rPr>
        <w:t> </w:t>
      </w:r>
      <w:r>
        <w:rPr>
          <w:i/>
          <w:sz w:val="19"/>
          <w:vertAlign w:val="baseline"/>
        </w:rPr>
        <w:t>europea,</w:t>
      </w:r>
      <w:r>
        <w:rPr>
          <w:i/>
          <w:spacing w:val="-1"/>
          <w:sz w:val="19"/>
          <w:vertAlign w:val="baseline"/>
        </w:rPr>
        <w:t> </w:t>
      </w:r>
      <w:r>
        <w:rPr>
          <w:i/>
          <w:sz w:val="19"/>
          <w:vertAlign w:val="baseline"/>
        </w:rPr>
        <w:t>atti</w:t>
      </w:r>
      <w:r>
        <w:rPr>
          <w:i/>
          <w:spacing w:val="-2"/>
          <w:sz w:val="19"/>
          <w:vertAlign w:val="baseline"/>
        </w:rPr>
        <w:t> </w:t>
      </w:r>
      <w:r>
        <w:rPr>
          <w:i/>
          <w:sz w:val="19"/>
          <w:vertAlign w:val="baseline"/>
        </w:rPr>
        <w:t>sotto</w:t>
      </w:r>
      <w:r>
        <w:rPr>
          <w:i/>
          <w:spacing w:val="-1"/>
          <w:sz w:val="19"/>
          <w:vertAlign w:val="baseline"/>
        </w:rPr>
        <w:t> </w:t>
      </w:r>
      <w:r>
        <w:rPr>
          <w:i/>
          <w:sz w:val="19"/>
          <w:vertAlign w:val="baseline"/>
        </w:rPr>
        <w:t>il</w:t>
      </w:r>
      <w:r>
        <w:rPr>
          <w:i/>
          <w:spacing w:val="-1"/>
          <w:sz w:val="19"/>
          <w:vertAlign w:val="baseline"/>
        </w:rPr>
        <w:t> </w:t>
      </w:r>
      <w:r>
        <w:rPr>
          <w:i/>
          <w:sz w:val="19"/>
          <w:vertAlign w:val="baseline"/>
        </w:rPr>
        <w:t>controllo</w:t>
      </w:r>
      <w:r>
        <w:rPr>
          <w:i/>
          <w:spacing w:val="-1"/>
          <w:sz w:val="19"/>
          <w:vertAlign w:val="baseline"/>
        </w:rPr>
        <w:t> </w:t>
      </w:r>
      <w:r>
        <w:rPr>
          <w:i/>
          <w:sz w:val="19"/>
          <w:vertAlign w:val="baseline"/>
        </w:rPr>
        <w:t>del</w:t>
      </w:r>
      <w:r>
        <w:rPr>
          <w:i/>
          <w:spacing w:val="-2"/>
          <w:sz w:val="19"/>
          <w:vertAlign w:val="baseline"/>
        </w:rPr>
        <w:t> </w:t>
      </w:r>
      <w:r>
        <w:rPr>
          <w:i/>
          <w:sz w:val="19"/>
          <w:vertAlign w:val="baseline"/>
        </w:rPr>
        <w:t>giudice</w:t>
      </w:r>
      <w:r>
        <w:rPr>
          <w:i/>
          <w:spacing w:val="-2"/>
          <w:sz w:val="19"/>
          <w:vertAlign w:val="baseline"/>
        </w:rPr>
        <w:t> </w:t>
      </w:r>
      <w:r>
        <w:rPr>
          <w:i/>
          <w:sz w:val="19"/>
          <w:vertAlign w:val="baseline"/>
        </w:rPr>
        <w:t>nazionale</w:t>
      </w:r>
      <w:r>
        <w:rPr>
          <w:i/>
          <w:spacing w:val="-2"/>
          <w:sz w:val="19"/>
          <w:vertAlign w:val="baseline"/>
        </w:rPr>
        <w:t> </w:t>
      </w:r>
      <w:r>
        <w:rPr>
          <w:i/>
          <w:sz w:val="19"/>
          <w:vertAlign w:val="baseline"/>
        </w:rPr>
        <w:t>se</w:t>
      </w:r>
      <w:r>
        <w:rPr>
          <w:i/>
          <w:spacing w:val="-2"/>
          <w:sz w:val="19"/>
          <w:vertAlign w:val="baseline"/>
        </w:rPr>
        <w:t> </w:t>
      </w:r>
      <w:r>
        <w:rPr>
          <w:i/>
          <w:sz w:val="19"/>
          <w:vertAlign w:val="baseline"/>
        </w:rPr>
        <w:t>incidono</w:t>
      </w:r>
      <w:r>
        <w:rPr>
          <w:i/>
          <w:spacing w:val="-1"/>
          <w:sz w:val="19"/>
          <w:vertAlign w:val="baseline"/>
        </w:rPr>
        <w:t> </w:t>
      </w:r>
      <w:r>
        <w:rPr>
          <w:i/>
          <w:sz w:val="19"/>
          <w:vertAlign w:val="baseline"/>
        </w:rPr>
        <w:t>sul-</w:t>
      </w:r>
      <w:r>
        <w:rPr>
          <w:i/>
          <w:sz w:val="19"/>
          <w:vertAlign w:val="baseline"/>
        </w:rPr>
        <w:t> lo stato giuridico delle persone</w:t>
      </w:r>
      <w:r>
        <w:rPr>
          <w:sz w:val="19"/>
          <w:vertAlign w:val="baseline"/>
        </w:rPr>
        <w:t>, in </w:t>
      </w:r>
      <w:r>
        <w:rPr>
          <w:i/>
          <w:sz w:val="19"/>
          <w:vertAlign w:val="baseline"/>
        </w:rPr>
        <w:t>MyDesk 24 - Guida al Diritto</w:t>
      </w:r>
      <w:r>
        <w:rPr>
          <w:sz w:val="19"/>
          <w:vertAlign w:val="baseline"/>
        </w:rPr>
        <w:t>, 17 maggio 2025, n. 18, pp. 96-98; B. M</w:t>
      </w:r>
      <w:r>
        <w:rPr>
          <w:sz w:val="15"/>
          <w:vertAlign w:val="baseline"/>
        </w:rPr>
        <w:t>INUCCI</w:t>
      </w:r>
      <w:r>
        <w:rPr>
          <w:sz w:val="19"/>
          <w:vertAlign w:val="baseline"/>
        </w:rPr>
        <w:t>, </w:t>
      </w:r>
      <w:r>
        <w:rPr>
          <w:i/>
          <w:sz w:val="19"/>
          <w:vertAlign w:val="baseline"/>
        </w:rPr>
        <w:t>Verso un controllo uniforme degli atti procedurali della Procura euro-</w:t>
      </w:r>
      <w:r>
        <w:rPr>
          <w:i/>
          <w:sz w:val="19"/>
          <w:vertAlign w:val="baseline"/>
        </w:rPr>
        <w:t> pea:</w:t>
      </w:r>
      <w:r>
        <w:rPr>
          <w:i/>
          <w:spacing w:val="-2"/>
          <w:sz w:val="19"/>
          <w:vertAlign w:val="baseline"/>
        </w:rPr>
        <w:t> </w:t>
      </w:r>
      <w:r>
        <w:rPr>
          <w:i/>
          <w:sz w:val="19"/>
          <w:vertAlign w:val="baseline"/>
        </w:rPr>
        <w:t>la</w:t>
      </w:r>
      <w:r>
        <w:rPr>
          <w:i/>
          <w:spacing w:val="-2"/>
          <w:sz w:val="19"/>
          <w:vertAlign w:val="baseline"/>
        </w:rPr>
        <w:t> </w:t>
      </w:r>
      <w:r>
        <w:rPr>
          <w:i/>
          <w:sz w:val="19"/>
          <w:vertAlign w:val="baseline"/>
        </w:rPr>
        <w:t>prima</w:t>
      </w:r>
      <w:r>
        <w:rPr>
          <w:i/>
          <w:spacing w:val="-6"/>
          <w:sz w:val="19"/>
          <w:vertAlign w:val="baseline"/>
        </w:rPr>
        <w:t> </w:t>
      </w:r>
      <w:r>
        <w:rPr>
          <w:i/>
          <w:sz w:val="19"/>
          <w:vertAlign w:val="baseline"/>
        </w:rPr>
        <w:t>parola</w:t>
      </w:r>
      <w:r>
        <w:rPr>
          <w:i/>
          <w:spacing w:val="-2"/>
          <w:sz w:val="19"/>
          <w:vertAlign w:val="baseline"/>
        </w:rPr>
        <w:t> </w:t>
      </w:r>
      <w:r>
        <w:rPr>
          <w:i/>
          <w:sz w:val="19"/>
          <w:vertAlign w:val="baseline"/>
        </w:rPr>
        <w:t>della</w:t>
      </w:r>
      <w:r>
        <w:rPr>
          <w:i/>
          <w:spacing w:val="-2"/>
          <w:sz w:val="19"/>
          <w:vertAlign w:val="baseline"/>
        </w:rPr>
        <w:t> </w:t>
      </w:r>
      <w:r>
        <w:rPr>
          <w:i/>
          <w:sz w:val="19"/>
          <w:vertAlign w:val="baseline"/>
        </w:rPr>
        <w:t>Corte</w:t>
      </w:r>
      <w:r>
        <w:rPr>
          <w:i/>
          <w:spacing w:val="-3"/>
          <w:sz w:val="19"/>
          <w:vertAlign w:val="baseline"/>
        </w:rPr>
        <w:t> </w:t>
      </w:r>
      <w:r>
        <w:rPr>
          <w:i/>
          <w:sz w:val="19"/>
          <w:vertAlign w:val="baseline"/>
        </w:rPr>
        <w:t>di</w:t>
      </w:r>
      <w:r>
        <w:rPr>
          <w:i/>
          <w:spacing w:val="-3"/>
          <w:sz w:val="19"/>
          <w:vertAlign w:val="baseline"/>
        </w:rPr>
        <w:t> </w:t>
      </w:r>
      <w:r>
        <w:rPr>
          <w:i/>
          <w:sz w:val="19"/>
          <w:vertAlign w:val="baseline"/>
        </w:rPr>
        <w:t>giustizia</w:t>
      </w:r>
      <w:r>
        <w:rPr>
          <w:sz w:val="19"/>
          <w:vertAlign w:val="baseline"/>
        </w:rPr>
        <w:t>,</w:t>
      </w:r>
      <w:r>
        <w:rPr>
          <w:spacing w:val="-2"/>
          <w:sz w:val="19"/>
          <w:vertAlign w:val="baseline"/>
        </w:rPr>
        <w:t> </w:t>
      </w:r>
      <w:r>
        <w:rPr>
          <w:sz w:val="19"/>
          <w:vertAlign w:val="baseline"/>
        </w:rPr>
        <w:t>in</w:t>
      </w:r>
      <w:r>
        <w:rPr>
          <w:spacing w:val="-2"/>
          <w:sz w:val="19"/>
          <w:vertAlign w:val="baseline"/>
        </w:rPr>
        <w:t> </w:t>
      </w:r>
      <w:r>
        <w:rPr>
          <w:i/>
          <w:sz w:val="19"/>
          <w:vertAlign w:val="baseline"/>
        </w:rPr>
        <w:t>Eurojus</w:t>
      </w:r>
      <w:r>
        <w:rPr>
          <w:sz w:val="19"/>
          <w:vertAlign w:val="baseline"/>
        </w:rPr>
        <w:t>,</w:t>
      </w:r>
      <w:r>
        <w:rPr>
          <w:spacing w:val="-2"/>
          <w:sz w:val="19"/>
          <w:vertAlign w:val="baseline"/>
        </w:rPr>
        <w:t> </w:t>
      </w:r>
      <w:r>
        <w:rPr>
          <w:sz w:val="19"/>
          <w:vertAlign w:val="baseline"/>
        </w:rPr>
        <w:t>5/2025;</w:t>
      </w:r>
      <w:r>
        <w:rPr>
          <w:spacing w:val="-3"/>
          <w:sz w:val="19"/>
          <w:vertAlign w:val="baseline"/>
        </w:rPr>
        <w:t> </w:t>
      </w:r>
      <w:r>
        <w:rPr>
          <w:sz w:val="19"/>
          <w:vertAlign w:val="baseline"/>
        </w:rPr>
        <w:t>J.</w:t>
      </w:r>
      <w:r>
        <w:rPr>
          <w:spacing w:val="-5"/>
          <w:sz w:val="19"/>
          <w:vertAlign w:val="baseline"/>
        </w:rPr>
        <w:t> </w:t>
      </w:r>
      <w:r>
        <w:rPr>
          <w:sz w:val="19"/>
          <w:vertAlign w:val="baseline"/>
        </w:rPr>
        <w:t>O</w:t>
      </w:r>
      <w:r>
        <w:rPr>
          <w:sz w:val="15"/>
          <w:vertAlign w:val="baseline"/>
        </w:rPr>
        <w:t>BERG</w:t>
      </w:r>
      <w:r>
        <w:rPr>
          <w:i/>
          <w:sz w:val="19"/>
          <w:vertAlign w:val="baseline"/>
        </w:rPr>
        <w:t>,</w:t>
      </w:r>
      <w:r>
        <w:rPr>
          <w:i/>
          <w:spacing w:val="-2"/>
          <w:sz w:val="19"/>
          <w:vertAlign w:val="baseline"/>
        </w:rPr>
        <w:t> </w:t>
      </w:r>
      <w:r>
        <w:rPr>
          <w:i/>
          <w:sz w:val="19"/>
          <w:vertAlign w:val="baseline"/>
        </w:rPr>
        <w:t>Effective</w:t>
      </w:r>
      <w:r>
        <w:rPr>
          <w:i/>
          <w:spacing w:val="-3"/>
          <w:sz w:val="19"/>
          <w:vertAlign w:val="baseline"/>
        </w:rPr>
        <w:t> </w:t>
      </w:r>
      <w:r>
        <w:rPr>
          <w:i/>
          <w:sz w:val="19"/>
          <w:vertAlign w:val="baseline"/>
        </w:rPr>
        <w:t>remedies</w:t>
      </w:r>
      <w:r>
        <w:rPr>
          <w:i/>
          <w:sz w:val="19"/>
          <w:vertAlign w:val="baseline"/>
        </w:rPr>
        <w:t> and procedural autonomy. Judicial review of actions by the European Public Prosecutor (C- 292/23, EPPO v. I.R.O.)</w:t>
      </w:r>
      <w:r>
        <w:rPr>
          <w:sz w:val="19"/>
          <w:vertAlign w:val="baseline"/>
        </w:rPr>
        <w:t>, in </w:t>
      </w:r>
      <w:r>
        <w:rPr>
          <w:i/>
          <w:sz w:val="19"/>
          <w:vertAlign w:val="baseline"/>
        </w:rPr>
        <w:t>EU law Live</w:t>
      </w:r>
      <w:r>
        <w:rPr>
          <w:sz w:val="19"/>
          <w:vertAlign w:val="baseline"/>
        </w:rPr>
        <w:t>, 23 aprile 2025.</w:t>
      </w:r>
    </w:p>
    <w:p>
      <w:pPr>
        <w:spacing w:line="196" w:lineRule="auto" w:before="46"/>
        <w:ind w:left="673" w:right="665" w:firstLine="284"/>
        <w:jc w:val="both"/>
        <w:rPr>
          <w:sz w:val="19"/>
        </w:rPr>
      </w:pPr>
      <w:bookmarkStart w:name="_bookmark4" w:id="5"/>
      <w:bookmarkEnd w:id="5"/>
      <w:r>
        <w:rPr/>
      </w:r>
      <w:r>
        <w:rPr>
          <w:sz w:val="19"/>
          <w:vertAlign w:val="superscript"/>
        </w:rPr>
        <w:t>5</w:t>
      </w:r>
      <w:r>
        <w:rPr>
          <w:sz w:val="19"/>
          <w:vertAlign w:val="baseline"/>
        </w:rPr>
        <w:t> L. S</w:t>
      </w:r>
      <w:r>
        <w:rPr>
          <w:sz w:val="15"/>
          <w:vertAlign w:val="baseline"/>
        </w:rPr>
        <w:t>ALAZAR</w:t>
      </w:r>
      <w:r>
        <w:rPr>
          <w:sz w:val="19"/>
          <w:vertAlign w:val="baseline"/>
        </w:rPr>
        <w:t>, </w:t>
      </w:r>
      <w:r>
        <w:rPr>
          <w:i/>
          <w:sz w:val="19"/>
          <w:vertAlign w:val="baseline"/>
        </w:rPr>
        <w:t>Habemus EPPO! La lunga marcia della Procura europea, cit. supra</w:t>
      </w:r>
      <w:r>
        <w:rPr>
          <w:sz w:val="19"/>
          <w:vertAlign w:val="baseline"/>
        </w:rPr>
        <w:t>, nota</w:t>
      </w:r>
      <w:r>
        <w:rPr>
          <w:spacing w:val="40"/>
          <w:sz w:val="19"/>
          <w:vertAlign w:val="baseline"/>
        </w:rPr>
        <w:t> </w:t>
      </w:r>
      <w:r>
        <w:rPr>
          <w:sz w:val="19"/>
          <w:vertAlign w:val="baseline"/>
        </w:rPr>
        <w:t>2, p. 34 ss.</w:t>
      </w:r>
    </w:p>
    <w:p>
      <w:pPr>
        <w:spacing w:line="194" w:lineRule="auto" w:before="47"/>
        <w:ind w:left="673" w:right="667" w:firstLine="284"/>
        <w:jc w:val="both"/>
        <w:rPr>
          <w:sz w:val="19"/>
        </w:rPr>
      </w:pPr>
      <w:bookmarkStart w:name="_bookmark5" w:id="6"/>
      <w:bookmarkEnd w:id="6"/>
      <w:r>
        <w:rPr/>
      </w:r>
      <w:r>
        <w:rPr>
          <w:sz w:val="19"/>
          <w:vertAlign w:val="superscript"/>
        </w:rPr>
        <w:t>6</w:t>
      </w:r>
      <w:r>
        <w:rPr>
          <w:sz w:val="19"/>
          <w:vertAlign w:val="baseline"/>
        </w:rPr>
        <w:t> Art. 36, par. 1, della proposta di Regolamento presentata dalla Commissione: «Quando adotta atti procedurali nell’esercizio delle sue funzioni, la Procura europea è considerata un’autorità nazionale ai fini del controllo giurisdizionale».</w:t>
      </w:r>
    </w:p>
    <w:p>
      <w:pPr>
        <w:spacing w:after="0" w:line="194" w:lineRule="auto"/>
        <w:jc w:val="both"/>
        <w:rPr>
          <w:sz w:val="19"/>
        </w:rPr>
        <w:sectPr>
          <w:pgSz w:w="11910" w:h="16840"/>
          <w:pgMar w:header="2182" w:footer="0" w:top="2480" w:bottom="280" w:left="1680" w:right="1680"/>
        </w:sectPr>
      </w:pPr>
    </w:p>
    <w:p>
      <w:pPr>
        <w:pStyle w:val="BodyText"/>
      </w:pPr>
    </w:p>
    <w:p>
      <w:pPr>
        <w:pStyle w:val="BodyText"/>
        <w:spacing w:before="14"/>
      </w:pPr>
    </w:p>
    <w:p>
      <w:pPr>
        <w:pStyle w:val="BodyText"/>
        <w:spacing w:line="228" w:lineRule="auto"/>
        <w:ind w:left="673" w:right="669" w:firstLine="396"/>
        <w:jc w:val="both"/>
      </w:pPr>
      <w:r>
        <w:rPr/>
        <w:t>In realtà, l’esito degli approfonditi dibattiti in seno al Consiglio dei ministri ha confermato «la sostanza dell’approccio iniziale della Commis- sione»</w:t>
      </w:r>
      <w:hyperlink w:history="true" w:anchor="_bookmark6">
        <w:r>
          <w:rPr>
            <w:position w:val="7"/>
            <w:sz w:val="13"/>
          </w:rPr>
          <w:t>7</w:t>
        </w:r>
      </w:hyperlink>
      <w:r>
        <w:rPr/>
        <w:t>, ma ha aggiunto all’art. 42, avente ad oggetto il controllo giurisdi- zionale, una serie di disposizioni che richiamano espressamente, senza pe- raltro</w:t>
      </w:r>
      <w:r>
        <w:rPr>
          <w:spacing w:val="-4"/>
        </w:rPr>
        <w:t> </w:t>
      </w:r>
      <w:r>
        <w:rPr/>
        <w:t>modificarle,</w:t>
      </w:r>
      <w:r>
        <w:rPr>
          <w:spacing w:val="-9"/>
        </w:rPr>
        <w:t> </w:t>
      </w:r>
      <w:r>
        <w:rPr/>
        <w:t>le</w:t>
      </w:r>
      <w:r>
        <w:rPr>
          <w:spacing w:val="-3"/>
        </w:rPr>
        <w:t> </w:t>
      </w:r>
      <w:r>
        <w:rPr/>
        <w:t>principali</w:t>
      </w:r>
      <w:r>
        <w:rPr>
          <w:spacing w:val="-3"/>
        </w:rPr>
        <w:t> </w:t>
      </w:r>
      <w:r>
        <w:rPr/>
        <w:t>competenze</w:t>
      </w:r>
      <w:r>
        <w:rPr>
          <w:spacing w:val="-3"/>
        </w:rPr>
        <w:t> </w:t>
      </w:r>
      <w:r>
        <w:rPr/>
        <w:t>conferite</w:t>
      </w:r>
      <w:r>
        <w:rPr>
          <w:spacing w:val="-3"/>
        </w:rPr>
        <w:t> </w:t>
      </w:r>
      <w:r>
        <w:rPr/>
        <w:t>alla</w:t>
      </w:r>
      <w:r>
        <w:rPr>
          <w:spacing w:val="-3"/>
        </w:rPr>
        <w:t> </w:t>
      </w:r>
      <w:r>
        <w:rPr/>
        <w:t>Corte</w:t>
      </w:r>
      <w:r>
        <w:rPr>
          <w:spacing w:val="-3"/>
        </w:rPr>
        <w:t> </w:t>
      </w:r>
      <w:r>
        <w:rPr/>
        <w:t>di</w:t>
      </w:r>
      <w:r>
        <w:rPr>
          <w:spacing w:val="-3"/>
        </w:rPr>
        <w:t> </w:t>
      </w:r>
      <w:r>
        <w:rPr/>
        <w:t>giustizia direttamente dal Trattato. Va ricordato, infatti, che il margine di manovra del legislatore secondario dell’Unione</w:t>
      </w:r>
      <w:r>
        <w:rPr>
          <w:spacing w:val="-2"/>
        </w:rPr>
        <w:t> </w:t>
      </w:r>
      <w:r>
        <w:rPr/>
        <w:t>in</w:t>
      </w:r>
      <w:r>
        <w:rPr>
          <w:spacing w:val="-3"/>
        </w:rPr>
        <w:t> </w:t>
      </w:r>
      <w:r>
        <w:rPr/>
        <w:t>materia di regime delle</w:t>
      </w:r>
      <w:r>
        <w:rPr>
          <w:spacing w:val="-2"/>
        </w:rPr>
        <w:t> </w:t>
      </w:r>
      <w:r>
        <w:rPr/>
        <w:t>impugna- zioni degli atti della Procura europea era fin dall’inizio fortemente condi- zionato da due decisive limitazioni derivanti dagli artt. 82, 83 e 86 del Trattato. Da un lato, infatti, l’art. 86, par.</w:t>
      </w:r>
      <w:r>
        <w:rPr>
          <w:spacing w:val="-1"/>
        </w:rPr>
        <w:t> </w:t>
      </w:r>
      <w:r>
        <w:rPr/>
        <w:t>2, obbliga la Procura europea ad esercitare l’azione penale «dinanzi agli organi giurisdizionali competenti degli Stati membri». D’altro lato, gli artt. 82 e 83 del Trattato limitano ad alcuni specifici settori la competenza legislativa dell’Unione europea in materia</w:t>
      </w:r>
      <w:r>
        <w:rPr>
          <w:spacing w:val="-3"/>
        </w:rPr>
        <w:t> </w:t>
      </w:r>
      <w:r>
        <w:rPr/>
        <w:t>di</w:t>
      </w:r>
      <w:r>
        <w:rPr>
          <w:spacing w:val="-3"/>
        </w:rPr>
        <w:t> </w:t>
      </w:r>
      <w:r>
        <w:rPr/>
        <w:t>diritto</w:t>
      </w:r>
      <w:r>
        <w:rPr>
          <w:spacing w:val="-4"/>
        </w:rPr>
        <w:t> </w:t>
      </w:r>
      <w:r>
        <w:rPr/>
        <w:t>penale</w:t>
      </w:r>
      <w:r>
        <w:rPr>
          <w:spacing w:val="-3"/>
        </w:rPr>
        <w:t> </w:t>
      </w:r>
      <w:r>
        <w:rPr/>
        <w:t>sostanziale</w:t>
      </w:r>
      <w:r>
        <w:rPr>
          <w:spacing w:val="-3"/>
        </w:rPr>
        <w:t> </w:t>
      </w:r>
      <w:r>
        <w:rPr/>
        <w:t>e</w:t>
      </w:r>
      <w:r>
        <w:rPr>
          <w:spacing w:val="-3"/>
        </w:rPr>
        <w:t> </w:t>
      </w:r>
      <w:r>
        <w:rPr/>
        <w:t>processuale.</w:t>
      </w:r>
      <w:r>
        <w:rPr>
          <w:spacing w:val="-4"/>
        </w:rPr>
        <w:t> </w:t>
      </w:r>
      <w:r>
        <w:rPr/>
        <w:t>Da</w:t>
      </w:r>
      <w:r>
        <w:rPr>
          <w:spacing w:val="-3"/>
        </w:rPr>
        <w:t> </w:t>
      </w:r>
      <w:r>
        <w:rPr/>
        <w:t>queste</w:t>
      </w:r>
      <w:r>
        <w:rPr>
          <w:spacing w:val="-3"/>
        </w:rPr>
        <w:t> </w:t>
      </w:r>
      <w:r>
        <w:rPr/>
        <w:t>due</w:t>
      </w:r>
      <w:r>
        <w:rPr>
          <w:spacing w:val="-3"/>
        </w:rPr>
        <w:t> </w:t>
      </w:r>
      <w:r>
        <w:rPr/>
        <w:t>premesse è scaturita la constatazione, formulata nel </w:t>
      </w:r>
      <w:r>
        <w:rPr>
          <w:i/>
        </w:rPr>
        <w:t>considerando </w:t>
      </w:r>
      <w:r>
        <w:rPr/>
        <w:t>n. 87 del Regola- mento EPPO, in base alla quale: «Gli atti predisposti dall’EPPO nel corso delle indagini sono strettamente collegati all’azione penale che ne può conseguire e pertanto producono i loro effetti negli ordinamenti giuridici degli Stati membri».</w:t>
      </w:r>
    </w:p>
    <w:p>
      <w:pPr>
        <w:pStyle w:val="BodyText"/>
        <w:spacing w:line="228" w:lineRule="auto" w:before="1"/>
        <w:ind w:left="673" w:right="673" w:firstLine="396"/>
        <w:jc w:val="both"/>
      </w:pPr>
      <w:r>
        <w:rPr/>
        <w:t>Se, quindi, la Procura europea si trova ad operare in un contesto di re- gole contenute quasi interamente – ad eccezione delle norme dello stesso Regolamento EPPO – in leggi nazionali solo in minima parte armonizzate a livello dell’Unione, niente di più logico che il controllo sulla legittimità degli atti della Procura medesima relativi ai procedimenti penali sia stato attribuito dal legislatore</w:t>
      </w:r>
      <w:r>
        <w:rPr>
          <w:spacing w:val="-2"/>
        </w:rPr>
        <w:t> </w:t>
      </w:r>
      <w:r>
        <w:rPr/>
        <w:t>europeo ai giudici degli</w:t>
      </w:r>
      <w:r>
        <w:rPr>
          <w:spacing w:val="-2"/>
        </w:rPr>
        <w:t> </w:t>
      </w:r>
      <w:r>
        <w:rPr/>
        <w:t>Stati membri,</w:t>
      </w:r>
      <w:r>
        <w:rPr>
          <w:spacing w:val="-3"/>
        </w:rPr>
        <w:t> </w:t>
      </w:r>
      <w:r>
        <w:rPr/>
        <w:t>come stabi- lito nell’importantissima e già menzionata disposizione di cui all’art. 42, par. 1, prima frase, del Regolamento.</w:t>
      </w:r>
    </w:p>
    <w:p>
      <w:pPr>
        <w:pStyle w:val="BodyText"/>
        <w:spacing w:line="228" w:lineRule="auto" w:before="2"/>
        <w:ind w:left="673" w:right="667" w:firstLine="396"/>
        <w:jc w:val="both"/>
      </w:pPr>
      <w:r>
        <w:rPr/>
        <w:t>Si tratta, come già sopra rilevato, di una deroga del tutto eccezionale</w:t>
      </w:r>
      <w:r>
        <w:rPr>
          <w:spacing w:val="80"/>
        </w:rPr>
        <w:t> </w:t>
      </w:r>
      <w:r>
        <w:rPr/>
        <w:t>al principio generale dell’ordinamento europeo secondo il quale «(…) spetta al giudice dell’Unione, a titolo della sua competenza esclusiva sul controllo di legittimità sugli atti dell’Unione ai sensi dell’art. 263 TFUE (…) statuire sulla legittimità della decisione finale adottata dall’istituzione dell’Unione</w:t>
      </w:r>
      <w:r>
        <w:rPr>
          <w:spacing w:val="23"/>
        </w:rPr>
        <w:t> </w:t>
      </w:r>
      <w:r>
        <w:rPr/>
        <w:t>di</w:t>
      </w:r>
      <w:r>
        <w:rPr>
          <w:spacing w:val="23"/>
        </w:rPr>
        <w:t> </w:t>
      </w:r>
      <w:r>
        <w:rPr/>
        <w:t>cui</w:t>
      </w:r>
      <w:r>
        <w:rPr>
          <w:spacing w:val="22"/>
        </w:rPr>
        <w:t> </w:t>
      </w:r>
      <w:r>
        <w:rPr/>
        <w:t>trattasi</w:t>
      </w:r>
      <w:r>
        <w:rPr>
          <w:spacing w:val="29"/>
        </w:rPr>
        <w:t> </w:t>
      </w:r>
      <w:r>
        <w:rPr/>
        <w:t>(…)»</w:t>
      </w:r>
      <w:hyperlink w:history="true" w:anchor="_bookmark7">
        <w:r>
          <w:rPr>
            <w:position w:val="7"/>
            <w:sz w:val="13"/>
          </w:rPr>
          <w:t>8</w:t>
        </w:r>
      </w:hyperlink>
      <w:r>
        <w:rPr/>
        <w:t>,</w:t>
      </w:r>
      <w:r>
        <w:rPr>
          <w:spacing w:val="21"/>
        </w:rPr>
        <w:t> </w:t>
      </w:r>
      <w:r>
        <w:rPr/>
        <w:t>deroga</w:t>
      </w:r>
      <w:r>
        <w:rPr>
          <w:spacing w:val="19"/>
        </w:rPr>
        <w:t> </w:t>
      </w:r>
      <w:r>
        <w:rPr/>
        <w:t>peraltro</w:t>
      </w:r>
      <w:r>
        <w:rPr>
          <w:spacing w:val="18"/>
        </w:rPr>
        <w:t> </w:t>
      </w:r>
      <w:r>
        <w:rPr/>
        <w:t>espressamente</w:t>
      </w:r>
      <w:r>
        <w:rPr>
          <w:spacing w:val="23"/>
        </w:rPr>
        <w:t> </w:t>
      </w:r>
      <w:r>
        <w:rPr>
          <w:spacing w:val="-2"/>
        </w:rPr>
        <w:t>prevista,</w:t>
      </w:r>
    </w:p>
    <w:p>
      <w:pPr>
        <w:pStyle w:val="BodyText"/>
        <w:spacing w:before="123"/>
      </w:pPr>
    </w:p>
    <w:p>
      <w:pPr>
        <w:spacing w:before="0"/>
        <w:ind w:left="956" w:right="0" w:firstLine="0"/>
        <w:jc w:val="both"/>
        <w:rPr>
          <w:sz w:val="19"/>
        </w:rPr>
      </w:pPr>
      <w:bookmarkStart w:name="_bookmark6" w:id="7"/>
      <w:bookmarkEnd w:id="7"/>
      <w:r>
        <w:rPr/>
      </w:r>
      <w:r>
        <w:rPr>
          <w:spacing w:val="-2"/>
          <w:sz w:val="19"/>
          <w:vertAlign w:val="superscript"/>
        </w:rPr>
        <w:t>7</w:t>
      </w:r>
      <w:r>
        <w:rPr>
          <w:spacing w:val="1"/>
          <w:sz w:val="19"/>
          <w:vertAlign w:val="baseline"/>
        </w:rPr>
        <w:t> </w:t>
      </w:r>
      <w:r>
        <w:rPr>
          <w:spacing w:val="-2"/>
          <w:sz w:val="19"/>
          <w:vertAlign w:val="baseline"/>
        </w:rPr>
        <w:t>L.</w:t>
      </w:r>
      <w:r>
        <w:rPr>
          <w:spacing w:val="-8"/>
          <w:sz w:val="19"/>
          <w:vertAlign w:val="baseline"/>
        </w:rPr>
        <w:t> </w:t>
      </w:r>
      <w:r>
        <w:rPr>
          <w:spacing w:val="-2"/>
          <w:sz w:val="19"/>
          <w:vertAlign w:val="baseline"/>
        </w:rPr>
        <w:t>S</w:t>
      </w:r>
      <w:r>
        <w:rPr>
          <w:spacing w:val="-2"/>
          <w:sz w:val="15"/>
          <w:vertAlign w:val="baseline"/>
        </w:rPr>
        <w:t>ALAZAR</w:t>
      </w:r>
      <w:r>
        <w:rPr>
          <w:spacing w:val="-2"/>
          <w:sz w:val="19"/>
          <w:vertAlign w:val="baseline"/>
        </w:rPr>
        <w:t>,</w:t>
      </w:r>
      <w:r>
        <w:rPr>
          <w:spacing w:val="-5"/>
          <w:sz w:val="19"/>
          <w:vertAlign w:val="baseline"/>
        </w:rPr>
        <w:t> </w:t>
      </w:r>
      <w:r>
        <w:rPr>
          <w:i/>
          <w:spacing w:val="-2"/>
          <w:sz w:val="19"/>
          <w:vertAlign w:val="baseline"/>
        </w:rPr>
        <w:t>Habemus</w:t>
      </w:r>
      <w:r>
        <w:rPr>
          <w:i/>
          <w:spacing w:val="-3"/>
          <w:sz w:val="19"/>
          <w:vertAlign w:val="baseline"/>
        </w:rPr>
        <w:t> </w:t>
      </w:r>
      <w:r>
        <w:rPr>
          <w:i/>
          <w:spacing w:val="-2"/>
          <w:sz w:val="19"/>
          <w:vertAlign w:val="baseline"/>
        </w:rPr>
        <w:t>EPPO!</w:t>
      </w:r>
      <w:r>
        <w:rPr>
          <w:i/>
          <w:spacing w:val="-9"/>
          <w:sz w:val="19"/>
          <w:vertAlign w:val="baseline"/>
        </w:rPr>
        <w:t> </w:t>
      </w:r>
      <w:r>
        <w:rPr>
          <w:i/>
          <w:spacing w:val="-2"/>
          <w:sz w:val="19"/>
          <w:vertAlign w:val="baseline"/>
        </w:rPr>
        <w:t>La</w:t>
      </w:r>
      <w:r>
        <w:rPr>
          <w:i/>
          <w:spacing w:val="-4"/>
          <w:sz w:val="19"/>
          <w:vertAlign w:val="baseline"/>
        </w:rPr>
        <w:t> </w:t>
      </w:r>
      <w:r>
        <w:rPr>
          <w:i/>
          <w:spacing w:val="-2"/>
          <w:sz w:val="19"/>
          <w:vertAlign w:val="baseline"/>
        </w:rPr>
        <w:t>lunga</w:t>
      </w:r>
      <w:r>
        <w:rPr>
          <w:i/>
          <w:spacing w:val="-5"/>
          <w:sz w:val="19"/>
          <w:vertAlign w:val="baseline"/>
        </w:rPr>
        <w:t> </w:t>
      </w:r>
      <w:r>
        <w:rPr>
          <w:i/>
          <w:spacing w:val="-2"/>
          <w:sz w:val="19"/>
          <w:vertAlign w:val="baseline"/>
        </w:rPr>
        <w:t>marcia</w:t>
      </w:r>
      <w:r>
        <w:rPr>
          <w:i/>
          <w:spacing w:val="-4"/>
          <w:sz w:val="19"/>
          <w:vertAlign w:val="baseline"/>
        </w:rPr>
        <w:t> </w:t>
      </w:r>
      <w:r>
        <w:rPr>
          <w:i/>
          <w:spacing w:val="-2"/>
          <w:sz w:val="19"/>
          <w:vertAlign w:val="baseline"/>
        </w:rPr>
        <w:t>della</w:t>
      </w:r>
      <w:r>
        <w:rPr>
          <w:i/>
          <w:spacing w:val="-1"/>
          <w:sz w:val="19"/>
          <w:vertAlign w:val="baseline"/>
        </w:rPr>
        <w:t> </w:t>
      </w:r>
      <w:r>
        <w:rPr>
          <w:i/>
          <w:spacing w:val="-2"/>
          <w:sz w:val="19"/>
          <w:vertAlign w:val="baseline"/>
        </w:rPr>
        <w:t>Procura</w:t>
      </w:r>
      <w:r>
        <w:rPr>
          <w:i/>
          <w:spacing w:val="-4"/>
          <w:sz w:val="19"/>
          <w:vertAlign w:val="baseline"/>
        </w:rPr>
        <w:t> </w:t>
      </w:r>
      <w:r>
        <w:rPr>
          <w:i/>
          <w:spacing w:val="-2"/>
          <w:sz w:val="19"/>
          <w:vertAlign w:val="baseline"/>
        </w:rPr>
        <w:t>europea,</w:t>
      </w:r>
      <w:r>
        <w:rPr>
          <w:i/>
          <w:spacing w:val="-3"/>
          <w:sz w:val="19"/>
          <w:vertAlign w:val="baseline"/>
        </w:rPr>
        <w:t> </w:t>
      </w:r>
      <w:r>
        <w:rPr>
          <w:i/>
          <w:spacing w:val="-2"/>
          <w:sz w:val="19"/>
          <w:vertAlign w:val="baseline"/>
        </w:rPr>
        <w:t>cit.</w:t>
      </w:r>
      <w:r>
        <w:rPr>
          <w:i/>
          <w:spacing w:val="-4"/>
          <w:sz w:val="19"/>
          <w:vertAlign w:val="baseline"/>
        </w:rPr>
        <w:t> </w:t>
      </w:r>
      <w:r>
        <w:rPr>
          <w:i/>
          <w:spacing w:val="-2"/>
          <w:sz w:val="19"/>
          <w:vertAlign w:val="baseline"/>
        </w:rPr>
        <w:t>supra</w:t>
      </w:r>
      <w:r>
        <w:rPr>
          <w:spacing w:val="-2"/>
          <w:sz w:val="19"/>
          <w:vertAlign w:val="baseline"/>
        </w:rPr>
        <w:t>,</w:t>
      </w:r>
      <w:r>
        <w:rPr>
          <w:spacing w:val="-5"/>
          <w:sz w:val="19"/>
          <w:vertAlign w:val="baseline"/>
        </w:rPr>
        <w:t> </w:t>
      </w:r>
      <w:r>
        <w:rPr>
          <w:spacing w:val="-2"/>
          <w:sz w:val="19"/>
          <w:vertAlign w:val="baseline"/>
        </w:rPr>
        <w:t>nota</w:t>
      </w:r>
      <w:r>
        <w:rPr>
          <w:spacing w:val="-5"/>
          <w:sz w:val="19"/>
          <w:vertAlign w:val="baseline"/>
        </w:rPr>
        <w:t> 2.</w:t>
      </w:r>
    </w:p>
    <w:p>
      <w:pPr>
        <w:spacing w:line="192" w:lineRule="auto" w:before="42"/>
        <w:ind w:left="673" w:right="667" w:firstLine="284"/>
        <w:jc w:val="both"/>
        <w:rPr>
          <w:sz w:val="19"/>
        </w:rPr>
      </w:pPr>
      <w:bookmarkStart w:name="_bookmark7" w:id="8"/>
      <w:bookmarkEnd w:id="8"/>
      <w:r>
        <w:rPr/>
      </w:r>
      <w:r>
        <w:rPr>
          <w:sz w:val="19"/>
          <w:vertAlign w:val="superscript"/>
        </w:rPr>
        <w:t>8</w:t>
      </w:r>
      <w:r>
        <w:rPr>
          <w:sz w:val="19"/>
          <w:vertAlign w:val="baseline"/>
        </w:rPr>
        <w:t> Sentenza del 19 dicembre 2018 in causa n. C-219/17, </w:t>
      </w:r>
      <w:r>
        <w:rPr>
          <w:i/>
          <w:sz w:val="19"/>
          <w:vertAlign w:val="baseline"/>
        </w:rPr>
        <w:t>Berlusconi 2</w:t>
      </w:r>
      <w:r>
        <w:rPr>
          <w:sz w:val="19"/>
          <w:vertAlign w:val="baseline"/>
        </w:rPr>
        <w:t>, EU:C:2018:1023,</w:t>
      </w:r>
      <w:r>
        <w:rPr>
          <w:spacing w:val="40"/>
          <w:sz w:val="19"/>
          <w:vertAlign w:val="baseline"/>
        </w:rPr>
        <w:t> </w:t>
      </w:r>
      <w:r>
        <w:rPr>
          <w:sz w:val="19"/>
          <w:vertAlign w:val="baseline"/>
        </w:rPr>
        <w:t>con la quale la Grande sezione della Corte di giustizia ha confermato la sua precedente e con- solidata giurisprudenza relativa alla propria competenza esclusiva in questa materia. La causa che ha dato origine a questa recente ed importante sentenza aveva ad oggetto la competenza della Corte a statuire sui ricorsi proposti contro certe categorie di atti della Banca centrale eu- ropea (BCE). Dal punto di vista del controllo giurisdizionale, la giurisprudenza della Corte in materia di atti della BCE è da leggere </w:t>
      </w:r>
      <w:r>
        <w:rPr>
          <w:i/>
          <w:sz w:val="19"/>
          <w:vertAlign w:val="baseline"/>
        </w:rPr>
        <w:t>a contrario </w:t>
      </w:r>
      <w:r>
        <w:rPr>
          <w:sz w:val="19"/>
          <w:vertAlign w:val="baseline"/>
        </w:rPr>
        <w:t>rispetto alla giurisprudenza della Corte avente ad oggetto gli atti della Procura europea, dato che, con riferimento agli atti della BCE,</w:t>
      </w:r>
    </w:p>
    <w:p>
      <w:pPr>
        <w:spacing w:after="0" w:line="192" w:lineRule="auto"/>
        <w:jc w:val="both"/>
        <w:rPr>
          <w:sz w:val="19"/>
        </w:rPr>
        <w:sectPr>
          <w:pgSz w:w="11910" w:h="16840"/>
          <w:pgMar w:header="2182" w:footer="0" w:top="2480" w:bottom="280" w:left="1680" w:right="1680"/>
        </w:sectPr>
      </w:pPr>
    </w:p>
    <w:p>
      <w:pPr>
        <w:pStyle w:val="BodyText"/>
      </w:pPr>
    </w:p>
    <w:p>
      <w:pPr>
        <w:pStyle w:val="BodyText"/>
        <w:spacing w:before="14"/>
      </w:pPr>
    </w:p>
    <w:p>
      <w:pPr>
        <w:pStyle w:val="BodyText"/>
        <w:spacing w:line="228" w:lineRule="auto"/>
        <w:ind w:left="673" w:right="667"/>
        <w:jc w:val="both"/>
      </w:pPr>
      <w:r>
        <w:rPr/>
        <w:t>come già rilevato, dall’art. 86, par. 3, del</w:t>
      </w:r>
      <w:r>
        <w:rPr>
          <w:spacing w:val="-2"/>
        </w:rPr>
        <w:t> </w:t>
      </w:r>
      <w:r>
        <w:rPr/>
        <w:t>Trattato,</w:t>
      </w:r>
      <w:r>
        <w:rPr>
          <w:spacing w:val="-3"/>
        </w:rPr>
        <w:t> </w:t>
      </w:r>
      <w:r>
        <w:rPr/>
        <w:t>laddove questo abilita il Consiglio dei ministri ad adottare Regolamenti contenenti anche «(…) le regole applicabili al controllo giurisdizionale degli atti procedurali che adotta nell’esercizio delle sue funzioni». È evidente che con questa opzio- ne il legislatore europeo ha aggiunto un rischio a quello già derivante dal- l’applicazione di ventiquattro legislazioni penali diverse, vale a dire il ri- schio di ventiquattro giurisprudenze nazionali diverse, o addirittura diver- genti, rispetto agli stessi atti della Procura europea, quali ad esempio le misure investigative di cui all’art. 30 del Regolamento (perquisizioni, in- tercettazioni telefoniche ed altre).</w:t>
      </w:r>
    </w:p>
    <w:p>
      <w:pPr>
        <w:pStyle w:val="BodyText"/>
        <w:spacing w:line="228" w:lineRule="auto"/>
        <w:ind w:left="673" w:right="667" w:firstLine="396"/>
        <w:jc w:val="both"/>
      </w:pPr>
      <w:r>
        <w:rPr/>
        <w:t>Tuttavia,</w:t>
      </w:r>
      <w:r>
        <w:rPr>
          <w:spacing w:val="-5"/>
        </w:rPr>
        <w:t> </w:t>
      </w:r>
      <w:r>
        <w:rPr/>
        <w:t>appare</w:t>
      </w:r>
      <w:r>
        <w:rPr>
          <w:spacing w:val="-5"/>
        </w:rPr>
        <w:t> </w:t>
      </w:r>
      <w:r>
        <w:rPr/>
        <w:t>francamente</w:t>
      </w:r>
      <w:r>
        <w:rPr>
          <w:spacing w:val="-5"/>
        </w:rPr>
        <w:t> </w:t>
      </w:r>
      <w:r>
        <w:rPr/>
        <w:t>eccessivo</w:t>
      </w:r>
      <w:r>
        <w:rPr>
          <w:spacing w:val="-6"/>
        </w:rPr>
        <w:t> </w:t>
      </w:r>
      <w:r>
        <w:rPr/>
        <w:t>arrivare</w:t>
      </w:r>
      <w:r>
        <w:rPr>
          <w:spacing w:val="-5"/>
        </w:rPr>
        <w:t> </w:t>
      </w:r>
      <w:r>
        <w:rPr/>
        <w:t>ad</w:t>
      </w:r>
      <w:r>
        <w:rPr>
          <w:spacing w:val="-9"/>
        </w:rPr>
        <w:t> </w:t>
      </w:r>
      <w:r>
        <w:rPr/>
        <w:t>affermare</w:t>
      </w:r>
      <w:hyperlink w:history="true" w:anchor="_bookmark8">
        <w:r>
          <w:rPr>
            <w:position w:val="7"/>
            <w:sz w:val="13"/>
          </w:rPr>
          <w:t>9</w:t>
        </w:r>
      </w:hyperlink>
      <w:r>
        <w:rPr>
          <w:spacing w:val="23"/>
          <w:position w:val="7"/>
          <w:sz w:val="13"/>
        </w:rPr>
        <w:t> </w:t>
      </w:r>
      <w:r>
        <w:rPr/>
        <w:t>che</w:t>
      </w:r>
      <w:r>
        <w:rPr>
          <w:spacing w:val="-5"/>
        </w:rPr>
        <w:t> </w:t>
      </w:r>
      <w:r>
        <w:rPr/>
        <w:t>que- sta esclusione della competenza della Corte di giustizia dal controllo di le- gittimità</w:t>
      </w:r>
      <w:r>
        <w:rPr>
          <w:spacing w:val="-15"/>
        </w:rPr>
        <w:t> </w:t>
      </w:r>
      <w:r>
        <w:rPr/>
        <w:t>degli</w:t>
      </w:r>
      <w:r>
        <w:rPr>
          <w:spacing w:val="-15"/>
        </w:rPr>
        <w:t> </w:t>
      </w:r>
      <w:r>
        <w:rPr/>
        <w:t>atti</w:t>
      </w:r>
      <w:r>
        <w:rPr>
          <w:spacing w:val="-15"/>
        </w:rPr>
        <w:t> </w:t>
      </w:r>
      <w:r>
        <w:rPr/>
        <w:t>procedurali</w:t>
      </w:r>
      <w:r>
        <w:rPr>
          <w:spacing w:val="-15"/>
        </w:rPr>
        <w:t> </w:t>
      </w:r>
      <w:r>
        <w:rPr/>
        <w:t>della</w:t>
      </w:r>
      <w:r>
        <w:rPr>
          <w:spacing w:val="-15"/>
        </w:rPr>
        <w:t> </w:t>
      </w:r>
      <w:r>
        <w:rPr/>
        <w:t>Procura</w:t>
      </w:r>
      <w:r>
        <w:rPr>
          <w:spacing w:val="-15"/>
        </w:rPr>
        <w:t> </w:t>
      </w:r>
      <w:r>
        <w:rPr/>
        <w:t>europea</w:t>
      </w:r>
      <w:r>
        <w:rPr>
          <w:spacing w:val="-15"/>
        </w:rPr>
        <w:t> </w:t>
      </w:r>
      <w:r>
        <w:rPr/>
        <w:t>configurerebbe</w:t>
      </w:r>
      <w:r>
        <w:rPr>
          <w:spacing w:val="-15"/>
        </w:rPr>
        <w:t> </w:t>
      </w:r>
      <w:r>
        <w:rPr/>
        <w:t>addirit- tura</w:t>
      </w:r>
      <w:r>
        <w:rPr>
          <w:spacing w:val="-7"/>
        </w:rPr>
        <w:t> </w:t>
      </w:r>
      <w:r>
        <w:rPr/>
        <w:t>un</w:t>
      </w:r>
      <w:r>
        <w:rPr>
          <w:spacing w:val="-9"/>
        </w:rPr>
        <w:t> </w:t>
      </w:r>
      <w:r>
        <w:rPr/>
        <w:t>attacco</w:t>
      </w:r>
      <w:r>
        <w:rPr>
          <w:spacing w:val="-9"/>
        </w:rPr>
        <w:t> </w:t>
      </w:r>
      <w:r>
        <w:rPr/>
        <w:t>alla</w:t>
      </w:r>
      <w:r>
        <w:rPr>
          <w:spacing w:val="-6"/>
        </w:rPr>
        <w:t> </w:t>
      </w:r>
      <w:r>
        <w:rPr/>
        <w:t>«</w:t>
      </w:r>
      <w:r>
        <w:rPr>
          <w:i/>
        </w:rPr>
        <w:t>rule</w:t>
      </w:r>
      <w:r>
        <w:rPr>
          <w:i/>
          <w:spacing w:val="-7"/>
        </w:rPr>
        <w:t> </w:t>
      </w:r>
      <w:r>
        <w:rPr>
          <w:i/>
        </w:rPr>
        <w:t>of</w:t>
      </w:r>
      <w:r>
        <w:rPr>
          <w:i/>
          <w:spacing w:val="-8"/>
        </w:rPr>
        <w:t> </w:t>
      </w:r>
      <w:r>
        <w:rPr>
          <w:i/>
        </w:rPr>
        <w:t>law</w:t>
      </w:r>
      <w:r>
        <w:rPr/>
        <w:t>»</w:t>
      </w:r>
      <w:r>
        <w:rPr>
          <w:spacing w:val="-5"/>
        </w:rPr>
        <w:t> </w:t>
      </w:r>
      <w:r>
        <w:rPr/>
        <w:t>dell’Unione</w:t>
      </w:r>
      <w:r>
        <w:rPr>
          <w:spacing w:val="-7"/>
        </w:rPr>
        <w:t> </w:t>
      </w:r>
      <w:r>
        <w:rPr/>
        <w:t>europea</w:t>
      </w:r>
      <w:r>
        <w:rPr>
          <w:spacing w:val="-7"/>
        </w:rPr>
        <w:t> </w:t>
      </w:r>
      <w:r>
        <w:rPr/>
        <w:t>e</w:t>
      </w:r>
      <w:r>
        <w:rPr>
          <w:spacing w:val="-7"/>
        </w:rPr>
        <w:t> </w:t>
      </w:r>
      <w:r>
        <w:rPr/>
        <w:t>una</w:t>
      </w:r>
      <w:r>
        <w:rPr>
          <w:spacing w:val="-7"/>
        </w:rPr>
        <w:t> </w:t>
      </w:r>
      <w:r>
        <w:rPr/>
        <w:t>violazione</w:t>
      </w:r>
      <w:r>
        <w:rPr>
          <w:spacing w:val="-7"/>
        </w:rPr>
        <w:t> </w:t>
      </w:r>
      <w:r>
        <w:rPr/>
        <w:t>del- l’art.</w:t>
      </w:r>
      <w:r>
        <w:rPr>
          <w:spacing w:val="-15"/>
        </w:rPr>
        <w:t> </w:t>
      </w:r>
      <w:r>
        <w:rPr/>
        <w:t>47</w:t>
      </w:r>
      <w:r>
        <w:rPr>
          <w:spacing w:val="-15"/>
        </w:rPr>
        <w:t> </w:t>
      </w:r>
      <w:r>
        <w:rPr/>
        <w:t>della</w:t>
      </w:r>
      <w:r>
        <w:rPr>
          <w:spacing w:val="-13"/>
        </w:rPr>
        <w:t> </w:t>
      </w:r>
      <w:r>
        <w:rPr/>
        <w:t>Carta</w:t>
      </w:r>
      <w:r>
        <w:rPr>
          <w:spacing w:val="-13"/>
        </w:rPr>
        <w:t> </w:t>
      </w:r>
      <w:r>
        <w:rPr/>
        <w:t>dei</w:t>
      </w:r>
      <w:r>
        <w:rPr>
          <w:spacing w:val="-13"/>
        </w:rPr>
        <w:t> </w:t>
      </w:r>
      <w:r>
        <w:rPr/>
        <w:t>diritti</w:t>
      </w:r>
      <w:r>
        <w:rPr>
          <w:spacing w:val="-13"/>
        </w:rPr>
        <w:t> </w:t>
      </w:r>
      <w:r>
        <w:rPr/>
        <w:t>fondamentali</w:t>
      </w:r>
      <w:r>
        <w:rPr>
          <w:spacing w:val="-13"/>
        </w:rPr>
        <w:t> </w:t>
      </w:r>
      <w:r>
        <w:rPr/>
        <w:t>dell’Unione</w:t>
      </w:r>
      <w:r>
        <w:rPr>
          <w:spacing w:val="-10"/>
        </w:rPr>
        <w:t> </w:t>
      </w:r>
      <w:r>
        <w:rPr/>
        <w:t>stessa</w:t>
      </w:r>
      <w:r>
        <w:rPr>
          <w:spacing w:val="-15"/>
        </w:rPr>
        <w:t> </w:t>
      </w:r>
      <w:r>
        <w:rPr/>
        <w:t>avente</w:t>
      </w:r>
      <w:r>
        <w:rPr>
          <w:spacing w:val="-15"/>
        </w:rPr>
        <w:t> </w:t>
      </w:r>
      <w:r>
        <w:rPr/>
        <w:t>ad</w:t>
      </w:r>
      <w:r>
        <w:rPr>
          <w:spacing w:val="-15"/>
        </w:rPr>
        <w:t> </w:t>
      </w:r>
      <w:r>
        <w:rPr/>
        <w:t>og- getto</w:t>
      </w:r>
      <w:r>
        <w:rPr>
          <w:spacing w:val="-5"/>
        </w:rPr>
        <w:t> </w:t>
      </w:r>
      <w:r>
        <w:rPr/>
        <w:t>il</w:t>
      </w:r>
      <w:r>
        <w:rPr>
          <w:spacing w:val="-3"/>
        </w:rPr>
        <w:t> </w:t>
      </w:r>
      <w:r>
        <w:rPr/>
        <w:t>«Diritto</w:t>
      </w:r>
      <w:r>
        <w:rPr>
          <w:spacing w:val="-5"/>
        </w:rPr>
        <w:t> </w:t>
      </w:r>
      <w:r>
        <w:rPr/>
        <w:t>ad</w:t>
      </w:r>
      <w:r>
        <w:rPr>
          <w:spacing w:val="-5"/>
        </w:rPr>
        <w:t> </w:t>
      </w:r>
      <w:r>
        <w:rPr/>
        <w:t>un</w:t>
      </w:r>
      <w:r>
        <w:rPr>
          <w:spacing w:val="-5"/>
        </w:rPr>
        <w:t> </w:t>
      </w:r>
      <w:r>
        <w:rPr/>
        <w:t>ricorso</w:t>
      </w:r>
      <w:r>
        <w:rPr>
          <w:spacing w:val="-5"/>
        </w:rPr>
        <w:t> </w:t>
      </w:r>
      <w:r>
        <w:rPr/>
        <w:t>effettivo</w:t>
      </w:r>
      <w:r>
        <w:rPr>
          <w:spacing w:val="-5"/>
        </w:rPr>
        <w:t> </w:t>
      </w:r>
      <w:r>
        <w:rPr/>
        <w:t>e</w:t>
      </w:r>
      <w:r>
        <w:rPr>
          <w:spacing w:val="-7"/>
        </w:rPr>
        <w:t> </w:t>
      </w:r>
      <w:r>
        <w:rPr/>
        <w:t>a un</w:t>
      </w:r>
      <w:r>
        <w:rPr>
          <w:spacing w:val="-5"/>
        </w:rPr>
        <w:t> </w:t>
      </w:r>
      <w:r>
        <w:rPr/>
        <w:t>giudice</w:t>
      </w:r>
      <w:r>
        <w:rPr>
          <w:spacing w:val="-4"/>
        </w:rPr>
        <w:t> </w:t>
      </w:r>
      <w:r>
        <w:rPr/>
        <w:t>imparziale»</w:t>
      </w:r>
      <w:r>
        <w:rPr>
          <w:i/>
        </w:rPr>
        <w:t>.</w:t>
      </w:r>
      <w:r>
        <w:rPr>
          <w:i/>
          <w:spacing w:val="-4"/>
        </w:rPr>
        <w:t> </w:t>
      </w:r>
      <w:r>
        <w:rPr/>
        <w:t>Avrebbe portato</w:t>
      </w:r>
      <w:r>
        <w:rPr>
          <w:spacing w:val="-11"/>
        </w:rPr>
        <w:t> </w:t>
      </w:r>
      <w:r>
        <w:rPr/>
        <w:t>a</w:t>
      </w:r>
      <w:r>
        <w:rPr>
          <w:spacing w:val="-10"/>
        </w:rPr>
        <w:t> </w:t>
      </w:r>
      <w:r>
        <w:rPr/>
        <w:t>conseguenze</w:t>
      </w:r>
      <w:r>
        <w:rPr>
          <w:spacing w:val="-10"/>
        </w:rPr>
        <w:t> </w:t>
      </w:r>
      <w:r>
        <w:rPr/>
        <w:t>ben</w:t>
      </w:r>
      <w:r>
        <w:rPr>
          <w:spacing w:val="-11"/>
        </w:rPr>
        <w:t> </w:t>
      </w:r>
      <w:r>
        <w:rPr/>
        <w:t>più</w:t>
      </w:r>
      <w:r>
        <w:rPr>
          <w:spacing w:val="-11"/>
        </w:rPr>
        <w:t> </w:t>
      </w:r>
      <w:r>
        <w:rPr/>
        <w:t>negative</w:t>
      </w:r>
      <w:r>
        <w:rPr>
          <w:spacing w:val="-10"/>
        </w:rPr>
        <w:t> </w:t>
      </w:r>
      <w:r>
        <w:rPr/>
        <w:t>per</w:t>
      </w:r>
      <w:r>
        <w:rPr>
          <w:spacing w:val="-11"/>
        </w:rPr>
        <w:t> </w:t>
      </w:r>
      <w:r>
        <w:rPr/>
        <w:t>la</w:t>
      </w:r>
      <w:r>
        <w:rPr>
          <w:spacing w:val="-6"/>
        </w:rPr>
        <w:t> </w:t>
      </w:r>
      <w:r>
        <w:rPr/>
        <w:t>«</w:t>
      </w:r>
      <w:r>
        <w:rPr>
          <w:i/>
        </w:rPr>
        <w:t>rule</w:t>
      </w:r>
      <w:r>
        <w:rPr>
          <w:i/>
          <w:spacing w:val="-10"/>
        </w:rPr>
        <w:t> </w:t>
      </w:r>
      <w:r>
        <w:rPr>
          <w:i/>
        </w:rPr>
        <w:t>of</w:t>
      </w:r>
      <w:r>
        <w:rPr>
          <w:i/>
          <w:spacing w:val="-10"/>
        </w:rPr>
        <w:t> </w:t>
      </w:r>
      <w:r>
        <w:rPr>
          <w:i/>
        </w:rPr>
        <w:t>law</w:t>
      </w:r>
      <w:r>
        <w:rPr/>
        <w:t>»</w:t>
      </w:r>
      <w:r>
        <w:rPr>
          <w:spacing w:val="-11"/>
        </w:rPr>
        <w:t> </w:t>
      </w:r>
      <w:r>
        <w:rPr/>
        <w:t>dell’Unione</w:t>
      </w:r>
      <w:r>
        <w:rPr>
          <w:spacing w:val="-14"/>
        </w:rPr>
        <w:t> </w:t>
      </w:r>
      <w:r>
        <w:rPr/>
        <w:t>eu- ropea</w:t>
      </w:r>
      <w:r>
        <w:rPr>
          <w:spacing w:val="-1"/>
        </w:rPr>
        <w:t> </w:t>
      </w:r>
      <w:r>
        <w:rPr/>
        <w:t>un’ulteriore</w:t>
      </w:r>
      <w:hyperlink w:history="true" w:anchor="_bookmark9">
        <w:r>
          <w:rPr>
            <w:position w:val="7"/>
            <w:sz w:val="13"/>
          </w:rPr>
          <w:t>10</w:t>
        </w:r>
      </w:hyperlink>
      <w:r>
        <w:rPr>
          <w:spacing w:val="27"/>
          <w:position w:val="7"/>
          <w:sz w:val="13"/>
        </w:rPr>
        <w:t> </w:t>
      </w:r>
      <w:r>
        <w:rPr/>
        <w:t>attribuzione</w:t>
      </w:r>
      <w:r>
        <w:rPr>
          <w:spacing w:val="-1"/>
        </w:rPr>
        <w:t> </w:t>
      </w:r>
      <w:r>
        <w:rPr/>
        <w:t>di</w:t>
      </w:r>
      <w:r>
        <w:rPr>
          <w:spacing w:val="-1"/>
        </w:rPr>
        <w:t> </w:t>
      </w:r>
      <w:r>
        <w:rPr/>
        <w:t>competenze</w:t>
      </w:r>
      <w:r>
        <w:rPr>
          <w:spacing w:val="-1"/>
        </w:rPr>
        <w:t> </w:t>
      </w:r>
      <w:r>
        <w:rPr/>
        <w:t>di</w:t>
      </w:r>
      <w:r>
        <w:rPr>
          <w:spacing w:val="-1"/>
        </w:rPr>
        <w:t> </w:t>
      </w:r>
      <w:r>
        <w:rPr/>
        <w:t>controllo</w:t>
      </w:r>
      <w:r>
        <w:rPr>
          <w:spacing w:val="-2"/>
        </w:rPr>
        <w:t> </w:t>
      </w:r>
      <w:r>
        <w:rPr/>
        <w:t>giurisdizionale alla Corte di giustizia sugli atti procedurali della Procura europea, con un ulteriore e notevole aggravio di lavoro per i giudici della Corte stessa ed il rischio</w:t>
      </w:r>
      <w:r>
        <w:rPr>
          <w:spacing w:val="-14"/>
        </w:rPr>
        <w:t> </w:t>
      </w:r>
      <w:r>
        <w:rPr/>
        <w:t>reale</w:t>
      </w:r>
      <w:r>
        <w:rPr>
          <w:spacing w:val="-12"/>
        </w:rPr>
        <w:t> </w:t>
      </w:r>
      <w:r>
        <w:rPr/>
        <w:t>di</w:t>
      </w:r>
      <w:r>
        <w:rPr>
          <w:spacing w:val="-12"/>
        </w:rPr>
        <w:t> </w:t>
      </w:r>
      <w:r>
        <w:rPr/>
        <w:t>un</w:t>
      </w:r>
      <w:r>
        <w:rPr>
          <w:spacing w:val="-14"/>
        </w:rPr>
        <w:t> </w:t>
      </w:r>
      <w:r>
        <w:rPr/>
        <w:t>allungamento</w:t>
      </w:r>
      <w:r>
        <w:rPr>
          <w:spacing w:val="-14"/>
        </w:rPr>
        <w:t> </w:t>
      </w:r>
      <w:r>
        <w:rPr/>
        <w:t>eccessivo</w:t>
      </w:r>
      <w:r>
        <w:rPr>
          <w:spacing w:val="-14"/>
        </w:rPr>
        <w:t> </w:t>
      </w:r>
      <w:r>
        <w:rPr/>
        <w:t>dei</w:t>
      </w:r>
      <w:r>
        <w:rPr>
          <w:spacing w:val="-15"/>
        </w:rPr>
        <w:t> </w:t>
      </w:r>
      <w:r>
        <w:rPr/>
        <w:t>tempi</w:t>
      </w:r>
      <w:r>
        <w:rPr>
          <w:spacing w:val="-12"/>
        </w:rPr>
        <w:t> </w:t>
      </w:r>
      <w:r>
        <w:rPr/>
        <w:t>dei</w:t>
      </w:r>
      <w:r>
        <w:rPr>
          <w:spacing w:val="-12"/>
        </w:rPr>
        <w:t> </w:t>
      </w:r>
      <w:r>
        <w:rPr/>
        <w:t>processi</w:t>
      </w:r>
      <w:r>
        <w:rPr>
          <w:spacing w:val="-12"/>
        </w:rPr>
        <w:t> </w:t>
      </w:r>
      <w:r>
        <w:rPr/>
        <w:t>dinanzi</w:t>
      </w:r>
      <w:r>
        <w:rPr>
          <w:spacing w:val="-12"/>
        </w:rPr>
        <w:t> </w:t>
      </w:r>
      <w:r>
        <w:rPr/>
        <w:t>al- la</w:t>
      </w:r>
      <w:r>
        <w:rPr>
          <w:spacing w:val="-15"/>
        </w:rPr>
        <w:t> </w:t>
      </w:r>
      <w:r>
        <w:rPr/>
        <w:t>Corte</w:t>
      </w:r>
      <w:r>
        <w:rPr>
          <w:spacing w:val="-14"/>
        </w:rPr>
        <w:t> </w:t>
      </w:r>
      <w:r>
        <w:rPr/>
        <w:t>di</w:t>
      </w:r>
      <w:r>
        <w:rPr>
          <w:spacing w:val="-12"/>
        </w:rPr>
        <w:t> </w:t>
      </w:r>
      <w:r>
        <w:rPr/>
        <w:t>giustizia</w:t>
      </w:r>
      <w:r>
        <w:rPr>
          <w:spacing w:val="-12"/>
        </w:rPr>
        <w:t> </w:t>
      </w:r>
      <w:r>
        <w:rPr/>
        <w:t>nella</w:t>
      </w:r>
      <w:r>
        <w:rPr>
          <w:spacing w:val="-12"/>
        </w:rPr>
        <w:t> </w:t>
      </w:r>
      <w:r>
        <w:rPr/>
        <w:t>fase</w:t>
      </w:r>
      <w:r>
        <w:rPr>
          <w:spacing w:val="-15"/>
        </w:rPr>
        <w:t> </w:t>
      </w:r>
      <w:r>
        <w:rPr/>
        <w:t>dell’indagine,</w:t>
      </w:r>
      <w:r>
        <w:rPr>
          <w:spacing w:val="-15"/>
        </w:rPr>
        <w:t> </w:t>
      </w:r>
      <w:r>
        <w:rPr/>
        <w:t>e</w:t>
      </w:r>
      <w:r>
        <w:rPr>
          <w:spacing w:val="-12"/>
        </w:rPr>
        <w:t> </w:t>
      </w:r>
      <w:r>
        <w:rPr/>
        <w:t>dinanzi</w:t>
      </w:r>
      <w:r>
        <w:rPr>
          <w:spacing w:val="-12"/>
        </w:rPr>
        <w:t> </w:t>
      </w:r>
      <w:r>
        <w:rPr/>
        <w:t>ai</w:t>
      </w:r>
      <w:r>
        <w:rPr>
          <w:spacing w:val="-12"/>
        </w:rPr>
        <w:t> </w:t>
      </w:r>
      <w:r>
        <w:rPr/>
        <w:t>giudici</w:t>
      </w:r>
      <w:r>
        <w:rPr>
          <w:spacing w:val="-12"/>
        </w:rPr>
        <w:t> </w:t>
      </w:r>
      <w:r>
        <w:rPr/>
        <w:t>penali</w:t>
      </w:r>
      <w:r>
        <w:rPr>
          <w:spacing w:val="-12"/>
        </w:rPr>
        <w:t> </w:t>
      </w:r>
      <w:r>
        <w:rPr/>
        <w:t>degli Stati membri nella fase successiva all’esercizio</w:t>
      </w:r>
      <w:r>
        <w:rPr>
          <w:spacing w:val="-1"/>
        </w:rPr>
        <w:t> </w:t>
      </w:r>
      <w:r>
        <w:rPr/>
        <w:t>dell’azione penale. Non</w:t>
      </w:r>
      <w:r>
        <w:rPr>
          <w:spacing w:val="-1"/>
        </w:rPr>
        <w:t> </w:t>
      </w:r>
      <w:r>
        <w:rPr/>
        <w:t>va infatti</w:t>
      </w:r>
      <w:r>
        <w:rPr>
          <w:spacing w:val="-7"/>
        </w:rPr>
        <w:t> </w:t>
      </w:r>
      <w:r>
        <w:rPr/>
        <w:t>persa</w:t>
      </w:r>
      <w:r>
        <w:rPr>
          <w:spacing w:val="-4"/>
        </w:rPr>
        <w:t> </w:t>
      </w:r>
      <w:r>
        <w:rPr/>
        <w:t>di</w:t>
      </w:r>
      <w:r>
        <w:rPr>
          <w:spacing w:val="-7"/>
        </w:rPr>
        <w:t> </w:t>
      </w:r>
      <w:r>
        <w:rPr/>
        <w:t>vista</w:t>
      </w:r>
      <w:r>
        <w:rPr>
          <w:spacing w:val="-7"/>
        </w:rPr>
        <w:t> </w:t>
      </w:r>
      <w:r>
        <w:rPr/>
        <w:t>la</w:t>
      </w:r>
      <w:r>
        <w:rPr>
          <w:spacing w:val="-7"/>
        </w:rPr>
        <w:t> </w:t>
      </w:r>
      <w:r>
        <w:rPr/>
        <w:t>fondamentale</w:t>
      </w:r>
      <w:r>
        <w:rPr>
          <w:spacing w:val="-7"/>
        </w:rPr>
        <w:t> </w:t>
      </w:r>
      <w:r>
        <w:rPr/>
        <w:t>ragion</w:t>
      </w:r>
      <w:r>
        <w:rPr>
          <w:spacing w:val="-8"/>
        </w:rPr>
        <w:t> </w:t>
      </w:r>
      <w:r>
        <w:rPr/>
        <w:t>d’essere</w:t>
      </w:r>
      <w:r>
        <w:rPr>
          <w:spacing w:val="-7"/>
        </w:rPr>
        <w:t> </w:t>
      </w:r>
      <w:r>
        <w:rPr/>
        <w:t>della</w:t>
      </w:r>
      <w:r>
        <w:rPr>
          <w:spacing w:val="-4"/>
        </w:rPr>
        <w:t> </w:t>
      </w:r>
      <w:r>
        <w:rPr/>
        <w:t>Procura</w:t>
      </w:r>
      <w:r>
        <w:rPr>
          <w:spacing w:val="-7"/>
        </w:rPr>
        <w:t> </w:t>
      </w:r>
      <w:r>
        <w:rPr/>
        <w:t>europea, che è quella enunciata al </w:t>
      </w:r>
      <w:r>
        <w:rPr>
          <w:i/>
        </w:rPr>
        <w:t>considerando </w:t>
      </w:r>
      <w:r>
        <w:rPr/>
        <w:t>n. 3 del Regolamento EPPO: «(…) attualmente</w:t>
      </w:r>
      <w:r>
        <w:rPr>
          <w:spacing w:val="-9"/>
        </w:rPr>
        <w:t> </w:t>
      </w:r>
      <w:r>
        <w:rPr/>
        <w:t>le</w:t>
      </w:r>
      <w:r>
        <w:rPr>
          <w:spacing w:val="-12"/>
        </w:rPr>
        <w:t> </w:t>
      </w:r>
      <w:r>
        <w:rPr/>
        <w:t>autorità</w:t>
      </w:r>
      <w:r>
        <w:rPr>
          <w:spacing w:val="-9"/>
        </w:rPr>
        <w:t> </w:t>
      </w:r>
      <w:r>
        <w:rPr/>
        <w:t>giudiziarie</w:t>
      </w:r>
      <w:r>
        <w:rPr>
          <w:spacing w:val="-9"/>
        </w:rPr>
        <w:t> </w:t>
      </w:r>
      <w:r>
        <w:rPr/>
        <w:t>penali</w:t>
      </w:r>
      <w:r>
        <w:rPr>
          <w:spacing w:val="-9"/>
        </w:rPr>
        <w:t> </w:t>
      </w:r>
      <w:r>
        <w:rPr/>
        <w:t>nazionali</w:t>
      </w:r>
      <w:r>
        <w:rPr>
          <w:spacing w:val="-9"/>
        </w:rPr>
        <w:t> </w:t>
      </w:r>
      <w:r>
        <w:rPr/>
        <w:t>non</w:t>
      </w:r>
      <w:r>
        <w:rPr>
          <w:spacing w:val="-13"/>
        </w:rPr>
        <w:t> </w:t>
      </w:r>
      <w:r>
        <w:rPr/>
        <w:t>sempre</w:t>
      </w:r>
      <w:r>
        <w:rPr>
          <w:spacing w:val="-9"/>
        </w:rPr>
        <w:t> </w:t>
      </w:r>
      <w:r>
        <w:rPr/>
        <w:t>svolgono</w:t>
      </w:r>
      <w:r>
        <w:rPr>
          <w:spacing w:val="-13"/>
        </w:rPr>
        <w:t> </w:t>
      </w:r>
      <w:r>
        <w:rPr/>
        <w:t>in- dagini</w:t>
      </w:r>
      <w:r>
        <w:rPr>
          <w:spacing w:val="-15"/>
        </w:rPr>
        <w:t> </w:t>
      </w:r>
      <w:r>
        <w:rPr/>
        <w:t>e</w:t>
      </w:r>
      <w:r>
        <w:rPr>
          <w:spacing w:val="-15"/>
        </w:rPr>
        <w:t> </w:t>
      </w:r>
      <w:r>
        <w:rPr/>
        <w:t>esercitano</w:t>
      </w:r>
      <w:r>
        <w:rPr>
          <w:spacing w:val="-15"/>
        </w:rPr>
        <w:t> </w:t>
      </w:r>
      <w:r>
        <w:rPr/>
        <w:t>l’azione</w:t>
      </w:r>
      <w:r>
        <w:rPr>
          <w:spacing w:val="-15"/>
        </w:rPr>
        <w:t> </w:t>
      </w:r>
      <w:r>
        <w:rPr/>
        <w:t>penale</w:t>
      </w:r>
      <w:r>
        <w:rPr>
          <w:spacing w:val="-12"/>
        </w:rPr>
        <w:t> </w:t>
      </w:r>
      <w:r>
        <w:rPr/>
        <w:t>in</w:t>
      </w:r>
      <w:r>
        <w:rPr>
          <w:spacing w:val="-15"/>
        </w:rPr>
        <w:t> </w:t>
      </w:r>
      <w:r>
        <w:rPr/>
        <w:t>merito</w:t>
      </w:r>
      <w:r>
        <w:rPr>
          <w:spacing w:val="-15"/>
        </w:rPr>
        <w:t> </w:t>
      </w:r>
      <w:r>
        <w:rPr/>
        <w:t>a</w:t>
      </w:r>
      <w:r>
        <w:rPr>
          <w:spacing w:val="-15"/>
        </w:rPr>
        <w:t> </w:t>
      </w:r>
      <w:r>
        <w:rPr/>
        <w:t>questi</w:t>
      </w:r>
      <w:r>
        <w:rPr>
          <w:spacing w:val="-12"/>
        </w:rPr>
        <w:t> </w:t>
      </w:r>
      <w:r>
        <w:rPr/>
        <w:t>reati</w:t>
      </w:r>
      <w:r>
        <w:rPr>
          <w:spacing w:val="-9"/>
        </w:rPr>
        <w:t> </w:t>
      </w:r>
      <w:r>
        <w:rPr/>
        <w:t>[quelli</w:t>
      </w:r>
      <w:r>
        <w:rPr>
          <w:spacing w:val="-12"/>
        </w:rPr>
        <w:t> </w:t>
      </w:r>
      <w:r>
        <w:rPr/>
        <w:t>che</w:t>
      </w:r>
      <w:r>
        <w:rPr>
          <w:spacing w:val="-12"/>
        </w:rPr>
        <w:t> </w:t>
      </w:r>
      <w:r>
        <w:rPr/>
        <w:t>ledono gli</w:t>
      </w:r>
      <w:r>
        <w:rPr>
          <w:spacing w:val="-15"/>
        </w:rPr>
        <w:t> </w:t>
      </w:r>
      <w:r>
        <w:rPr/>
        <w:t>interessi</w:t>
      </w:r>
      <w:r>
        <w:rPr>
          <w:spacing w:val="-13"/>
        </w:rPr>
        <w:t> </w:t>
      </w:r>
      <w:r>
        <w:rPr/>
        <w:t>finanziari</w:t>
      </w:r>
      <w:r>
        <w:rPr>
          <w:spacing w:val="-14"/>
        </w:rPr>
        <w:t> </w:t>
      </w:r>
      <w:r>
        <w:rPr/>
        <w:t>dell’Unione</w:t>
      </w:r>
      <w:r>
        <w:rPr>
          <w:spacing w:val="-15"/>
        </w:rPr>
        <w:t> </w:t>
      </w:r>
      <w:r>
        <w:rPr/>
        <w:t>europea]</w:t>
      </w:r>
      <w:r>
        <w:rPr>
          <w:spacing w:val="-15"/>
        </w:rPr>
        <w:t> </w:t>
      </w:r>
      <w:r>
        <w:rPr/>
        <w:t>in</w:t>
      </w:r>
      <w:r>
        <w:rPr>
          <w:spacing w:val="-15"/>
        </w:rPr>
        <w:t> </w:t>
      </w:r>
      <w:r>
        <w:rPr/>
        <w:t>misura</w:t>
      </w:r>
      <w:r>
        <w:rPr>
          <w:spacing w:val="-11"/>
        </w:rPr>
        <w:t> </w:t>
      </w:r>
      <w:r>
        <w:rPr/>
        <w:t>sufficiente»</w:t>
      </w:r>
      <w:r>
        <w:rPr>
          <w:i/>
        </w:rPr>
        <w:t>,</w:t>
      </w:r>
      <w:r>
        <w:rPr>
          <w:i/>
          <w:spacing w:val="-15"/>
        </w:rPr>
        <w:t> </w:t>
      </w:r>
      <w:r>
        <w:rPr/>
        <w:t>dove</w:t>
      </w:r>
      <w:r>
        <w:rPr>
          <w:spacing w:val="-14"/>
        </w:rPr>
        <w:t> </w:t>
      </w:r>
      <w:r>
        <w:rPr>
          <w:spacing w:val="-5"/>
        </w:rPr>
        <w:t>per</w:t>
      </w:r>
    </w:p>
    <w:p>
      <w:pPr>
        <w:pStyle w:val="BodyText"/>
        <w:spacing w:line="230" w:lineRule="auto"/>
        <w:ind w:left="673" w:right="678"/>
        <w:jc w:val="both"/>
      </w:pPr>
      <w:r>
        <w:rPr/>
        <w:t>«in misura sufficiente» si deve intendere evidentemente anche: in misura sufficientemente rapida ed efficiente.</w:t>
      </w:r>
    </w:p>
    <w:p>
      <w:pPr>
        <w:pStyle w:val="BodyText"/>
        <w:spacing w:line="255" w:lineRule="exact"/>
        <w:ind w:right="667"/>
        <w:jc w:val="right"/>
      </w:pPr>
      <w:r>
        <w:rPr/>
        <w:t>In</w:t>
      </w:r>
      <w:r>
        <w:rPr>
          <w:spacing w:val="20"/>
        </w:rPr>
        <w:t> </w:t>
      </w:r>
      <w:r>
        <w:rPr/>
        <w:t>conclusione</w:t>
      </w:r>
      <w:r>
        <w:rPr>
          <w:spacing w:val="23"/>
        </w:rPr>
        <w:t> </w:t>
      </w:r>
      <w:r>
        <w:rPr/>
        <w:t>su</w:t>
      </w:r>
      <w:r>
        <w:rPr>
          <w:spacing w:val="21"/>
        </w:rPr>
        <w:t> </w:t>
      </w:r>
      <w:r>
        <w:rPr/>
        <w:t>questo</w:t>
      </w:r>
      <w:r>
        <w:rPr>
          <w:spacing w:val="21"/>
        </w:rPr>
        <w:t> </w:t>
      </w:r>
      <w:r>
        <w:rPr/>
        <w:t>punto,</w:t>
      </w:r>
      <w:r>
        <w:rPr>
          <w:spacing w:val="21"/>
        </w:rPr>
        <w:t> </w:t>
      </w:r>
      <w:r>
        <w:rPr/>
        <w:t>i</w:t>
      </w:r>
      <w:r>
        <w:rPr>
          <w:spacing w:val="19"/>
        </w:rPr>
        <w:t> </w:t>
      </w:r>
      <w:r>
        <w:rPr/>
        <w:t>giudici</w:t>
      </w:r>
      <w:r>
        <w:rPr>
          <w:spacing w:val="19"/>
        </w:rPr>
        <w:t> </w:t>
      </w:r>
      <w:r>
        <w:rPr/>
        <w:t>penali</w:t>
      </w:r>
      <w:r>
        <w:rPr>
          <w:spacing w:val="22"/>
        </w:rPr>
        <w:t> </w:t>
      </w:r>
      <w:r>
        <w:rPr/>
        <w:t>degli</w:t>
      </w:r>
      <w:r>
        <w:rPr>
          <w:spacing w:val="19"/>
        </w:rPr>
        <w:t> </w:t>
      </w:r>
      <w:r>
        <w:rPr/>
        <w:t>Stati</w:t>
      </w:r>
      <w:r>
        <w:rPr>
          <w:spacing w:val="18"/>
        </w:rPr>
        <w:t> </w:t>
      </w:r>
      <w:r>
        <w:rPr/>
        <w:t>membri</w:t>
      </w:r>
      <w:r>
        <w:rPr>
          <w:spacing w:val="33"/>
        </w:rPr>
        <w:t> </w:t>
      </w:r>
      <w:r>
        <w:rPr>
          <w:spacing w:val="-10"/>
        </w:rPr>
        <w:t>–</w:t>
      </w:r>
    </w:p>
    <w:p>
      <w:pPr>
        <w:pStyle w:val="BodyText"/>
        <w:spacing w:line="270" w:lineRule="exact"/>
        <w:ind w:right="674"/>
        <w:jc w:val="right"/>
      </w:pPr>
      <w:r>
        <w:rPr/>
        <w:t>che,</w:t>
      </w:r>
      <w:r>
        <w:rPr>
          <w:spacing w:val="26"/>
        </w:rPr>
        <w:t> </w:t>
      </w:r>
      <w:r>
        <w:rPr/>
        <w:t>come</w:t>
      </w:r>
      <w:r>
        <w:rPr>
          <w:spacing w:val="29"/>
        </w:rPr>
        <w:t> </w:t>
      </w:r>
      <w:r>
        <w:rPr/>
        <w:t>tutti</w:t>
      </w:r>
      <w:r>
        <w:rPr>
          <w:spacing w:val="28"/>
        </w:rPr>
        <w:t> </w:t>
      </w:r>
      <w:r>
        <w:rPr/>
        <w:t>i</w:t>
      </w:r>
      <w:r>
        <w:rPr>
          <w:spacing w:val="27"/>
        </w:rPr>
        <w:t> </w:t>
      </w:r>
      <w:r>
        <w:rPr/>
        <w:t>giudici</w:t>
      </w:r>
      <w:r>
        <w:rPr>
          <w:spacing w:val="28"/>
        </w:rPr>
        <w:t> </w:t>
      </w:r>
      <w:r>
        <w:rPr/>
        <w:t>nazionali,</w:t>
      </w:r>
      <w:r>
        <w:rPr>
          <w:spacing w:val="34"/>
        </w:rPr>
        <w:t> </w:t>
      </w:r>
      <w:r>
        <w:rPr/>
        <w:t>hanno</w:t>
      </w:r>
      <w:r>
        <w:rPr>
          <w:spacing w:val="27"/>
        </w:rPr>
        <w:t> </w:t>
      </w:r>
      <w:r>
        <w:rPr/>
        <w:t>competenza</w:t>
      </w:r>
      <w:r>
        <w:rPr>
          <w:spacing w:val="28"/>
        </w:rPr>
        <w:t> </w:t>
      </w:r>
      <w:r>
        <w:rPr/>
        <w:t>ad</w:t>
      </w:r>
      <w:r>
        <w:rPr>
          <w:spacing w:val="27"/>
        </w:rPr>
        <w:t> </w:t>
      </w:r>
      <w:r>
        <w:rPr/>
        <w:t>applicare</w:t>
      </w:r>
      <w:r>
        <w:rPr>
          <w:spacing w:val="29"/>
        </w:rPr>
        <w:t> </w:t>
      </w:r>
      <w:r>
        <w:rPr/>
        <w:t>sia</w:t>
      </w:r>
      <w:r>
        <w:rPr>
          <w:spacing w:val="29"/>
        </w:rPr>
        <w:t> </w:t>
      </w:r>
      <w:r>
        <w:rPr>
          <w:spacing w:val="-5"/>
        </w:rPr>
        <w:t>il</w:t>
      </w:r>
    </w:p>
    <w:p>
      <w:pPr>
        <w:pStyle w:val="BodyText"/>
        <w:spacing w:before="151"/>
      </w:pPr>
    </w:p>
    <w:p>
      <w:pPr>
        <w:spacing w:line="194" w:lineRule="auto" w:before="0"/>
        <w:ind w:left="673" w:right="674" w:firstLine="0"/>
        <w:jc w:val="both"/>
        <w:rPr>
          <w:sz w:val="19"/>
        </w:rPr>
      </w:pPr>
      <w:r>
        <w:rPr>
          <w:sz w:val="19"/>
        </w:rPr>
        <w:t>il legislatore dell’Unione non</w:t>
      </w:r>
      <w:r>
        <w:rPr>
          <w:spacing w:val="-1"/>
          <w:sz w:val="19"/>
        </w:rPr>
        <w:t> </w:t>
      </w:r>
      <w:r>
        <w:rPr>
          <w:sz w:val="19"/>
        </w:rPr>
        <w:t>disponeva di alcuna facoltà di deroga al principio generale della competenza esclusiva della Corte di giustizia enunciato all’art. 263 TFUE.</w:t>
      </w:r>
    </w:p>
    <w:p>
      <w:pPr>
        <w:spacing w:line="194" w:lineRule="auto" w:before="43"/>
        <w:ind w:left="673" w:right="669" w:firstLine="284"/>
        <w:jc w:val="both"/>
        <w:rPr>
          <w:sz w:val="19"/>
        </w:rPr>
      </w:pPr>
      <w:bookmarkStart w:name="_bookmark8" w:id="9"/>
      <w:bookmarkEnd w:id="9"/>
      <w:r>
        <w:rPr/>
      </w:r>
      <w:r>
        <w:rPr>
          <w:sz w:val="19"/>
          <w:vertAlign w:val="superscript"/>
        </w:rPr>
        <w:t>9</w:t>
      </w:r>
      <w:r>
        <w:rPr>
          <w:sz w:val="19"/>
          <w:vertAlign w:val="baseline"/>
        </w:rPr>
        <w:t> V. M</w:t>
      </w:r>
      <w:r>
        <w:rPr>
          <w:sz w:val="15"/>
          <w:vertAlign w:val="baseline"/>
        </w:rPr>
        <w:t>ITSILEGAS </w:t>
      </w:r>
      <w:r>
        <w:rPr>
          <w:sz w:val="19"/>
          <w:vertAlign w:val="baseline"/>
        </w:rPr>
        <w:t>- F. G</w:t>
      </w:r>
      <w:r>
        <w:rPr>
          <w:sz w:val="15"/>
          <w:vertAlign w:val="baseline"/>
        </w:rPr>
        <w:t>IUFFRIDA</w:t>
      </w:r>
      <w:r>
        <w:rPr>
          <w:sz w:val="19"/>
          <w:vertAlign w:val="baseline"/>
        </w:rPr>
        <w:t>, </w:t>
      </w:r>
      <w:r>
        <w:rPr>
          <w:i/>
          <w:sz w:val="19"/>
          <w:vertAlign w:val="baseline"/>
        </w:rPr>
        <w:t>Raising the bar? Thoughts on the establishment of the</w:t>
      </w:r>
      <w:r>
        <w:rPr>
          <w:i/>
          <w:sz w:val="19"/>
          <w:vertAlign w:val="baseline"/>
        </w:rPr>
        <w:t> European Public Prosecutor’s Office</w:t>
      </w:r>
      <w:r>
        <w:rPr>
          <w:sz w:val="19"/>
          <w:vertAlign w:val="baseline"/>
        </w:rPr>
        <w:t>, in </w:t>
      </w:r>
      <w:r>
        <w:rPr>
          <w:i/>
          <w:sz w:val="19"/>
          <w:vertAlign w:val="baseline"/>
        </w:rPr>
        <w:t>CEPS Policy insights</w:t>
      </w:r>
      <w:r>
        <w:rPr>
          <w:sz w:val="19"/>
          <w:vertAlign w:val="baseline"/>
        </w:rPr>
        <w:t>, n. 2017-39 del 30 novembre 2017, p. 13.</w:t>
      </w:r>
    </w:p>
    <w:p>
      <w:pPr>
        <w:spacing w:line="194" w:lineRule="auto" w:before="45"/>
        <w:ind w:left="673" w:right="662" w:firstLine="284"/>
        <w:jc w:val="both"/>
        <w:rPr>
          <w:sz w:val="19"/>
        </w:rPr>
      </w:pPr>
      <w:bookmarkStart w:name="_bookmark9" w:id="10"/>
      <w:bookmarkEnd w:id="10"/>
      <w:r>
        <w:rPr/>
      </w:r>
      <w:r>
        <w:rPr>
          <w:sz w:val="19"/>
          <w:vertAlign w:val="superscript"/>
        </w:rPr>
        <w:t>10</w:t>
      </w:r>
      <w:r>
        <w:rPr>
          <w:sz w:val="19"/>
          <w:vertAlign w:val="baseline"/>
        </w:rPr>
        <w:t> Dopo quella conseguente al conferimento alla BCE della vigilanza bancaria sulle due- cento principali istituzioni finanziarie della “Zona euro” ad opera del Regolamento (Ue) n. 1024/2013 del Consiglio del 15 ottobre 2013 «che attribuisce alla Banca centrale europea compiti specifici in materia di vigilanza prudenziale sugli enti creditizi», in </w:t>
      </w:r>
      <w:r>
        <w:rPr>
          <w:i/>
          <w:sz w:val="19"/>
          <w:vertAlign w:val="baseline"/>
        </w:rPr>
        <w:t>Gu-Ue </w:t>
      </w:r>
      <w:r>
        <w:rPr>
          <w:sz w:val="19"/>
          <w:vertAlign w:val="baseline"/>
        </w:rPr>
        <w:t>n. L 287</w:t>
      </w:r>
      <w:r>
        <w:rPr>
          <w:spacing w:val="40"/>
          <w:sz w:val="19"/>
          <w:vertAlign w:val="baseline"/>
        </w:rPr>
        <w:t> </w:t>
      </w:r>
      <w:r>
        <w:rPr>
          <w:sz w:val="19"/>
          <w:vertAlign w:val="baseline"/>
        </w:rPr>
        <w:t>del 29 ottobre 2013, pp. 63-89.</w:t>
      </w:r>
    </w:p>
    <w:p>
      <w:pPr>
        <w:spacing w:after="0" w:line="194" w:lineRule="auto"/>
        <w:jc w:val="both"/>
        <w:rPr>
          <w:sz w:val="19"/>
        </w:rPr>
        <w:sectPr>
          <w:pgSz w:w="11910" w:h="16840"/>
          <w:pgMar w:header="2182" w:footer="0" w:top="2480" w:bottom="280" w:left="1680" w:right="1680"/>
        </w:sectPr>
      </w:pPr>
    </w:p>
    <w:p>
      <w:pPr>
        <w:pStyle w:val="BodyText"/>
      </w:pPr>
    </w:p>
    <w:p>
      <w:pPr>
        <w:pStyle w:val="BodyText"/>
        <w:spacing w:before="14"/>
      </w:pPr>
    </w:p>
    <w:p>
      <w:pPr>
        <w:pStyle w:val="BodyText"/>
        <w:spacing w:line="228" w:lineRule="auto"/>
        <w:ind w:left="673" w:right="667"/>
        <w:jc w:val="both"/>
      </w:pPr>
      <w:r>
        <w:rPr/>
        <w:t>proprio</w:t>
      </w:r>
      <w:r>
        <w:rPr>
          <w:spacing w:val="-3"/>
        </w:rPr>
        <w:t> </w:t>
      </w:r>
      <w:r>
        <w:rPr/>
        <w:t>diritto</w:t>
      </w:r>
      <w:r>
        <w:rPr>
          <w:spacing w:val="-3"/>
        </w:rPr>
        <w:t> </w:t>
      </w:r>
      <w:r>
        <w:rPr/>
        <w:t>nazionale sia</w:t>
      </w:r>
      <w:r>
        <w:rPr>
          <w:spacing w:val="-1"/>
        </w:rPr>
        <w:t> </w:t>
      </w:r>
      <w:r>
        <w:rPr/>
        <w:t>il</w:t>
      </w:r>
      <w:r>
        <w:rPr>
          <w:spacing w:val="-2"/>
        </w:rPr>
        <w:t> </w:t>
      </w:r>
      <w:r>
        <w:rPr/>
        <w:t>diritto</w:t>
      </w:r>
      <w:r>
        <w:rPr>
          <w:spacing w:val="-3"/>
        </w:rPr>
        <w:t> </w:t>
      </w:r>
      <w:r>
        <w:rPr/>
        <w:t>dell’Unione –</w:t>
      </w:r>
      <w:r>
        <w:rPr>
          <w:spacing w:val="-3"/>
        </w:rPr>
        <w:t> </w:t>
      </w:r>
      <w:r>
        <w:rPr/>
        <w:t>devono</w:t>
      </w:r>
      <w:r>
        <w:rPr>
          <w:spacing w:val="-3"/>
        </w:rPr>
        <w:t> </w:t>
      </w:r>
      <w:r>
        <w:rPr/>
        <w:t>utilizzare</w:t>
      </w:r>
      <w:r>
        <w:rPr>
          <w:spacing w:val="-2"/>
        </w:rPr>
        <w:t> </w:t>
      </w:r>
      <w:r>
        <w:rPr/>
        <w:t>come parametri del loro giudizio di legittimità sugli atti procedurali della Procu- ra europea, in primo luogo le norme del Regolamento (Ue) n. 2017/1939</w:t>
      </w:r>
      <w:r>
        <w:rPr>
          <w:spacing w:val="80"/>
        </w:rPr>
        <w:t> </w:t>
      </w:r>
      <w:r>
        <w:rPr/>
        <w:t>e, in secondo</w:t>
      </w:r>
      <w:r>
        <w:rPr>
          <w:spacing w:val="-4"/>
        </w:rPr>
        <w:t> </w:t>
      </w:r>
      <w:r>
        <w:rPr/>
        <w:t>luogo, per</w:t>
      </w:r>
      <w:r>
        <w:rPr>
          <w:spacing w:val="-3"/>
        </w:rPr>
        <w:t> </w:t>
      </w:r>
      <w:r>
        <w:rPr/>
        <w:t>tutti gli aspetti non disciplinati dal suddetto Rego- lamento, il proprio diritto processuale nazionale. Il </w:t>
      </w:r>
      <w:r>
        <w:rPr>
          <w:i/>
        </w:rPr>
        <w:t>considerando </w:t>
      </w:r>
      <w:r>
        <w:rPr/>
        <w:t>n. 88 ri- corda opportunamente che le legislazioni processuali nazionali che i giu- dici penali degli Stati membri applicano nell’esercizio delle proprie fun- zioni di controllo giurisdizionale sugli atti procedurali della Procura euro- pea, dovranno assicurare il rispetto dei due principi generali dell’ordina- mento dell’Unione elaborati dalla giurisprudenza della Corte, denominati rispettivamente principio di equivalenza e principio di effettività. In forza di questi due principi, da un lato, le modalità procedurali nazionali che di- sciplinano i ricorsi intesi a tutelare i diritti conferiti ai soggetti interessati dal diritto dell’Unione non devono essere meno favorevoli di quelle previ- ste per i</w:t>
      </w:r>
      <w:r>
        <w:rPr>
          <w:spacing w:val="-2"/>
        </w:rPr>
        <w:t> </w:t>
      </w:r>
      <w:r>
        <w:rPr/>
        <w:t>ricorsi</w:t>
      </w:r>
      <w:r>
        <w:rPr>
          <w:spacing w:val="-2"/>
        </w:rPr>
        <w:t> </w:t>
      </w:r>
      <w:r>
        <w:rPr/>
        <w:t>analoghi di</w:t>
      </w:r>
      <w:r>
        <w:rPr>
          <w:spacing w:val="-2"/>
        </w:rPr>
        <w:t> </w:t>
      </w:r>
      <w:r>
        <w:rPr/>
        <w:t>carattere puramente</w:t>
      </w:r>
      <w:r>
        <w:rPr>
          <w:spacing w:val="-2"/>
        </w:rPr>
        <w:t> </w:t>
      </w:r>
      <w:r>
        <w:rPr/>
        <w:t>interno, e dall’altro,</w:t>
      </w:r>
      <w:r>
        <w:rPr>
          <w:spacing w:val="-2"/>
        </w:rPr>
        <w:t> </w:t>
      </w:r>
      <w:r>
        <w:rPr/>
        <w:t>queste stesse modalità procedurali nazionali non devono rendere praticamente impossibile o eccessivamente difficile l’esercizio dei diritti conferiti dal- l’ordinamento giuridico dell’Unione</w:t>
      </w:r>
      <w:hyperlink w:history="true" w:anchor="_bookmark10">
        <w:r>
          <w:rPr>
            <w:position w:val="7"/>
            <w:sz w:val="13"/>
          </w:rPr>
          <w:t>11</w:t>
        </w:r>
      </w:hyperlink>
      <w:r>
        <w:rPr/>
        <w:t>.</w:t>
      </w:r>
    </w:p>
    <w:p>
      <w:pPr>
        <w:pStyle w:val="ListParagraph"/>
        <w:numPr>
          <w:ilvl w:val="1"/>
          <w:numId w:val="1"/>
        </w:numPr>
        <w:tabs>
          <w:tab w:pos="1068" w:val="left" w:leader="none"/>
        </w:tabs>
        <w:spacing w:line="230" w:lineRule="auto" w:before="260" w:after="0"/>
        <w:ind w:left="1068" w:right="683" w:hanging="396"/>
        <w:jc w:val="both"/>
        <w:rPr>
          <w:i/>
          <w:sz w:val="24"/>
        </w:rPr>
      </w:pPr>
      <w:r>
        <w:rPr>
          <w:i/>
          <w:sz w:val="24"/>
        </w:rPr>
        <w:t>Competenza</w:t>
      </w:r>
      <w:r>
        <w:rPr>
          <w:i/>
          <w:spacing w:val="-2"/>
          <w:sz w:val="24"/>
        </w:rPr>
        <w:t> </w:t>
      </w:r>
      <w:r>
        <w:rPr>
          <w:i/>
          <w:sz w:val="24"/>
        </w:rPr>
        <w:t>generale dei</w:t>
      </w:r>
      <w:r>
        <w:rPr>
          <w:i/>
          <w:spacing w:val="-1"/>
          <w:sz w:val="24"/>
        </w:rPr>
        <w:t> </w:t>
      </w:r>
      <w:r>
        <w:rPr>
          <w:i/>
          <w:sz w:val="24"/>
        </w:rPr>
        <w:t>giudici</w:t>
      </w:r>
      <w:r>
        <w:rPr>
          <w:i/>
          <w:spacing w:val="-1"/>
          <w:sz w:val="24"/>
        </w:rPr>
        <w:t> </w:t>
      </w:r>
      <w:r>
        <w:rPr>
          <w:i/>
          <w:sz w:val="24"/>
        </w:rPr>
        <w:t>nazionali</w:t>
      </w:r>
      <w:r>
        <w:rPr>
          <w:i/>
          <w:spacing w:val="-1"/>
          <w:sz w:val="24"/>
        </w:rPr>
        <w:t> </w:t>
      </w:r>
      <w:r>
        <w:rPr>
          <w:i/>
          <w:sz w:val="24"/>
        </w:rPr>
        <w:t>in</w:t>
      </w:r>
      <w:r>
        <w:rPr>
          <w:i/>
          <w:spacing w:val="-2"/>
          <w:sz w:val="24"/>
        </w:rPr>
        <w:t> </w:t>
      </w:r>
      <w:r>
        <w:rPr>
          <w:i/>
          <w:sz w:val="24"/>
        </w:rPr>
        <w:t>materia</w:t>
      </w:r>
      <w:r>
        <w:rPr>
          <w:i/>
          <w:spacing w:val="-2"/>
          <w:sz w:val="24"/>
        </w:rPr>
        <w:t> </w:t>
      </w:r>
      <w:r>
        <w:rPr>
          <w:i/>
          <w:sz w:val="24"/>
        </w:rPr>
        <w:t>di</w:t>
      </w:r>
      <w:r>
        <w:rPr>
          <w:i/>
          <w:spacing w:val="-1"/>
          <w:sz w:val="24"/>
        </w:rPr>
        <w:t> </w:t>
      </w:r>
      <w:r>
        <w:rPr>
          <w:i/>
          <w:sz w:val="24"/>
        </w:rPr>
        <w:t>ricorsi</w:t>
      </w:r>
      <w:r>
        <w:rPr>
          <w:i/>
          <w:spacing w:val="-1"/>
          <w:sz w:val="24"/>
        </w:rPr>
        <w:t> </w:t>
      </w:r>
      <w:r>
        <w:rPr>
          <w:i/>
          <w:sz w:val="24"/>
        </w:rPr>
        <w:t>diretti</w:t>
      </w:r>
      <w:r>
        <w:rPr>
          <w:i/>
          <w:sz w:val="24"/>
        </w:rPr>
        <w:t> contro gli «atti procedurali» della Procura europea</w:t>
      </w:r>
    </w:p>
    <w:p>
      <w:pPr>
        <w:pStyle w:val="BodyText"/>
        <w:spacing w:line="228" w:lineRule="auto" w:before="117"/>
        <w:ind w:left="673" w:right="669" w:firstLine="396"/>
        <w:jc w:val="both"/>
      </w:pPr>
      <w:r>
        <w:rPr/>
        <w:t>Alla luce di queste considerazioni di carattere generale, si possono ora esaminare, con migliore cognizione di causa, le singole disposizioni del lungo</w:t>
      </w:r>
      <w:r>
        <w:rPr>
          <w:spacing w:val="-2"/>
        </w:rPr>
        <w:t> </w:t>
      </w:r>
      <w:r>
        <w:rPr/>
        <w:t>art.</w:t>
      </w:r>
      <w:r>
        <w:rPr>
          <w:spacing w:val="-2"/>
        </w:rPr>
        <w:t> </w:t>
      </w:r>
      <w:r>
        <w:rPr/>
        <w:t>42</w:t>
      </w:r>
      <w:r>
        <w:rPr>
          <w:spacing w:val="-2"/>
        </w:rPr>
        <w:t> </w:t>
      </w:r>
      <w:r>
        <w:rPr/>
        <w:t>del Regolamento</w:t>
      </w:r>
      <w:r>
        <w:rPr>
          <w:spacing w:val="-2"/>
        </w:rPr>
        <w:t> </w:t>
      </w:r>
      <w:r>
        <w:rPr/>
        <w:t>EPPO.</w:t>
      </w:r>
      <w:r>
        <w:rPr>
          <w:spacing w:val="-2"/>
        </w:rPr>
        <w:t> </w:t>
      </w:r>
      <w:r>
        <w:rPr/>
        <w:t>Iniziamo</w:t>
      </w:r>
      <w:r>
        <w:rPr>
          <w:spacing w:val="-2"/>
        </w:rPr>
        <w:t> </w:t>
      </w:r>
      <w:r>
        <w:rPr/>
        <w:t>dai</w:t>
      </w:r>
      <w:r>
        <w:rPr>
          <w:spacing w:val="-1"/>
        </w:rPr>
        <w:t> </w:t>
      </w:r>
      <w:r>
        <w:rPr/>
        <w:t>ricorsi</w:t>
      </w:r>
      <w:r>
        <w:rPr>
          <w:spacing w:val="-1"/>
        </w:rPr>
        <w:t> </w:t>
      </w:r>
      <w:r>
        <w:rPr/>
        <w:t>diretti</w:t>
      </w:r>
      <w:r>
        <w:rPr>
          <w:spacing w:val="-1"/>
        </w:rPr>
        <w:t> </w:t>
      </w:r>
      <w:r>
        <w:rPr/>
        <w:t>contro</w:t>
      </w:r>
      <w:r>
        <w:rPr>
          <w:spacing w:val="-2"/>
        </w:rPr>
        <w:t> </w:t>
      </w:r>
      <w:r>
        <w:rPr/>
        <w:t>gli atti della Procura europea</w:t>
      </w:r>
      <w:hyperlink w:history="true" w:anchor="_bookmark11">
        <w:r>
          <w:rPr>
            <w:position w:val="7"/>
            <w:sz w:val="13"/>
          </w:rPr>
          <w:t>12</w:t>
        </w:r>
      </w:hyperlink>
      <w:r>
        <w:rPr/>
        <w:t>. È vero che secondo il disposto del primo pa- ragrafo tali atti sono impugnabili dinanzi ai giudici penali degli Stati membri «conformemente alle procedure e ai requisiti stabiliti dal diritto nazionale»</w:t>
      </w:r>
      <w:r>
        <w:rPr>
          <w:i/>
        </w:rPr>
        <w:t>. </w:t>
      </w:r>
      <w:r>
        <w:rPr/>
        <w:t>Va notato, tuttavia, che il legislatore dell’Unione, nel rinviare alle</w:t>
      </w:r>
      <w:r>
        <w:rPr>
          <w:spacing w:val="15"/>
        </w:rPr>
        <w:t> </w:t>
      </w:r>
      <w:r>
        <w:rPr/>
        <w:t>regole</w:t>
      </w:r>
      <w:r>
        <w:rPr>
          <w:spacing w:val="19"/>
        </w:rPr>
        <w:t> </w:t>
      </w:r>
      <w:r>
        <w:rPr/>
        <w:t>della</w:t>
      </w:r>
      <w:r>
        <w:rPr>
          <w:spacing w:val="19"/>
        </w:rPr>
        <w:t> </w:t>
      </w:r>
      <w:r>
        <w:rPr/>
        <w:t>procedura</w:t>
      </w:r>
      <w:r>
        <w:rPr>
          <w:spacing w:val="19"/>
        </w:rPr>
        <w:t> </w:t>
      </w:r>
      <w:r>
        <w:rPr/>
        <w:t>penale</w:t>
      </w:r>
      <w:r>
        <w:rPr>
          <w:spacing w:val="19"/>
        </w:rPr>
        <w:t> </w:t>
      </w:r>
      <w:r>
        <w:rPr/>
        <w:t>di</w:t>
      </w:r>
      <w:r>
        <w:rPr>
          <w:spacing w:val="18"/>
        </w:rPr>
        <w:t> </w:t>
      </w:r>
      <w:r>
        <w:rPr/>
        <w:t>ogni</w:t>
      </w:r>
      <w:r>
        <w:rPr>
          <w:spacing w:val="16"/>
        </w:rPr>
        <w:t> </w:t>
      </w:r>
      <w:r>
        <w:rPr/>
        <w:t>Stato</w:t>
      </w:r>
      <w:r>
        <w:rPr>
          <w:spacing w:val="18"/>
        </w:rPr>
        <w:t> </w:t>
      </w:r>
      <w:r>
        <w:rPr/>
        <w:t>membro,</w:t>
      </w:r>
      <w:r>
        <w:rPr>
          <w:spacing w:val="18"/>
        </w:rPr>
        <w:t> </w:t>
      </w:r>
      <w:r>
        <w:rPr/>
        <w:t>ha</w:t>
      </w:r>
      <w:r>
        <w:rPr>
          <w:spacing w:val="16"/>
        </w:rPr>
        <w:t> </w:t>
      </w:r>
      <w:r>
        <w:rPr/>
        <w:t>introdotto</w:t>
      </w:r>
      <w:r>
        <w:rPr>
          <w:spacing w:val="18"/>
        </w:rPr>
        <w:t> </w:t>
      </w:r>
      <w:r>
        <w:rPr>
          <w:spacing w:val="-5"/>
        </w:rPr>
        <w:t>in</w:t>
      </w:r>
    </w:p>
    <w:p>
      <w:pPr>
        <w:pStyle w:val="BodyText"/>
        <w:spacing w:before="172"/>
      </w:pPr>
    </w:p>
    <w:p>
      <w:pPr>
        <w:spacing w:line="194" w:lineRule="auto" w:before="0"/>
        <w:ind w:left="673" w:right="665" w:firstLine="284"/>
        <w:jc w:val="both"/>
        <w:rPr>
          <w:sz w:val="19"/>
        </w:rPr>
      </w:pPr>
      <w:bookmarkStart w:name="_bookmark10" w:id="11"/>
      <w:bookmarkEnd w:id="11"/>
      <w:r>
        <w:rPr/>
      </w:r>
      <w:r>
        <w:rPr>
          <w:sz w:val="19"/>
          <w:vertAlign w:val="superscript"/>
        </w:rPr>
        <w:t>11</w:t>
      </w:r>
      <w:r>
        <w:rPr>
          <w:sz w:val="19"/>
          <w:vertAlign w:val="baseline"/>
        </w:rPr>
        <w:t> Fra le numerose pronunce della Corte di giustizia in materia di principi di equivalenza</w:t>
      </w:r>
      <w:r>
        <w:rPr>
          <w:spacing w:val="40"/>
          <w:sz w:val="19"/>
          <w:vertAlign w:val="baseline"/>
        </w:rPr>
        <w:t> </w:t>
      </w:r>
      <w:r>
        <w:rPr>
          <w:sz w:val="19"/>
          <w:vertAlign w:val="baseline"/>
        </w:rPr>
        <w:t>ed effettività, si veda, ad esempio, la sentenza del 7 novembre 2018 in causa n.</w:t>
      </w:r>
      <w:r>
        <w:rPr>
          <w:spacing w:val="-1"/>
          <w:sz w:val="19"/>
          <w:vertAlign w:val="baseline"/>
        </w:rPr>
        <w:t> </w:t>
      </w:r>
      <w:r>
        <w:rPr>
          <w:sz w:val="19"/>
          <w:vertAlign w:val="baseline"/>
        </w:rPr>
        <w:t>C-380/17, </w:t>
      </w:r>
      <w:r>
        <w:rPr>
          <w:i/>
          <w:sz w:val="19"/>
          <w:vertAlign w:val="baseline"/>
        </w:rPr>
        <w:t>K e</w:t>
      </w:r>
      <w:r>
        <w:rPr>
          <w:i/>
          <w:sz w:val="19"/>
          <w:vertAlign w:val="baseline"/>
        </w:rPr>
        <w:t> B</w:t>
      </w:r>
      <w:r>
        <w:rPr>
          <w:sz w:val="19"/>
          <w:vertAlign w:val="baseline"/>
        </w:rPr>
        <w:t>, EU:C:2018:877, punti 56-58.</w:t>
      </w:r>
    </w:p>
    <w:p>
      <w:pPr>
        <w:spacing w:line="196" w:lineRule="auto" w:before="43"/>
        <w:ind w:left="673" w:right="667" w:firstLine="284"/>
        <w:jc w:val="both"/>
        <w:rPr>
          <w:sz w:val="19"/>
        </w:rPr>
      </w:pPr>
      <w:bookmarkStart w:name="_bookmark11" w:id="12"/>
      <w:bookmarkEnd w:id="12"/>
      <w:r>
        <w:rPr/>
      </w:r>
      <w:r>
        <w:rPr>
          <w:sz w:val="19"/>
          <w:vertAlign w:val="superscript"/>
        </w:rPr>
        <w:t>12</w:t>
      </w:r>
      <w:r>
        <w:rPr>
          <w:sz w:val="19"/>
          <w:vertAlign w:val="baseline"/>
        </w:rPr>
        <w:t> Per un commento all’art. 42 del Regolamento EPPO, cfr. V. M</w:t>
      </w:r>
      <w:r>
        <w:rPr>
          <w:sz w:val="15"/>
          <w:vertAlign w:val="baseline"/>
        </w:rPr>
        <w:t>ITSILEGAS</w:t>
      </w:r>
      <w:r>
        <w:rPr>
          <w:spacing w:val="40"/>
          <w:sz w:val="15"/>
          <w:vertAlign w:val="baseline"/>
        </w:rPr>
        <w:t> </w:t>
      </w:r>
      <w:r>
        <w:rPr>
          <w:sz w:val="19"/>
          <w:vertAlign w:val="baseline"/>
        </w:rPr>
        <w:t>- F. G</w:t>
      </w:r>
      <w:r>
        <w:rPr>
          <w:sz w:val="15"/>
          <w:vertAlign w:val="baseline"/>
        </w:rPr>
        <w:t>IUFFRIDA</w:t>
      </w:r>
      <w:r>
        <w:rPr>
          <w:sz w:val="19"/>
          <w:vertAlign w:val="baseline"/>
        </w:rPr>
        <w:t>,</w:t>
      </w:r>
      <w:r>
        <w:rPr>
          <w:spacing w:val="-2"/>
          <w:sz w:val="19"/>
          <w:vertAlign w:val="baseline"/>
        </w:rPr>
        <w:t> </w:t>
      </w:r>
      <w:r>
        <w:rPr>
          <w:i/>
          <w:sz w:val="19"/>
          <w:vertAlign w:val="baseline"/>
        </w:rPr>
        <w:t>The</w:t>
      </w:r>
      <w:r>
        <w:rPr>
          <w:i/>
          <w:spacing w:val="-2"/>
          <w:sz w:val="19"/>
          <w:vertAlign w:val="baseline"/>
        </w:rPr>
        <w:t> </w:t>
      </w:r>
      <w:r>
        <w:rPr>
          <w:i/>
          <w:sz w:val="19"/>
          <w:vertAlign w:val="baseline"/>
        </w:rPr>
        <w:t>European</w:t>
      </w:r>
      <w:r>
        <w:rPr>
          <w:i/>
          <w:spacing w:val="-1"/>
          <w:sz w:val="19"/>
          <w:vertAlign w:val="baseline"/>
        </w:rPr>
        <w:t> </w:t>
      </w:r>
      <w:r>
        <w:rPr>
          <w:i/>
          <w:sz w:val="19"/>
          <w:vertAlign w:val="baseline"/>
        </w:rPr>
        <w:t>Public</w:t>
      </w:r>
      <w:r>
        <w:rPr>
          <w:i/>
          <w:spacing w:val="-2"/>
          <w:sz w:val="19"/>
          <w:vertAlign w:val="baseline"/>
        </w:rPr>
        <w:t> </w:t>
      </w:r>
      <w:r>
        <w:rPr>
          <w:i/>
          <w:sz w:val="19"/>
          <w:vertAlign w:val="baseline"/>
        </w:rPr>
        <w:t>Prosecutor’s</w:t>
      </w:r>
      <w:r>
        <w:rPr>
          <w:i/>
          <w:spacing w:val="-2"/>
          <w:sz w:val="19"/>
          <w:vertAlign w:val="baseline"/>
        </w:rPr>
        <w:t> </w:t>
      </w:r>
      <w:r>
        <w:rPr>
          <w:i/>
          <w:sz w:val="19"/>
          <w:vertAlign w:val="baseline"/>
        </w:rPr>
        <w:t>Office</w:t>
      </w:r>
      <w:r>
        <w:rPr>
          <w:i/>
          <w:spacing w:val="-2"/>
          <w:sz w:val="19"/>
          <w:vertAlign w:val="baseline"/>
        </w:rPr>
        <w:t> </w:t>
      </w:r>
      <w:r>
        <w:rPr>
          <w:i/>
          <w:sz w:val="19"/>
          <w:vertAlign w:val="baseline"/>
        </w:rPr>
        <w:t>and</w:t>
      </w:r>
      <w:r>
        <w:rPr>
          <w:i/>
          <w:spacing w:val="-1"/>
          <w:sz w:val="19"/>
          <w:vertAlign w:val="baseline"/>
        </w:rPr>
        <w:t> </w:t>
      </w:r>
      <w:r>
        <w:rPr>
          <w:i/>
          <w:sz w:val="19"/>
          <w:vertAlign w:val="baseline"/>
        </w:rPr>
        <w:t>human</w:t>
      </w:r>
      <w:r>
        <w:rPr>
          <w:i/>
          <w:spacing w:val="-5"/>
          <w:sz w:val="19"/>
          <w:vertAlign w:val="baseline"/>
        </w:rPr>
        <w:t> </w:t>
      </w:r>
      <w:r>
        <w:rPr>
          <w:i/>
          <w:sz w:val="19"/>
          <w:vertAlign w:val="baseline"/>
        </w:rPr>
        <w:t>rights</w:t>
      </w:r>
      <w:r>
        <w:rPr>
          <w:sz w:val="19"/>
          <w:vertAlign w:val="baseline"/>
        </w:rPr>
        <w:t>,</w:t>
      </w:r>
      <w:r>
        <w:rPr>
          <w:spacing w:val="-1"/>
          <w:sz w:val="19"/>
          <w:vertAlign w:val="baseline"/>
        </w:rPr>
        <w:t> </w:t>
      </w:r>
      <w:r>
        <w:rPr>
          <w:sz w:val="19"/>
          <w:vertAlign w:val="baseline"/>
        </w:rPr>
        <w:t>in</w:t>
      </w:r>
      <w:r>
        <w:rPr>
          <w:spacing w:val="-2"/>
          <w:sz w:val="19"/>
          <w:vertAlign w:val="baseline"/>
        </w:rPr>
        <w:t> </w:t>
      </w:r>
      <w:r>
        <w:rPr>
          <w:sz w:val="19"/>
          <w:vertAlign w:val="baseline"/>
        </w:rPr>
        <w:t>W.</w:t>
      </w:r>
      <w:r>
        <w:rPr>
          <w:spacing w:val="-1"/>
          <w:sz w:val="19"/>
          <w:vertAlign w:val="baseline"/>
        </w:rPr>
        <w:t> </w:t>
      </w:r>
      <w:r>
        <w:rPr>
          <w:sz w:val="19"/>
          <w:vertAlign w:val="baseline"/>
        </w:rPr>
        <w:t>G</w:t>
      </w:r>
      <w:r>
        <w:rPr>
          <w:sz w:val="15"/>
          <w:vertAlign w:val="baseline"/>
        </w:rPr>
        <w:t>EELHOED</w:t>
      </w:r>
      <w:r>
        <w:rPr>
          <w:spacing w:val="8"/>
          <w:sz w:val="15"/>
          <w:vertAlign w:val="baseline"/>
        </w:rPr>
        <w:t> </w:t>
      </w:r>
      <w:r>
        <w:rPr>
          <w:sz w:val="19"/>
          <w:vertAlign w:val="baseline"/>
        </w:rPr>
        <w:t>-</w:t>
      </w:r>
      <w:r>
        <w:rPr>
          <w:spacing w:val="-1"/>
          <w:sz w:val="19"/>
          <w:vertAlign w:val="baseline"/>
        </w:rPr>
        <w:t> </w:t>
      </w:r>
      <w:r>
        <w:rPr>
          <w:spacing w:val="-5"/>
          <w:sz w:val="19"/>
          <w:vertAlign w:val="baseline"/>
        </w:rPr>
        <w:t>L.</w:t>
      </w:r>
    </w:p>
    <w:p>
      <w:pPr>
        <w:spacing w:line="192" w:lineRule="auto" w:before="0"/>
        <w:ind w:left="673" w:right="666" w:firstLine="0"/>
        <w:jc w:val="both"/>
        <w:rPr>
          <w:sz w:val="19"/>
        </w:rPr>
      </w:pPr>
      <w:r>
        <w:rPr>
          <w:sz w:val="19"/>
        </w:rPr>
        <w:t>H. E</w:t>
      </w:r>
      <w:r>
        <w:rPr>
          <w:sz w:val="15"/>
        </w:rPr>
        <w:t>RKELENS </w:t>
      </w:r>
      <w:r>
        <w:rPr>
          <w:sz w:val="19"/>
        </w:rPr>
        <w:t>-</w:t>
      </w:r>
      <w:r>
        <w:rPr>
          <w:spacing w:val="-1"/>
          <w:sz w:val="19"/>
        </w:rPr>
        <w:t> </w:t>
      </w:r>
      <w:r>
        <w:rPr>
          <w:sz w:val="19"/>
        </w:rPr>
        <w:t>A. W. H.</w:t>
      </w:r>
      <w:r>
        <w:rPr>
          <w:spacing w:val="-1"/>
          <w:sz w:val="19"/>
        </w:rPr>
        <w:t> </w:t>
      </w:r>
      <w:r>
        <w:rPr>
          <w:sz w:val="19"/>
        </w:rPr>
        <w:t>M</w:t>
      </w:r>
      <w:r>
        <w:rPr>
          <w:sz w:val="15"/>
        </w:rPr>
        <w:t>EIJ</w:t>
      </w:r>
      <w:r>
        <w:rPr>
          <w:sz w:val="19"/>
        </w:rPr>
        <w:t>,</w:t>
      </w:r>
      <w:r>
        <w:rPr>
          <w:spacing w:val="-1"/>
          <w:sz w:val="19"/>
        </w:rPr>
        <w:t> </w:t>
      </w:r>
      <w:r>
        <w:rPr>
          <w:i/>
          <w:sz w:val="19"/>
        </w:rPr>
        <w:t>Shifting perspectives on the European Public Prosecutor’s Of-</w:t>
      </w:r>
      <w:r>
        <w:rPr>
          <w:i/>
          <w:sz w:val="19"/>
        </w:rPr>
        <w:t> fice</w:t>
      </w:r>
      <w:r>
        <w:rPr>
          <w:sz w:val="19"/>
        </w:rPr>
        <w:t>, The Hague, T.M.C., Asser Press, 2018, in particolare il par. 6.4 </w:t>
      </w:r>
      <w:r>
        <w:rPr>
          <w:i/>
          <w:sz w:val="19"/>
        </w:rPr>
        <w:t>Judicial review of the</w:t>
      </w:r>
      <w:r>
        <w:rPr>
          <w:i/>
          <w:spacing w:val="40"/>
          <w:sz w:val="19"/>
        </w:rPr>
        <w:t> </w:t>
      </w:r>
      <w:r>
        <w:rPr>
          <w:i/>
          <w:sz w:val="19"/>
        </w:rPr>
        <w:t>acts of EPPO, </w:t>
      </w:r>
      <w:r>
        <w:rPr>
          <w:sz w:val="19"/>
        </w:rPr>
        <w:t>pp. 78-87. Nel commentario al Regolamento EPPO di H. H</w:t>
      </w:r>
      <w:r>
        <w:rPr>
          <w:sz w:val="15"/>
        </w:rPr>
        <w:t>ERRNFELD </w:t>
      </w:r>
      <w:r>
        <w:rPr>
          <w:sz w:val="19"/>
        </w:rPr>
        <w:t>- D. B</w:t>
      </w:r>
      <w:r>
        <w:rPr>
          <w:sz w:val="15"/>
        </w:rPr>
        <w:t>RODOWSKI </w:t>
      </w:r>
      <w:r>
        <w:rPr>
          <w:sz w:val="19"/>
        </w:rPr>
        <w:t>- C. B</w:t>
      </w:r>
      <w:r>
        <w:rPr>
          <w:sz w:val="15"/>
        </w:rPr>
        <w:t>URCHARD</w:t>
      </w:r>
      <w:r>
        <w:rPr>
          <w:sz w:val="19"/>
        </w:rPr>
        <w:t>, </w:t>
      </w:r>
      <w:r>
        <w:rPr>
          <w:i/>
          <w:sz w:val="19"/>
        </w:rPr>
        <w:t>European Public Prosecutor’s</w:t>
      </w:r>
      <w:r>
        <w:rPr>
          <w:i/>
          <w:spacing w:val="-1"/>
          <w:sz w:val="19"/>
        </w:rPr>
        <w:t> </w:t>
      </w:r>
      <w:r>
        <w:rPr>
          <w:i/>
          <w:sz w:val="19"/>
        </w:rPr>
        <w:t>Office</w:t>
      </w:r>
      <w:r>
        <w:rPr>
          <w:sz w:val="19"/>
        </w:rPr>
        <w:t>, </w:t>
      </w:r>
      <w:r>
        <w:rPr>
          <w:i/>
          <w:sz w:val="19"/>
        </w:rPr>
        <w:t>cit. supra</w:t>
      </w:r>
      <w:r>
        <w:rPr>
          <w:sz w:val="19"/>
        </w:rPr>
        <w:t>, nota 2, il com- mento all’art. 42 è stato redatto da H. H</w:t>
      </w:r>
      <w:r>
        <w:rPr>
          <w:sz w:val="15"/>
        </w:rPr>
        <w:t>ERRNFELD</w:t>
      </w:r>
      <w:r>
        <w:rPr>
          <w:sz w:val="19"/>
        </w:rPr>
        <w:t>, v. in particolare il par. 5, </w:t>
      </w:r>
      <w:r>
        <w:rPr>
          <w:i/>
          <w:sz w:val="19"/>
        </w:rPr>
        <w:t>Challengeable</w:t>
      </w:r>
      <w:r>
        <w:rPr>
          <w:i/>
          <w:sz w:val="19"/>
        </w:rPr>
        <w:t> procedural acts of the EPPO</w:t>
      </w:r>
      <w:r>
        <w:rPr>
          <w:sz w:val="19"/>
        </w:rPr>
        <w:t>, pp. 420-423. V. inoltre: E. T</w:t>
      </w:r>
      <w:r>
        <w:rPr>
          <w:sz w:val="15"/>
        </w:rPr>
        <w:t>RAVERSA</w:t>
      </w:r>
      <w:r>
        <w:rPr>
          <w:sz w:val="19"/>
        </w:rPr>
        <w:t>, </w:t>
      </w:r>
      <w:r>
        <w:rPr>
          <w:i/>
          <w:sz w:val="19"/>
        </w:rPr>
        <w:t>I tre principali aspetti</w:t>
      </w:r>
      <w:r>
        <w:rPr>
          <w:i/>
          <w:sz w:val="19"/>
        </w:rPr>
        <w:t> istituzionali dell’attività della Procura</w:t>
      </w:r>
      <w:r>
        <w:rPr>
          <w:i/>
          <w:spacing w:val="-2"/>
          <w:sz w:val="19"/>
        </w:rPr>
        <w:t> </w:t>
      </w:r>
      <w:r>
        <w:rPr>
          <w:i/>
          <w:sz w:val="19"/>
        </w:rPr>
        <w:t>europea</w:t>
      </w:r>
      <w:r>
        <w:rPr>
          <w:i/>
          <w:spacing w:val="-2"/>
          <w:sz w:val="19"/>
        </w:rPr>
        <w:t> </w:t>
      </w:r>
      <w:r>
        <w:rPr>
          <w:i/>
          <w:sz w:val="19"/>
        </w:rPr>
        <w:t>(«EPPO»):</w:t>
      </w:r>
      <w:r>
        <w:rPr>
          <w:i/>
          <w:spacing w:val="-2"/>
          <w:sz w:val="19"/>
        </w:rPr>
        <w:t> </w:t>
      </w:r>
      <w:r>
        <w:rPr>
          <w:i/>
          <w:sz w:val="19"/>
        </w:rPr>
        <w:t>legge</w:t>
      </w:r>
      <w:r>
        <w:rPr>
          <w:i/>
          <w:spacing w:val="-3"/>
          <w:sz w:val="19"/>
        </w:rPr>
        <w:t> </w:t>
      </w:r>
      <w:r>
        <w:rPr>
          <w:i/>
          <w:sz w:val="19"/>
        </w:rPr>
        <w:t>applicabile,</w:t>
      </w:r>
      <w:r>
        <w:rPr>
          <w:i/>
          <w:spacing w:val="-2"/>
          <w:sz w:val="19"/>
        </w:rPr>
        <w:t> </w:t>
      </w:r>
      <w:r>
        <w:rPr>
          <w:i/>
          <w:sz w:val="19"/>
        </w:rPr>
        <w:t>rimedi</w:t>
      </w:r>
      <w:r>
        <w:rPr>
          <w:i/>
          <w:spacing w:val="-3"/>
          <w:sz w:val="19"/>
        </w:rPr>
        <w:t> </w:t>
      </w:r>
      <w:r>
        <w:rPr>
          <w:i/>
          <w:sz w:val="19"/>
        </w:rPr>
        <w:t>giurisdi- zionali e conflitti di competenza, </w:t>
      </w:r>
      <w:r>
        <w:rPr>
          <w:sz w:val="19"/>
        </w:rPr>
        <w:t>in questa </w:t>
      </w:r>
      <w:r>
        <w:rPr>
          <w:i/>
          <w:sz w:val="19"/>
        </w:rPr>
        <w:t>Rivista</w:t>
      </w:r>
      <w:r>
        <w:rPr>
          <w:sz w:val="19"/>
        </w:rPr>
        <w:t>, 2020, pp. 487-564, in particolare il par. 4,</w:t>
      </w:r>
      <w:r>
        <w:rPr>
          <w:spacing w:val="40"/>
          <w:sz w:val="19"/>
        </w:rPr>
        <w:t> </w:t>
      </w:r>
      <w:r>
        <w:rPr>
          <w:i/>
          <w:sz w:val="19"/>
        </w:rPr>
        <w:t>Il sistema delle impugnazioni, </w:t>
      </w:r>
      <w:r>
        <w:rPr>
          <w:sz w:val="19"/>
        </w:rPr>
        <w:t>pp. 521-535.</w:t>
      </w:r>
    </w:p>
    <w:p>
      <w:pPr>
        <w:spacing w:after="0" w:line="192" w:lineRule="auto"/>
        <w:jc w:val="both"/>
        <w:rPr>
          <w:sz w:val="19"/>
        </w:rPr>
        <w:sectPr>
          <w:pgSz w:w="11910" w:h="16840"/>
          <w:pgMar w:header="2182" w:footer="0" w:top="2480" w:bottom="280" w:left="1680" w:right="1680"/>
        </w:sectPr>
      </w:pPr>
    </w:p>
    <w:p>
      <w:pPr>
        <w:pStyle w:val="BodyText"/>
      </w:pPr>
    </w:p>
    <w:p>
      <w:pPr>
        <w:pStyle w:val="BodyText"/>
        <w:spacing w:before="14"/>
      </w:pPr>
    </w:p>
    <w:p>
      <w:pPr>
        <w:pStyle w:val="BodyText"/>
        <w:spacing w:line="228" w:lineRule="auto"/>
        <w:ind w:left="673" w:right="672"/>
        <w:jc w:val="both"/>
      </w:pPr>
      <w:r>
        <w:rPr/>
        <w:t>questa importantissima disposizione del Regolamento due precisazioni di puro diritto europeo: gli atti impugnabili della Procura europea devono es- sere «atti procedurali» e devono essere «destinati a produrre effetti giuri- dici nei confronti dei terzi». Ecco, quindi, un altro caso in cui, sia gli av- vocati della difesa, sia il procuratore europeo delegato incaricato del pro- cedimento, sia soprattutto</w:t>
      </w:r>
      <w:r>
        <w:rPr>
          <w:spacing w:val="-1"/>
        </w:rPr>
        <w:t> </w:t>
      </w:r>
      <w:r>
        <w:rPr/>
        <w:t>il giudice penale nazionale adito, devono proce- dere ad un sapiente </w:t>
      </w:r>
      <w:r>
        <w:rPr>
          <w:i/>
        </w:rPr>
        <w:t>collage </w:t>
      </w:r>
      <w:r>
        <w:rPr/>
        <w:t>di norme processuali europee e norme proces- suali di diritto nazionale.</w:t>
      </w:r>
    </w:p>
    <w:p>
      <w:pPr>
        <w:pStyle w:val="BodyText"/>
        <w:spacing w:line="228" w:lineRule="auto"/>
        <w:ind w:left="673" w:right="668" w:firstLine="396"/>
        <w:jc w:val="both"/>
      </w:pPr>
      <w:r>
        <w:rPr/>
        <w:t>Il significato dell’espressione «atti procedurali» si può dedurre sia dal </w:t>
      </w:r>
      <w:r>
        <w:rPr>
          <w:i/>
        </w:rPr>
        <w:t>considerando </w:t>
      </w:r>
      <w:r>
        <w:rPr/>
        <w:t>n. 87 del Regolamento EPPO, che si riferisce espressamente ad «atti adottati prima dell’imputazione»</w:t>
      </w:r>
      <w:r>
        <w:rPr>
          <w:spacing w:val="-3"/>
        </w:rPr>
        <w:t> </w:t>
      </w:r>
      <w:r>
        <w:rPr/>
        <w:t>quali</w:t>
      </w:r>
      <w:r>
        <w:rPr>
          <w:spacing w:val="-2"/>
        </w:rPr>
        <w:t> </w:t>
      </w:r>
      <w:r>
        <w:rPr/>
        <w:t>ad esempio, le</w:t>
      </w:r>
      <w:r>
        <w:rPr>
          <w:spacing w:val="-2"/>
        </w:rPr>
        <w:t> </w:t>
      </w:r>
      <w:r>
        <w:rPr/>
        <w:t>misure</w:t>
      </w:r>
      <w:r>
        <w:rPr>
          <w:spacing w:val="-2"/>
        </w:rPr>
        <w:t> </w:t>
      </w:r>
      <w:r>
        <w:rPr/>
        <w:t>inve- stigative di cui all’art. 30, sia dal </w:t>
      </w:r>
      <w:r>
        <w:rPr>
          <w:i/>
        </w:rPr>
        <w:t>considerando </w:t>
      </w:r>
      <w:r>
        <w:rPr/>
        <w:t>n. 89, che si riferisce più esplicitamente – sempre</w:t>
      </w:r>
      <w:r>
        <w:rPr>
          <w:spacing w:val="-2"/>
        </w:rPr>
        <w:t> </w:t>
      </w:r>
      <w:r>
        <w:rPr/>
        <w:t>in ordine al</w:t>
      </w:r>
      <w:r>
        <w:rPr>
          <w:spacing w:val="-2"/>
        </w:rPr>
        <w:t> </w:t>
      </w:r>
      <w:r>
        <w:rPr/>
        <w:t>concetto di</w:t>
      </w:r>
      <w:r>
        <w:rPr>
          <w:spacing w:val="-2"/>
        </w:rPr>
        <w:t> </w:t>
      </w:r>
      <w:r>
        <w:rPr/>
        <w:t>atto procedurale – alle de- cisioni della Procura europea «adottate nell’esercizio delle sue funzioni, volte a svolgere</w:t>
      </w:r>
      <w:r>
        <w:rPr>
          <w:spacing w:val="-2"/>
        </w:rPr>
        <w:t> </w:t>
      </w:r>
      <w:r>
        <w:rPr/>
        <w:t>indagini, esercitare l’azione penale o portare casi in giudi- zio»</w:t>
      </w:r>
      <w:r>
        <w:rPr>
          <w:i/>
        </w:rPr>
        <w:t>.</w:t>
      </w:r>
      <w:r>
        <w:rPr>
          <w:i/>
          <w:spacing w:val="19"/>
        </w:rPr>
        <w:t> </w:t>
      </w:r>
      <w:r>
        <w:rPr/>
        <w:t>Da</w:t>
      </w:r>
      <w:r>
        <w:rPr>
          <w:spacing w:val="20"/>
        </w:rPr>
        <w:t> </w:t>
      </w:r>
      <w:r>
        <w:rPr/>
        <w:t>questa</w:t>
      </w:r>
      <w:r>
        <w:rPr>
          <w:spacing w:val="19"/>
        </w:rPr>
        <w:t> </w:t>
      </w:r>
      <w:r>
        <w:rPr/>
        <w:t>prima</w:t>
      </w:r>
      <w:r>
        <w:rPr>
          <w:spacing w:val="22"/>
        </w:rPr>
        <w:t> </w:t>
      </w:r>
      <w:r>
        <w:rPr/>
        <w:t>definizione</w:t>
      </w:r>
      <w:r>
        <w:rPr>
          <w:spacing w:val="20"/>
        </w:rPr>
        <w:t> </w:t>
      </w:r>
      <w:r>
        <w:rPr/>
        <w:t>consegue</w:t>
      </w:r>
      <w:r>
        <w:rPr>
          <w:spacing w:val="22"/>
        </w:rPr>
        <w:t> </w:t>
      </w:r>
      <w:r>
        <w:rPr/>
        <w:t>che</w:t>
      </w:r>
      <w:r>
        <w:rPr>
          <w:spacing w:val="23"/>
        </w:rPr>
        <w:t> </w:t>
      </w:r>
      <w:r>
        <w:rPr/>
        <w:t>non</w:t>
      </w:r>
      <w:r>
        <w:rPr>
          <w:spacing w:val="21"/>
        </w:rPr>
        <w:t> </w:t>
      </w:r>
      <w:r>
        <w:rPr/>
        <w:t>sono</w:t>
      </w:r>
      <w:r>
        <w:rPr>
          <w:spacing w:val="17"/>
        </w:rPr>
        <w:t> </w:t>
      </w:r>
      <w:r>
        <w:rPr/>
        <w:t>da</w:t>
      </w:r>
      <w:r>
        <w:rPr>
          <w:spacing w:val="19"/>
        </w:rPr>
        <w:t> </w:t>
      </w:r>
      <w:r>
        <w:rPr>
          <w:spacing w:val="-2"/>
        </w:rPr>
        <w:t>considerare</w:t>
      </w:r>
    </w:p>
    <w:p>
      <w:pPr>
        <w:pStyle w:val="BodyText"/>
        <w:spacing w:line="228" w:lineRule="auto" w:before="2"/>
        <w:ind w:left="673" w:right="673"/>
        <w:jc w:val="both"/>
      </w:pPr>
      <w:r>
        <w:rPr/>
        <w:t>«atti procedurali» della Procura europea, soggetti in quanto tali al control- lo dei giudici penali nazionali, le decisioni di avvio delle indagini ex art. 26, par. 1,</w:t>
      </w:r>
      <w:r>
        <w:rPr>
          <w:spacing w:val="-3"/>
        </w:rPr>
        <w:t> </w:t>
      </w:r>
      <w:r>
        <w:rPr/>
        <w:t>del Regolamento</w:t>
      </w:r>
      <w:r>
        <w:rPr>
          <w:spacing w:val="-2"/>
        </w:rPr>
        <w:t> </w:t>
      </w:r>
      <w:r>
        <w:rPr/>
        <w:t>e le decisioni</w:t>
      </w:r>
      <w:r>
        <w:rPr>
          <w:spacing w:val="-5"/>
        </w:rPr>
        <w:t> </w:t>
      </w:r>
      <w:r>
        <w:rPr/>
        <w:t>ex art.</w:t>
      </w:r>
      <w:r>
        <w:rPr>
          <w:spacing w:val="-3"/>
        </w:rPr>
        <w:t> </w:t>
      </w:r>
      <w:r>
        <w:rPr/>
        <w:t>27</w:t>
      </w:r>
      <w:r>
        <w:rPr>
          <w:spacing w:val="-2"/>
        </w:rPr>
        <w:t> </w:t>
      </w:r>
      <w:r>
        <w:rPr/>
        <w:t>con le quali</w:t>
      </w:r>
      <w:r>
        <w:rPr>
          <w:spacing w:val="-1"/>
        </w:rPr>
        <w:t> </w:t>
      </w:r>
      <w:r>
        <w:rPr/>
        <w:t>la</w:t>
      </w:r>
      <w:r>
        <w:rPr>
          <w:spacing w:val="-1"/>
        </w:rPr>
        <w:t> </w:t>
      </w:r>
      <w:r>
        <w:rPr/>
        <w:t>Procura europea esercita il diritto di avocazione di un’indagine avviata dal pubbli- co ministero di uno Stato membro</w:t>
      </w:r>
      <w:hyperlink w:history="true" w:anchor="_bookmark12">
        <w:r>
          <w:rPr>
            <w:position w:val="7"/>
            <w:sz w:val="13"/>
          </w:rPr>
          <w:t>13</w:t>
        </w:r>
      </w:hyperlink>
      <w:r>
        <w:rPr/>
        <w:t>.</w:t>
      </w:r>
    </w:p>
    <w:p>
      <w:pPr>
        <w:pStyle w:val="BodyText"/>
        <w:spacing w:line="228" w:lineRule="auto"/>
        <w:ind w:left="673" w:right="665" w:firstLine="396"/>
        <w:jc w:val="both"/>
      </w:pPr>
      <w:r>
        <w:rPr/>
        <w:t>Quanto al concetto giuridico di «atto destinato a produrre effetti giuri- dici nei confronti di terzi»,</w:t>
      </w:r>
      <w:r>
        <w:rPr>
          <w:spacing w:val="-4"/>
        </w:rPr>
        <w:t> </w:t>
      </w:r>
      <w:r>
        <w:rPr/>
        <w:t>esso</w:t>
      </w:r>
      <w:r>
        <w:rPr>
          <w:spacing w:val="-1"/>
        </w:rPr>
        <w:t> </w:t>
      </w:r>
      <w:r>
        <w:rPr/>
        <w:t>riproduce</w:t>
      </w:r>
      <w:r>
        <w:rPr>
          <w:spacing w:val="-3"/>
        </w:rPr>
        <w:t> </w:t>
      </w:r>
      <w:r>
        <w:rPr/>
        <w:t>testualmente un’espressione uti- lizzata</w:t>
      </w:r>
      <w:r>
        <w:rPr>
          <w:spacing w:val="-2"/>
        </w:rPr>
        <w:t> </w:t>
      </w:r>
      <w:r>
        <w:rPr/>
        <w:t>dal</w:t>
      </w:r>
      <w:r>
        <w:rPr>
          <w:spacing w:val="-2"/>
        </w:rPr>
        <w:t> </w:t>
      </w:r>
      <w:r>
        <w:rPr/>
        <w:t>Trattato</w:t>
      </w:r>
      <w:hyperlink w:history="true" w:anchor="_bookmark13">
        <w:r>
          <w:rPr>
            <w:position w:val="7"/>
            <w:sz w:val="13"/>
          </w:rPr>
          <w:t>14</w:t>
        </w:r>
      </w:hyperlink>
      <w:r>
        <w:rPr>
          <w:spacing w:val="30"/>
          <w:position w:val="7"/>
          <w:sz w:val="13"/>
        </w:rPr>
        <w:t> </w:t>
      </w:r>
      <w:r>
        <w:rPr/>
        <w:t>e fin</w:t>
      </w:r>
      <w:r>
        <w:rPr>
          <w:spacing w:val="-4"/>
        </w:rPr>
        <w:t> </w:t>
      </w:r>
      <w:r>
        <w:rPr/>
        <w:t>dai</w:t>
      </w:r>
      <w:r>
        <w:rPr>
          <w:spacing w:val="-2"/>
        </w:rPr>
        <w:t> </w:t>
      </w:r>
      <w:r>
        <w:rPr/>
        <w:t>primi commenti al Regolamento</w:t>
      </w:r>
      <w:r>
        <w:rPr>
          <w:spacing w:val="-3"/>
        </w:rPr>
        <w:t> </w:t>
      </w:r>
      <w:r>
        <w:rPr/>
        <w:t>EPPO</w:t>
      </w:r>
      <w:r>
        <w:rPr>
          <w:spacing w:val="-1"/>
        </w:rPr>
        <w:t> </w:t>
      </w:r>
      <w:r>
        <w:rPr/>
        <w:t>è sta- ta</w:t>
      </w:r>
      <w:r>
        <w:rPr>
          <w:spacing w:val="-2"/>
        </w:rPr>
        <w:t> </w:t>
      </w:r>
      <w:r>
        <w:rPr/>
        <w:t>considerata</w:t>
      </w:r>
      <w:r>
        <w:rPr>
          <w:spacing w:val="-6"/>
        </w:rPr>
        <w:t> </w:t>
      </w:r>
      <w:r>
        <w:rPr/>
        <w:t>costituire</w:t>
      </w:r>
      <w:r>
        <w:rPr>
          <w:spacing w:val="-2"/>
        </w:rPr>
        <w:t> </w:t>
      </w:r>
      <w:r>
        <w:rPr/>
        <w:t>una</w:t>
      </w:r>
      <w:r>
        <w:rPr>
          <w:spacing w:val="-2"/>
        </w:rPr>
        <w:t> </w:t>
      </w:r>
      <w:r>
        <w:rPr/>
        <w:t>nozione</w:t>
      </w:r>
      <w:r>
        <w:rPr>
          <w:spacing w:val="-2"/>
        </w:rPr>
        <w:t> </w:t>
      </w:r>
      <w:r>
        <w:rPr/>
        <w:t>autonoma</w:t>
      </w:r>
      <w:r>
        <w:rPr>
          <w:spacing w:val="-2"/>
        </w:rPr>
        <w:t> </w:t>
      </w:r>
      <w:r>
        <w:rPr/>
        <w:t>di</w:t>
      </w:r>
      <w:r>
        <w:rPr>
          <w:spacing w:val="-2"/>
        </w:rPr>
        <w:t> </w:t>
      </w:r>
      <w:r>
        <w:rPr/>
        <w:t>diritto</w:t>
      </w:r>
      <w:r>
        <w:rPr>
          <w:spacing w:val="-3"/>
        </w:rPr>
        <w:t> </w:t>
      </w:r>
      <w:r>
        <w:rPr/>
        <w:t>dell’Unione</w:t>
      </w:r>
      <w:hyperlink w:history="true" w:anchor="_bookmark14">
        <w:r>
          <w:rPr>
            <w:position w:val="7"/>
            <w:sz w:val="13"/>
          </w:rPr>
          <w:t>15</w:t>
        </w:r>
      </w:hyperlink>
      <w:r>
        <w:rPr/>
        <w:t>,</w:t>
      </w:r>
      <w:r>
        <w:rPr>
          <w:spacing w:val="-3"/>
        </w:rPr>
        <w:t> </w:t>
      </w:r>
      <w:r>
        <w:rPr/>
        <w:t>che in quanto tale è indipendente da analoghe nozioni di atto impugnabile di diritto nazionale</w:t>
      </w:r>
      <w:r>
        <w:rPr>
          <w:spacing w:val="-1"/>
        </w:rPr>
        <w:t> </w:t>
      </w:r>
      <w:r>
        <w:rPr/>
        <w:t>e deve quindi essere interpretata in modo uniforme in</w:t>
      </w:r>
      <w:r>
        <w:rPr>
          <w:spacing w:val="-2"/>
        </w:rPr>
        <w:t> </w:t>
      </w:r>
      <w:r>
        <w:rPr/>
        <w:t>tut- to il territorio dell’Unione</w:t>
      </w:r>
      <w:hyperlink w:history="true" w:anchor="_bookmark15">
        <w:r>
          <w:rPr>
            <w:position w:val="7"/>
            <w:sz w:val="13"/>
          </w:rPr>
          <w:t>16</w:t>
        </w:r>
      </w:hyperlink>
      <w:r>
        <w:rPr/>
        <w:t>. In base ad una giurisprudenza della Corte ri- salente al 1981, un atto è destinato a produrre effetti giuridici ed è quindi impugnabile, a pena di inammissibilità del ricorso, quando «è destinato a produrre</w:t>
      </w:r>
      <w:r>
        <w:rPr>
          <w:spacing w:val="36"/>
        </w:rPr>
        <w:t> </w:t>
      </w:r>
      <w:r>
        <w:rPr/>
        <w:t>effetti</w:t>
      </w:r>
      <w:r>
        <w:rPr>
          <w:spacing w:val="35"/>
        </w:rPr>
        <w:t> </w:t>
      </w:r>
      <w:r>
        <w:rPr/>
        <w:t>giuridici</w:t>
      </w:r>
      <w:r>
        <w:rPr>
          <w:spacing w:val="36"/>
        </w:rPr>
        <w:t> </w:t>
      </w:r>
      <w:r>
        <w:rPr/>
        <w:t>obbligatori»,</w:t>
      </w:r>
      <w:r>
        <w:rPr>
          <w:spacing w:val="31"/>
        </w:rPr>
        <w:t> </w:t>
      </w:r>
      <w:r>
        <w:rPr/>
        <w:t>i</w:t>
      </w:r>
      <w:r>
        <w:rPr>
          <w:spacing w:val="32"/>
        </w:rPr>
        <w:t> </w:t>
      </w:r>
      <w:r>
        <w:rPr/>
        <w:t>quali</w:t>
      </w:r>
      <w:r>
        <w:rPr>
          <w:spacing w:val="31"/>
        </w:rPr>
        <w:t> </w:t>
      </w:r>
      <w:r>
        <w:rPr/>
        <w:t>a</w:t>
      </w:r>
      <w:r>
        <w:rPr>
          <w:spacing w:val="32"/>
        </w:rPr>
        <w:t> </w:t>
      </w:r>
      <w:r>
        <w:rPr/>
        <w:t>loro</w:t>
      </w:r>
      <w:r>
        <w:rPr>
          <w:spacing w:val="34"/>
        </w:rPr>
        <w:t> </w:t>
      </w:r>
      <w:r>
        <w:rPr/>
        <w:t>volta</w:t>
      </w:r>
      <w:r>
        <w:rPr>
          <w:spacing w:val="33"/>
        </w:rPr>
        <w:t> </w:t>
      </w:r>
      <w:r>
        <w:rPr/>
        <w:t>devono</w:t>
      </w:r>
      <w:r>
        <w:rPr>
          <w:spacing w:val="31"/>
        </w:rPr>
        <w:t> </w:t>
      </w:r>
      <w:r>
        <w:rPr>
          <w:spacing w:val="-2"/>
        </w:rPr>
        <w:t>essere</w:t>
      </w:r>
    </w:p>
    <w:p>
      <w:pPr>
        <w:pStyle w:val="BodyText"/>
        <w:spacing w:before="152"/>
      </w:pPr>
    </w:p>
    <w:p>
      <w:pPr>
        <w:spacing w:line="199" w:lineRule="exact" w:before="0"/>
        <w:ind w:left="956" w:right="0" w:firstLine="0"/>
        <w:jc w:val="left"/>
        <w:rPr>
          <w:i/>
          <w:sz w:val="19"/>
        </w:rPr>
      </w:pPr>
      <w:bookmarkStart w:name="_bookmark12" w:id="13"/>
      <w:bookmarkEnd w:id="13"/>
      <w:r>
        <w:rPr/>
      </w:r>
      <w:r>
        <w:rPr>
          <w:sz w:val="19"/>
          <w:vertAlign w:val="superscript"/>
        </w:rPr>
        <w:t>13</w:t>
      </w:r>
      <w:r>
        <w:rPr>
          <w:spacing w:val="23"/>
          <w:sz w:val="19"/>
          <w:vertAlign w:val="baseline"/>
        </w:rPr>
        <w:t> </w:t>
      </w:r>
      <w:r>
        <w:rPr>
          <w:sz w:val="19"/>
          <w:vertAlign w:val="baseline"/>
        </w:rPr>
        <w:t>H.</w:t>
      </w:r>
      <w:r>
        <w:rPr>
          <w:spacing w:val="13"/>
          <w:sz w:val="19"/>
          <w:vertAlign w:val="baseline"/>
        </w:rPr>
        <w:t> </w:t>
      </w:r>
      <w:r>
        <w:rPr>
          <w:sz w:val="19"/>
          <w:vertAlign w:val="baseline"/>
        </w:rPr>
        <w:t>H</w:t>
      </w:r>
      <w:r>
        <w:rPr>
          <w:sz w:val="15"/>
          <w:vertAlign w:val="baseline"/>
        </w:rPr>
        <w:t>ERRNFELD</w:t>
      </w:r>
      <w:r>
        <w:rPr>
          <w:sz w:val="19"/>
          <w:vertAlign w:val="baseline"/>
        </w:rPr>
        <w:t>,</w:t>
      </w:r>
      <w:r>
        <w:rPr>
          <w:spacing w:val="17"/>
          <w:sz w:val="19"/>
          <w:vertAlign w:val="baseline"/>
        </w:rPr>
        <w:t> </w:t>
      </w:r>
      <w:r>
        <w:rPr>
          <w:sz w:val="19"/>
          <w:vertAlign w:val="baseline"/>
        </w:rPr>
        <w:t>in</w:t>
      </w:r>
      <w:r>
        <w:rPr>
          <w:spacing w:val="13"/>
          <w:sz w:val="19"/>
          <w:vertAlign w:val="baseline"/>
        </w:rPr>
        <w:t> </w:t>
      </w:r>
      <w:r>
        <w:rPr>
          <w:sz w:val="19"/>
          <w:vertAlign w:val="baseline"/>
        </w:rPr>
        <w:t>H.</w:t>
      </w:r>
      <w:r>
        <w:rPr>
          <w:spacing w:val="13"/>
          <w:sz w:val="19"/>
          <w:vertAlign w:val="baseline"/>
        </w:rPr>
        <w:t> </w:t>
      </w:r>
      <w:r>
        <w:rPr>
          <w:sz w:val="19"/>
          <w:vertAlign w:val="baseline"/>
        </w:rPr>
        <w:t>H</w:t>
      </w:r>
      <w:r>
        <w:rPr>
          <w:sz w:val="15"/>
          <w:vertAlign w:val="baseline"/>
        </w:rPr>
        <w:t>ERRNFELD</w:t>
      </w:r>
      <w:r>
        <w:rPr>
          <w:spacing w:val="14"/>
          <w:sz w:val="15"/>
          <w:vertAlign w:val="baseline"/>
        </w:rPr>
        <w:t> </w:t>
      </w:r>
      <w:r>
        <w:rPr>
          <w:sz w:val="19"/>
          <w:vertAlign w:val="baseline"/>
        </w:rPr>
        <w:t>-</w:t>
      </w:r>
      <w:r>
        <w:rPr>
          <w:spacing w:val="13"/>
          <w:sz w:val="19"/>
          <w:vertAlign w:val="baseline"/>
        </w:rPr>
        <w:t> </w:t>
      </w:r>
      <w:r>
        <w:rPr>
          <w:sz w:val="19"/>
          <w:vertAlign w:val="baseline"/>
        </w:rPr>
        <w:t>D.</w:t>
      </w:r>
      <w:r>
        <w:rPr>
          <w:spacing w:val="18"/>
          <w:sz w:val="19"/>
          <w:vertAlign w:val="baseline"/>
        </w:rPr>
        <w:t> </w:t>
      </w:r>
      <w:r>
        <w:rPr>
          <w:sz w:val="19"/>
          <w:vertAlign w:val="baseline"/>
        </w:rPr>
        <w:t>B</w:t>
      </w:r>
      <w:r>
        <w:rPr>
          <w:sz w:val="15"/>
          <w:vertAlign w:val="baseline"/>
        </w:rPr>
        <w:t>RODOWSKI</w:t>
      </w:r>
      <w:r>
        <w:rPr>
          <w:spacing w:val="20"/>
          <w:sz w:val="15"/>
          <w:vertAlign w:val="baseline"/>
        </w:rPr>
        <w:t> </w:t>
      </w:r>
      <w:r>
        <w:rPr>
          <w:sz w:val="19"/>
          <w:vertAlign w:val="baseline"/>
        </w:rPr>
        <w:t>-</w:t>
      </w:r>
      <w:r>
        <w:rPr>
          <w:spacing w:val="17"/>
          <w:sz w:val="19"/>
          <w:vertAlign w:val="baseline"/>
        </w:rPr>
        <w:t> </w:t>
      </w:r>
      <w:r>
        <w:rPr>
          <w:sz w:val="19"/>
          <w:vertAlign w:val="baseline"/>
        </w:rPr>
        <w:t>C.</w:t>
      </w:r>
      <w:r>
        <w:rPr>
          <w:spacing w:val="18"/>
          <w:sz w:val="19"/>
          <w:vertAlign w:val="baseline"/>
        </w:rPr>
        <w:t> </w:t>
      </w:r>
      <w:r>
        <w:rPr>
          <w:sz w:val="19"/>
          <w:vertAlign w:val="baseline"/>
        </w:rPr>
        <w:t>B</w:t>
      </w:r>
      <w:r>
        <w:rPr>
          <w:sz w:val="15"/>
          <w:vertAlign w:val="baseline"/>
        </w:rPr>
        <w:t>URCHARD</w:t>
      </w:r>
      <w:r>
        <w:rPr>
          <w:sz w:val="19"/>
          <w:vertAlign w:val="baseline"/>
        </w:rPr>
        <w:t>,</w:t>
      </w:r>
      <w:r>
        <w:rPr>
          <w:spacing w:val="17"/>
          <w:sz w:val="19"/>
          <w:vertAlign w:val="baseline"/>
        </w:rPr>
        <w:t> </w:t>
      </w:r>
      <w:r>
        <w:rPr>
          <w:i/>
          <w:sz w:val="19"/>
          <w:vertAlign w:val="baseline"/>
        </w:rPr>
        <w:t>European</w:t>
      </w:r>
      <w:r>
        <w:rPr>
          <w:i/>
          <w:spacing w:val="17"/>
          <w:sz w:val="19"/>
          <w:vertAlign w:val="baseline"/>
        </w:rPr>
        <w:t> </w:t>
      </w:r>
      <w:r>
        <w:rPr>
          <w:i/>
          <w:spacing w:val="-2"/>
          <w:sz w:val="19"/>
          <w:vertAlign w:val="baseline"/>
        </w:rPr>
        <w:t>Public</w:t>
      </w:r>
    </w:p>
    <w:p>
      <w:pPr>
        <w:spacing w:line="199" w:lineRule="exact" w:before="0"/>
        <w:ind w:left="673" w:right="0" w:firstLine="0"/>
        <w:jc w:val="both"/>
        <w:rPr>
          <w:sz w:val="19"/>
        </w:rPr>
      </w:pPr>
      <w:r>
        <w:rPr>
          <w:i/>
          <w:sz w:val="19"/>
        </w:rPr>
        <w:t>Prosecutor’s</w:t>
      </w:r>
      <w:r>
        <w:rPr>
          <w:i/>
          <w:spacing w:val="-2"/>
          <w:sz w:val="19"/>
        </w:rPr>
        <w:t> </w:t>
      </w:r>
      <w:r>
        <w:rPr>
          <w:i/>
          <w:sz w:val="19"/>
        </w:rPr>
        <w:t>Office</w:t>
      </w:r>
      <w:r>
        <w:rPr>
          <w:sz w:val="19"/>
        </w:rPr>
        <w:t>,</w:t>
      </w:r>
      <w:r>
        <w:rPr>
          <w:spacing w:val="-1"/>
          <w:sz w:val="19"/>
        </w:rPr>
        <w:t> </w:t>
      </w:r>
      <w:r>
        <w:rPr>
          <w:i/>
          <w:sz w:val="19"/>
        </w:rPr>
        <w:t>cit</w:t>
      </w:r>
      <w:r>
        <w:rPr>
          <w:sz w:val="19"/>
        </w:rPr>
        <w:t>.</w:t>
      </w:r>
      <w:r>
        <w:rPr>
          <w:spacing w:val="-3"/>
          <w:sz w:val="19"/>
        </w:rPr>
        <w:t> </w:t>
      </w:r>
      <w:r>
        <w:rPr>
          <w:i/>
          <w:sz w:val="19"/>
        </w:rPr>
        <w:t>supra</w:t>
      </w:r>
      <w:r>
        <w:rPr>
          <w:sz w:val="19"/>
        </w:rPr>
        <w:t>,</w:t>
      </w:r>
      <w:r>
        <w:rPr>
          <w:spacing w:val="-2"/>
          <w:sz w:val="19"/>
        </w:rPr>
        <w:t> </w:t>
      </w:r>
      <w:r>
        <w:rPr>
          <w:sz w:val="19"/>
        </w:rPr>
        <w:t>nota</w:t>
      </w:r>
      <w:r>
        <w:rPr>
          <w:spacing w:val="-3"/>
          <w:sz w:val="19"/>
        </w:rPr>
        <w:t> </w:t>
      </w:r>
      <w:r>
        <w:rPr>
          <w:sz w:val="19"/>
        </w:rPr>
        <w:t>2,</w:t>
      </w:r>
      <w:r>
        <w:rPr>
          <w:spacing w:val="-6"/>
          <w:sz w:val="19"/>
        </w:rPr>
        <w:t> </w:t>
      </w:r>
      <w:r>
        <w:rPr>
          <w:sz w:val="19"/>
        </w:rPr>
        <w:t>commento</w:t>
      </w:r>
      <w:r>
        <w:rPr>
          <w:spacing w:val="-3"/>
          <w:sz w:val="19"/>
        </w:rPr>
        <w:t> </w:t>
      </w:r>
      <w:r>
        <w:rPr>
          <w:sz w:val="19"/>
        </w:rPr>
        <w:t>all’art.</w:t>
      </w:r>
      <w:r>
        <w:rPr>
          <w:spacing w:val="-2"/>
          <w:sz w:val="19"/>
        </w:rPr>
        <w:t> </w:t>
      </w:r>
      <w:r>
        <w:rPr>
          <w:sz w:val="19"/>
        </w:rPr>
        <w:t>42</w:t>
      </w:r>
      <w:r>
        <w:rPr>
          <w:spacing w:val="-3"/>
          <w:sz w:val="19"/>
        </w:rPr>
        <w:t> </w:t>
      </w:r>
      <w:r>
        <w:rPr>
          <w:sz w:val="19"/>
        </w:rPr>
        <w:t>del</w:t>
      </w:r>
      <w:r>
        <w:rPr>
          <w:spacing w:val="-3"/>
          <w:sz w:val="19"/>
        </w:rPr>
        <w:t> </w:t>
      </w:r>
      <w:r>
        <w:rPr>
          <w:sz w:val="19"/>
        </w:rPr>
        <w:t>Regolamento</w:t>
      </w:r>
      <w:r>
        <w:rPr>
          <w:spacing w:val="-2"/>
          <w:sz w:val="19"/>
        </w:rPr>
        <w:t> </w:t>
      </w:r>
      <w:r>
        <w:rPr>
          <w:sz w:val="19"/>
        </w:rPr>
        <w:t>EPPO,</w:t>
      </w:r>
      <w:r>
        <w:rPr>
          <w:spacing w:val="-3"/>
          <w:sz w:val="19"/>
        </w:rPr>
        <w:t> </w:t>
      </w:r>
      <w:r>
        <w:rPr>
          <w:sz w:val="19"/>
        </w:rPr>
        <w:t>p.</w:t>
      </w:r>
      <w:r>
        <w:rPr>
          <w:spacing w:val="-6"/>
          <w:sz w:val="19"/>
        </w:rPr>
        <w:t> </w:t>
      </w:r>
      <w:r>
        <w:rPr>
          <w:spacing w:val="-4"/>
          <w:sz w:val="19"/>
        </w:rPr>
        <w:t>421.</w:t>
      </w:r>
    </w:p>
    <w:p>
      <w:pPr>
        <w:spacing w:line="194" w:lineRule="auto" w:before="40"/>
        <w:ind w:left="673" w:right="664" w:firstLine="284"/>
        <w:jc w:val="both"/>
        <w:rPr>
          <w:sz w:val="19"/>
        </w:rPr>
      </w:pPr>
      <w:bookmarkStart w:name="_bookmark13" w:id="14"/>
      <w:bookmarkEnd w:id="14"/>
      <w:r>
        <w:rPr/>
      </w:r>
      <w:r>
        <w:rPr>
          <w:sz w:val="19"/>
          <w:vertAlign w:val="superscript"/>
        </w:rPr>
        <w:t>14</w:t>
      </w:r>
      <w:r>
        <w:rPr>
          <w:sz w:val="19"/>
          <w:vertAlign w:val="baseline"/>
        </w:rPr>
        <w:t> Art. 263, par. 1, seconda frase TFUE: «[La Corte di giustizia] Esercita inoltre un con- trollo di legittimità sugli atti degli organi o organismi dell’Unione destinati a produrre effetti giuridici nei confronti dei terzi».</w:t>
      </w:r>
    </w:p>
    <w:p>
      <w:pPr>
        <w:spacing w:line="194" w:lineRule="auto" w:before="45"/>
        <w:ind w:left="673" w:right="667" w:firstLine="284"/>
        <w:jc w:val="both"/>
        <w:rPr>
          <w:sz w:val="19"/>
        </w:rPr>
      </w:pPr>
      <w:bookmarkStart w:name="_bookmark14" w:id="15"/>
      <w:bookmarkEnd w:id="15"/>
      <w:r>
        <w:rPr/>
      </w:r>
      <w:r>
        <w:rPr>
          <w:sz w:val="19"/>
          <w:vertAlign w:val="superscript"/>
        </w:rPr>
        <w:t>15</w:t>
      </w:r>
      <w:r>
        <w:rPr>
          <w:sz w:val="19"/>
          <w:vertAlign w:val="baseline"/>
        </w:rPr>
        <w:t> Concorda M. L</w:t>
      </w:r>
      <w:r>
        <w:rPr>
          <w:sz w:val="15"/>
          <w:vertAlign w:val="baseline"/>
        </w:rPr>
        <w:t>UCHTMAN</w:t>
      </w:r>
      <w:r>
        <w:rPr>
          <w:sz w:val="19"/>
          <w:vertAlign w:val="baseline"/>
        </w:rPr>
        <w:t>, </w:t>
      </w:r>
      <w:r>
        <w:rPr>
          <w:i/>
          <w:sz w:val="19"/>
          <w:vertAlign w:val="baseline"/>
        </w:rPr>
        <w:t>Forum choice and judicial review under the EPPO’s legisla-</w:t>
      </w:r>
      <w:r>
        <w:rPr>
          <w:i/>
          <w:sz w:val="19"/>
          <w:vertAlign w:val="baseline"/>
        </w:rPr>
        <w:t> tive framework</w:t>
      </w:r>
      <w:r>
        <w:rPr>
          <w:sz w:val="19"/>
          <w:vertAlign w:val="baseline"/>
        </w:rPr>
        <w:t>, in W. G</w:t>
      </w:r>
      <w:r>
        <w:rPr>
          <w:sz w:val="15"/>
          <w:vertAlign w:val="baseline"/>
        </w:rPr>
        <w:t>EELHOED </w:t>
      </w:r>
      <w:r>
        <w:rPr>
          <w:sz w:val="19"/>
          <w:vertAlign w:val="baseline"/>
        </w:rPr>
        <w:t>- L. H. E</w:t>
      </w:r>
      <w:r>
        <w:rPr>
          <w:sz w:val="15"/>
          <w:vertAlign w:val="baseline"/>
        </w:rPr>
        <w:t>RKELENS </w:t>
      </w:r>
      <w:r>
        <w:rPr>
          <w:sz w:val="19"/>
          <w:vertAlign w:val="baseline"/>
        </w:rPr>
        <w:t>- A. W. H. M</w:t>
      </w:r>
      <w:r>
        <w:rPr>
          <w:sz w:val="15"/>
          <w:vertAlign w:val="baseline"/>
        </w:rPr>
        <w:t>EIJ</w:t>
      </w:r>
      <w:r>
        <w:rPr>
          <w:sz w:val="19"/>
          <w:vertAlign w:val="baseline"/>
        </w:rPr>
        <w:t>, </w:t>
      </w:r>
      <w:r>
        <w:rPr>
          <w:i/>
          <w:sz w:val="19"/>
          <w:vertAlign w:val="baseline"/>
        </w:rPr>
        <w:t>Shifting perspectives on</w:t>
      </w:r>
      <w:r>
        <w:rPr>
          <w:i/>
          <w:sz w:val="19"/>
          <w:vertAlign w:val="baseline"/>
        </w:rPr>
        <w:t> the European Public Prosecutor’s Office</w:t>
      </w:r>
      <w:r>
        <w:rPr>
          <w:sz w:val="19"/>
          <w:vertAlign w:val="baseline"/>
        </w:rPr>
        <w:t>, </w:t>
      </w:r>
      <w:r>
        <w:rPr>
          <w:i/>
          <w:sz w:val="19"/>
          <w:vertAlign w:val="baseline"/>
        </w:rPr>
        <w:t>cit. supra</w:t>
      </w:r>
      <w:r>
        <w:rPr>
          <w:sz w:val="19"/>
          <w:vertAlign w:val="baseline"/>
        </w:rPr>
        <w:t>, nota 12, pp. 155-170, p. 165.</w:t>
      </w:r>
    </w:p>
    <w:p>
      <w:pPr>
        <w:spacing w:line="194" w:lineRule="auto" w:before="45"/>
        <w:ind w:left="673" w:right="667" w:firstLine="284"/>
        <w:jc w:val="both"/>
        <w:rPr>
          <w:sz w:val="19"/>
        </w:rPr>
      </w:pPr>
      <w:bookmarkStart w:name="_bookmark15" w:id="16"/>
      <w:bookmarkEnd w:id="16"/>
      <w:r>
        <w:rPr/>
      </w:r>
      <w:r>
        <w:rPr>
          <w:sz w:val="19"/>
          <w:vertAlign w:val="superscript"/>
        </w:rPr>
        <w:t>16</w:t>
      </w:r>
      <w:r>
        <w:rPr>
          <w:sz w:val="19"/>
          <w:vertAlign w:val="baseline"/>
        </w:rPr>
        <w:t> Argomentando per analogia dalla sentenza del 24 maggio in causa n. C-108/16 PPU, </w:t>
      </w:r>
      <w:r>
        <w:rPr>
          <w:i/>
          <w:sz w:val="19"/>
          <w:vertAlign w:val="baseline"/>
        </w:rPr>
        <w:t>Pawel Dworzecki</w:t>
      </w:r>
      <w:r>
        <w:rPr>
          <w:sz w:val="19"/>
          <w:vertAlign w:val="baseline"/>
        </w:rPr>
        <w:t>, EU:C:2016:346, punti 28-30, che interpreta alcuni concetti giuridici conte- nuti nella decisione-quadro n. 2002/584/GAI relativa al mandato d’arresto europeo.</w:t>
      </w:r>
    </w:p>
    <w:p>
      <w:pPr>
        <w:spacing w:after="0" w:line="194" w:lineRule="auto"/>
        <w:jc w:val="both"/>
        <w:rPr>
          <w:sz w:val="19"/>
        </w:rPr>
        <w:sectPr>
          <w:pgSz w:w="11910" w:h="16840"/>
          <w:pgMar w:header="2182" w:footer="0" w:top="2480" w:bottom="280" w:left="1680" w:right="1680"/>
        </w:sectPr>
      </w:pPr>
    </w:p>
    <w:p>
      <w:pPr>
        <w:pStyle w:val="BodyText"/>
      </w:pPr>
    </w:p>
    <w:p>
      <w:pPr>
        <w:pStyle w:val="BodyText"/>
        <w:spacing w:before="14"/>
      </w:pPr>
    </w:p>
    <w:p>
      <w:pPr>
        <w:pStyle w:val="BodyText"/>
        <w:spacing w:line="228" w:lineRule="auto"/>
        <w:ind w:left="673" w:right="668"/>
        <w:jc w:val="both"/>
        <w:rPr>
          <w:i/>
        </w:rPr>
      </w:pPr>
      <w:r>
        <w:rPr/>
        <w:t>«idonei ad incidere sugli interessi del ricorrente»</w:t>
      </w:r>
      <w:hyperlink w:history="true" w:anchor="_bookmark16">
        <w:r>
          <w:rPr>
            <w:position w:val="7"/>
            <w:sz w:val="13"/>
          </w:rPr>
          <w:t>17</w:t>
        </w:r>
      </w:hyperlink>
      <w:r>
        <w:rPr/>
        <w:t>. Ne consegue che gli Stati</w:t>
      </w:r>
      <w:r>
        <w:rPr>
          <w:spacing w:val="-2"/>
        </w:rPr>
        <w:t> </w:t>
      </w:r>
      <w:r>
        <w:rPr/>
        <w:t>membri</w:t>
      </w:r>
      <w:r>
        <w:rPr>
          <w:spacing w:val="-2"/>
        </w:rPr>
        <w:t> </w:t>
      </w:r>
      <w:r>
        <w:rPr/>
        <w:t>non</w:t>
      </w:r>
      <w:r>
        <w:rPr>
          <w:spacing w:val="-3"/>
        </w:rPr>
        <w:t> </w:t>
      </w:r>
      <w:r>
        <w:rPr/>
        <w:t>sono</w:t>
      </w:r>
      <w:r>
        <w:rPr>
          <w:spacing w:val="-3"/>
        </w:rPr>
        <w:t> </w:t>
      </w:r>
      <w:r>
        <w:rPr/>
        <w:t>tenuti</w:t>
      </w:r>
      <w:r>
        <w:rPr>
          <w:spacing w:val="-7"/>
        </w:rPr>
        <w:t> </w:t>
      </w:r>
      <w:r>
        <w:rPr/>
        <w:t>a</w:t>
      </w:r>
      <w:r>
        <w:rPr>
          <w:spacing w:val="-2"/>
        </w:rPr>
        <w:t> </w:t>
      </w:r>
      <w:r>
        <w:rPr/>
        <w:t>prevedere</w:t>
      </w:r>
      <w:r>
        <w:rPr>
          <w:spacing w:val="-6"/>
        </w:rPr>
        <w:t> </w:t>
      </w:r>
      <w:r>
        <w:rPr/>
        <w:t>un</w:t>
      </w:r>
      <w:r>
        <w:rPr>
          <w:spacing w:val="-3"/>
        </w:rPr>
        <w:t> </w:t>
      </w:r>
      <w:r>
        <w:rPr/>
        <w:t>controllo</w:t>
      </w:r>
      <w:r>
        <w:rPr>
          <w:spacing w:val="-3"/>
        </w:rPr>
        <w:t> </w:t>
      </w:r>
      <w:r>
        <w:rPr/>
        <w:t>giurisdizionale</w:t>
      </w:r>
      <w:r>
        <w:rPr>
          <w:spacing w:val="-2"/>
        </w:rPr>
        <w:t> </w:t>
      </w:r>
      <w:r>
        <w:rPr/>
        <w:t>sugli atti procedurali che non sono destinati a produrre effetti giuridici nei con- fronti dei terzi «come la nomina di esperti o il rimborso delle spese soste- nute da testimoni»</w:t>
      </w:r>
      <w:hyperlink w:history="true" w:anchor="_bookmark17">
        <w:r>
          <w:rPr>
            <w:position w:val="7"/>
            <w:sz w:val="13"/>
          </w:rPr>
          <w:t>18</w:t>
        </w:r>
      </w:hyperlink>
      <w:r>
        <w:rPr/>
        <w:t>. Il </w:t>
      </w:r>
      <w:r>
        <w:rPr>
          <w:i/>
        </w:rPr>
        <w:t>considerando </w:t>
      </w:r>
      <w:r>
        <w:rPr/>
        <w:t>n. 87 aggiunge tuttavia che, se la le- gislazione di uno Stato membro prevede già un controllo giurisdizionale sugli atti procedurali non destinati a produrre effetti giuridici nei confronti di terzi, dal Regolamento (Ue) n. 2017/1939 non deriva alcun obbligo di sopprimere tale possibilità di impugnazione.</w:t>
      </w:r>
      <w:r>
        <w:rPr>
          <w:spacing w:val="40"/>
        </w:rPr>
        <w:t> </w:t>
      </w:r>
      <w:r>
        <w:rPr/>
        <w:t>Quanto all’identificazione</w:t>
      </w:r>
      <w:r>
        <w:rPr>
          <w:spacing w:val="40"/>
        </w:rPr>
        <w:t> </w:t>
      </w:r>
      <w:r>
        <w:rPr/>
        <w:t>dei</w:t>
      </w:r>
      <w:r>
        <w:rPr>
          <w:spacing w:val="17"/>
        </w:rPr>
        <w:t> </w:t>
      </w:r>
      <w:r>
        <w:rPr/>
        <w:t>«terzi»</w:t>
      </w:r>
      <w:r>
        <w:rPr>
          <w:spacing w:val="15"/>
        </w:rPr>
        <w:t> </w:t>
      </w:r>
      <w:r>
        <w:rPr/>
        <w:t>ai</w:t>
      </w:r>
      <w:r>
        <w:rPr>
          <w:spacing w:val="16"/>
        </w:rPr>
        <w:t> </w:t>
      </w:r>
      <w:r>
        <w:rPr/>
        <w:t>quali</w:t>
      </w:r>
      <w:r>
        <w:rPr>
          <w:spacing w:val="19"/>
        </w:rPr>
        <w:t> </w:t>
      </w:r>
      <w:r>
        <w:rPr/>
        <w:t>fa</w:t>
      </w:r>
      <w:r>
        <w:rPr>
          <w:spacing w:val="18"/>
        </w:rPr>
        <w:t> </w:t>
      </w:r>
      <w:r>
        <w:rPr/>
        <w:t>riferimento</w:t>
      </w:r>
      <w:r>
        <w:rPr>
          <w:spacing w:val="18"/>
        </w:rPr>
        <w:t> </w:t>
      </w:r>
      <w:r>
        <w:rPr/>
        <w:t>l’art.</w:t>
      </w:r>
      <w:r>
        <w:rPr>
          <w:spacing w:val="18"/>
        </w:rPr>
        <w:t> </w:t>
      </w:r>
      <w:r>
        <w:rPr/>
        <w:t>42,</w:t>
      </w:r>
      <w:r>
        <w:rPr>
          <w:spacing w:val="18"/>
        </w:rPr>
        <w:t> </w:t>
      </w:r>
      <w:r>
        <w:rPr/>
        <w:t>par.</w:t>
      </w:r>
      <w:r>
        <w:rPr>
          <w:spacing w:val="17"/>
        </w:rPr>
        <w:t> </w:t>
      </w:r>
      <w:r>
        <w:rPr/>
        <w:t>1,</w:t>
      </w:r>
      <w:r>
        <w:rPr>
          <w:spacing w:val="18"/>
        </w:rPr>
        <w:t> </w:t>
      </w:r>
      <w:r>
        <w:rPr/>
        <w:t>lo</w:t>
      </w:r>
      <w:r>
        <w:rPr>
          <w:spacing w:val="14"/>
        </w:rPr>
        <w:t> </w:t>
      </w:r>
      <w:r>
        <w:rPr/>
        <w:t>stesso</w:t>
      </w:r>
      <w:r>
        <w:rPr>
          <w:spacing w:val="27"/>
        </w:rPr>
        <w:t> </w:t>
      </w:r>
      <w:r>
        <w:rPr>
          <w:i/>
          <w:spacing w:val="-2"/>
        </w:rPr>
        <w:t>considerando</w:t>
      </w:r>
    </w:p>
    <w:p>
      <w:pPr>
        <w:pStyle w:val="BodyText"/>
        <w:spacing w:line="230" w:lineRule="auto"/>
        <w:ind w:left="673" w:right="667"/>
        <w:jc w:val="both"/>
      </w:pPr>
      <w:r>
        <w:rPr/>
        <w:t>n. 87 del Regolamento EPPO precisa che si tratta di «una categoria che comprende l’indagato, la vittima e altri interessati i cui diritti potrebbero essere pregiudicati da tali atti (procedurali)».</w:t>
      </w:r>
    </w:p>
    <w:p>
      <w:pPr>
        <w:pStyle w:val="BodyText"/>
        <w:spacing w:line="228" w:lineRule="auto"/>
        <w:ind w:left="673" w:right="667" w:firstLine="396"/>
        <w:jc w:val="both"/>
      </w:pPr>
      <w:r>
        <w:rPr/>
        <w:t>È da notare,</w:t>
      </w:r>
      <w:r>
        <w:rPr>
          <w:spacing w:val="-4"/>
        </w:rPr>
        <w:t> </w:t>
      </w:r>
      <w:r>
        <w:rPr/>
        <w:t>infine, che il medesimo</w:t>
      </w:r>
      <w:r>
        <w:rPr>
          <w:spacing w:val="-4"/>
        </w:rPr>
        <w:t> </w:t>
      </w:r>
      <w:r>
        <w:rPr/>
        <w:t>e</w:t>
      </w:r>
      <w:r>
        <w:rPr>
          <w:spacing w:val="-3"/>
        </w:rPr>
        <w:t> </w:t>
      </w:r>
      <w:r>
        <w:rPr/>
        <w:t>lunghissimo </w:t>
      </w:r>
      <w:r>
        <w:rPr>
          <w:i/>
        </w:rPr>
        <w:t>considerando </w:t>
      </w:r>
      <w:r>
        <w:rPr/>
        <w:t>n.</w:t>
      </w:r>
      <w:r>
        <w:rPr>
          <w:spacing w:val="-4"/>
        </w:rPr>
        <w:t> </w:t>
      </w:r>
      <w:r>
        <w:rPr/>
        <w:t>87 contiene una sorta di «interpretazione autentica» dell’art. 42, par. 1, lad- dove esso specifica, da un lato, che sono da qualificare come atti procedu- rali destinati a produrre effetti giuridici nei confronti dei terzi, gli atti aventi</w:t>
      </w:r>
      <w:r>
        <w:rPr>
          <w:spacing w:val="-3"/>
        </w:rPr>
        <w:t> </w:t>
      </w:r>
      <w:r>
        <w:rPr/>
        <w:t>ad</w:t>
      </w:r>
      <w:r>
        <w:rPr>
          <w:spacing w:val="-1"/>
        </w:rPr>
        <w:t> </w:t>
      </w:r>
      <w:r>
        <w:rPr/>
        <w:t>oggetto «la scelta dello</w:t>
      </w:r>
      <w:r>
        <w:rPr>
          <w:spacing w:val="-1"/>
        </w:rPr>
        <w:t> </w:t>
      </w:r>
      <w:r>
        <w:rPr/>
        <w:t>Stato</w:t>
      </w:r>
      <w:r>
        <w:rPr>
          <w:spacing w:val="-1"/>
        </w:rPr>
        <w:t> </w:t>
      </w:r>
      <w:r>
        <w:rPr/>
        <w:t>membro</w:t>
      </w:r>
      <w:r>
        <w:rPr>
          <w:spacing w:val="-1"/>
        </w:rPr>
        <w:t> </w:t>
      </w:r>
      <w:r>
        <w:rPr/>
        <w:t>i cui organi giurisdizionali saranno competenti a procedere», scelta che dovrà essere operata sulla ba- se dei criteri di cui all’art. 36, par. 3 e 4, del Regolamento EPPO riguar- dante l’«Esercizio dell’azione penale dinanzi agli organi giurisdizionali nazionali».</w:t>
      </w:r>
      <w:r>
        <w:rPr>
          <w:spacing w:val="-7"/>
        </w:rPr>
        <w:t> </w:t>
      </w:r>
      <w:r>
        <w:rPr/>
        <w:t>D’altro</w:t>
      </w:r>
      <w:r>
        <w:rPr>
          <w:spacing w:val="-11"/>
        </w:rPr>
        <w:t> </w:t>
      </w:r>
      <w:r>
        <w:rPr/>
        <w:t>lato,</w:t>
      </w:r>
      <w:r>
        <w:rPr>
          <w:spacing w:val="-8"/>
        </w:rPr>
        <w:t> </w:t>
      </w:r>
      <w:r>
        <w:rPr/>
        <w:t>questi</w:t>
      </w:r>
      <w:r>
        <w:rPr>
          <w:spacing w:val="-10"/>
        </w:rPr>
        <w:t> </w:t>
      </w:r>
      <w:r>
        <w:rPr/>
        <w:t>medesimi</w:t>
      </w:r>
      <w:r>
        <w:rPr>
          <w:spacing w:val="-9"/>
        </w:rPr>
        <w:t> </w:t>
      </w:r>
      <w:r>
        <w:rPr/>
        <w:t>atti</w:t>
      </w:r>
      <w:r>
        <w:rPr>
          <w:spacing w:val="-9"/>
        </w:rPr>
        <w:t> </w:t>
      </w:r>
      <w:r>
        <w:rPr/>
        <w:t>della</w:t>
      </w:r>
      <w:r>
        <w:rPr>
          <w:spacing w:val="-7"/>
        </w:rPr>
        <w:t> </w:t>
      </w:r>
      <w:r>
        <w:rPr/>
        <w:t>Procura</w:t>
      </w:r>
      <w:r>
        <w:rPr>
          <w:spacing w:val="-9"/>
        </w:rPr>
        <w:t> </w:t>
      </w:r>
      <w:r>
        <w:rPr/>
        <w:t>europea</w:t>
      </w:r>
      <w:r>
        <w:rPr>
          <w:spacing w:val="-9"/>
        </w:rPr>
        <w:t> </w:t>
      </w:r>
      <w:r>
        <w:rPr/>
        <w:t>dovran- no</w:t>
      </w:r>
      <w:r>
        <w:rPr>
          <w:spacing w:val="-2"/>
        </w:rPr>
        <w:t> </w:t>
      </w:r>
      <w:r>
        <w:rPr/>
        <w:t>«essere</w:t>
      </w:r>
      <w:r>
        <w:rPr>
          <w:spacing w:val="-5"/>
        </w:rPr>
        <w:t> </w:t>
      </w:r>
      <w:r>
        <w:rPr/>
        <w:t>assoggettati</w:t>
      </w:r>
      <w:r>
        <w:rPr>
          <w:spacing w:val="-2"/>
        </w:rPr>
        <w:t> </w:t>
      </w:r>
      <w:r>
        <w:rPr/>
        <w:t>al</w:t>
      </w:r>
      <w:r>
        <w:rPr>
          <w:spacing w:val="-5"/>
        </w:rPr>
        <w:t> </w:t>
      </w:r>
      <w:r>
        <w:rPr/>
        <w:t>controllo</w:t>
      </w:r>
      <w:r>
        <w:rPr>
          <w:spacing w:val="-3"/>
        </w:rPr>
        <w:t> </w:t>
      </w:r>
      <w:r>
        <w:rPr/>
        <w:t>degli</w:t>
      </w:r>
      <w:r>
        <w:rPr>
          <w:spacing w:val="-1"/>
        </w:rPr>
        <w:t> </w:t>
      </w:r>
      <w:r>
        <w:rPr/>
        <w:t>organi</w:t>
      </w:r>
      <w:r>
        <w:rPr>
          <w:spacing w:val="-1"/>
        </w:rPr>
        <w:t> </w:t>
      </w:r>
      <w:r>
        <w:rPr/>
        <w:t>giurisdizionali</w:t>
      </w:r>
      <w:r>
        <w:rPr>
          <w:spacing w:val="-2"/>
        </w:rPr>
        <w:t> </w:t>
      </w:r>
      <w:r>
        <w:rPr/>
        <w:t>nazionali</w:t>
      </w:r>
      <w:r>
        <w:rPr>
          <w:spacing w:val="-5"/>
        </w:rPr>
        <w:t> </w:t>
      </w:r>
      <w:r>
        <w:rPr/>
        <w:t>al più tardi nella fase processuale». Tale affermazione sembra sottintendere che la decisione di rinvio a giudizio dinanzi al giudice di un dato Stato membro</w:t>
      </w:r>
      <w:r>
        <w:rPr>
          <w:spacing w:val="-12"/>
        </w:rPr>
        <w:t> </w:t>
      </w:r>
      <w:r>
        <w:rPr/>
        <w:t>deve</w:t>
      </w:r>
      <w:r>
        <w:rPr>
          <w:spacing w:val="-10"/>
        </w:rPr>
        <w:t> </w:t>
      </w:r>
      <w:r>
        <w:rPr/>
        <w:t>poter</w:t>
      </w:r>
      <w:r>
        <w:rPr>
          <w:spacing w:val="-14"/>
        </w:rPr>
        <w:t> </w:t>
      </w:r>
      <w:r>
        <w:rPr/>
        <w:t>essere</w:t>
      </w:r>
      <w:r>
        <w:rPr>
          <w:spacing w:val="-10"/>
        </w:rPr>
        <w:t> </w:t>
      </w:r>
      <w:r>
        <w:rPr/>
        <w:t>impugnata</w:t>
      </w:r>
      <w:r>
        <w:rPr>
          <w:spacing w:val="-10"/>
        </w:rPr>
        <w:t> </w:t>
      </w:r>
      <w:r>
        <w:rPr/>
        <w:t>dall’imputato</w:t>
      </w:r>
      <w:r>
        <w:rPr>
          <w:spacing w:val="-8"/>
        </w:rPr>
        <w:t> </w:t>
      </w:r>
      <w:r>
        <w:rPr/>
        <w:t>«al</w:t>
      </w:r>
      <w:r>
        <w:rPr>
          <w:spacing w:val="-10"/>
        </w:rPr>
        <w:t> </w:t>
      </w:r>
      <w:r>
        <w:rPr/>
        <w:t>più</w:t>
      </w:r>
      <w:r>
        <w:rPr>
          <w:spacing w:val="-15"/>
        </w:rPr>
        <w:t> </w:t>
      </w:r>
      <w:r>
        <w:rPr/>
        <w:t>tardi»</w:t>
      </w:r>
      <w:r>
        <w:rPr>
          <w:spacing w:val="-12"/>
        </w:rPr>
        <w:t> </w:t>
      </w:r>
      <w:r>
        <w:rPr/>
        <w:t>dinanzi</w:t>
      </w:r>
      <w:r>
        <w:rPr>
          <w:spacing w:val="-11"/>
        </w:rPr>
        <w:t> </w:t>
      </w:r>
      <w:r>
        <w:rPr/>
        <w:t>al giudice</w:t>
      </w:r>
      <w:r>
        <w:rPr>
          <w:spacing w:val="-13"/>
        </w:rPr>
        <w:t> </w:t>
      </w:r>
      <w:r>
        <w:rPr/>
        <w:t>di</w:t>
      </w:r>
      <w:r>
        <w:rPr>
          <w:spacing w:val="-15"/>
        </w:rPr>
        <w:t> </w:t>
      </w:r>
      <w:r>
        <w:rPr/>
        <w:t>merito,</w:t>
      </w:r>
      <w:r>
        <w:rPr>
          <w:spacing w:val="-13"/>
        </w:rPr>
        <w:t> </w:t>
      </w:r>
      <w:r>
        <w:rPr/>
        <w:t>ma</w:t>
      </w:r>
      <w:r>
        <w:rPr>
          <w:spacing w:val="-15"/>
        </w:rPr>
        <w:t> </w:t>
      </w:r>
      <w:r>
        <w:rPr/>
        <w:t>una</w:t>
      </w:r>
      <w:r>
        <w:rPr>
          <w:spacing w:val="-15"/>
        </w:rPr>
        <w:t> </w:t>
      </w:r>
      <w:r>
        <w:rPr/>
        <w:t>legislazione</w:t>
      </w:r>
      <w:r>
        <w:rPr>
          <w:spacing w:val="-15"/>
        </w:rPr>
        <w:t> </w:t>
      </w:r>
      <w:r>
        <w:rPr/>
        <w:t>processuale</w:t>
      </w:r>
      <w:r>
        <w:rPr>
          <w:spacing w:val="-12"/>
        </w:rPr>
        <w:t> </w:t>
      </w:r>
      <w:r>
        <w:rPr/>
        <w:t>nazionale</w:t>
      </w:r>
      <w:r>
        <w:rPr>
          <w:spacing w:val="-12"/>
        </w:rPr>
        <w:t> </w:t>
      </w:r>
      <w:r>
        <w:rPr/>
        <w:t>può</w:t>
      </w:r>
      <w:r>
        <w:rPr>
          <w:spacing w:val="-15"/>
        </w:rPr>
        <w:t> </w:t>
      </w:r>
      <w:r>
        <w:rPr/>
        <w:t>consentire tale impugnazione anche in una fase del procedimento anteriore all’inizio del</w:t>
      </w:r>
      <w:r>
        <w:rPr>
          <w:spacing w:val="-1"/>
        </w:rPr>
        <w:t> </w:t>
      </w:r>
      <w:r>
        <w:rPr/>
        <w:t>processo</w:t>
      </w:r>
      <w:hyperlink w:history="true" w:anchor="_bookmark18">
        <w:r>
          <w:rPr>
            <w:position w:val="7"/>
            <w:sz w:val="13"/>
          </w:rPr>
          <w:t>19</w:t>
        </w:r>
      </w:hyperlink>
      <w:r>
        <w:rPr/>
        <w:t>.</w:t>
      </w:r>
      <w:r>
        <w:rPr>
          <w:spacing w:val="-2"/>
        </w:rPr>
        <w:t> </w:t>
      </w:r>
      <w:r>
        <w:rPr/>
        <w:t>A</w:t>
      </w:r>
      <w:r>
        <w:rPr>
          <w:spacing w:val="-3"/>
        </w:rPr>
        <w:t> </w:t>
      </w:r>
      <w:r>
        <w:rPr/>
        <w:t>questo</w:t>
      </w:r>
      <w:r>
        <w:rPr>
          <w:spacing w:val="-2"/>
        </w:rPr>
        <w:t> </w:t>
      </w:r>
      <w:r>
        <w:rPr/>
        <w:t>riguardo</w:t>
      </w:r>
      <w:r>
        <w:rPr>
          <w:spacing w:val="-2"/>
        </w:rPr>
        <w:t> </w:t>
      </w:r>
      <w:r>
        <w:rPr/>
        <w:t>non si</w:t>
      </w:r>
      <w:r>
        <w:rPr>
          <w:spacing w:val="-1"/>
        </w:rPr>
        <w:t> </w:t>
      </w:r>
      <w:r>
        <w:rPr/>
        <w:t>può</w:t>
      </w:r>
      <w:r>
        <w:rPr>
          <w:spacing w:val="-6"/>
        </w:rPr>
        <w:t> </w:t>
      </w:r>
      <w:r>
        <w:rPr/>
        <w:t>che</w:t>
      </w:r>
      <w:r>
        <w:rPr>
          <w:spacing w:val="-1"/>
        </w:rPr>
        <w:t> </w:t>
      </w:r>
      <w:r>
        <w:rPr/>
        <w:t>deplorare,</w:t>
      </w:r>
      <w:r>
        <w:rPr>
          <w:spacing w:val="-2"/>
        </w:rPr>
        <w:t> </w:t>
      </w:r>
      <w:r>
        <w:rPr/>
        <w:t>dal</w:t>
      </w:r>
      <w:r>
        <w:rPr>
          <w:spacing w:val="-1"/>
        </w:rPr>
        <w:t> </w:t>
      </w:r>
      <w:r>
        <w:rPr/>
        <w:t>punto</w:t>
      </w:r>
      <w:r>
        <w:rPr>
          <w:spacing w:val="-2"/>
        </w:rPr>
        <w:t> </w:t>
      </w:r>
      <w:r>
        <w:rPr/>
        <w:t>di</w:t>
      </w:r>
      <w:r>
        <w:rPr>
          <w:spacing w:val="-1"/>
        </w:rPr>
        <w:t> </w:t>
      </w:r>
      <w:r>
        <w:rPr/>
        <w:t>vi- sta della tecnica legislativa, che precisazioni così importanti per l’in- </w:t>
      </w:r>
      <w:r>
        <w:rPr>
          <w:spacing w:val="-2"/>
        </w:rPr>
        <w:t>dividuazione</w:t>
      </w:r>
      <w:r>
        <w:rPr>
          <w:spacing w:val="-5"/>
        </w:rPr>
        <w:t> </w:t>
      </w:r>
      <w:r>
        <w:rPr>
          <w:spacing w:val="-2"/>
        </w:rPr>
        <w:t>dei rimedi</w:t>
      </w:r>
      <w:r>
        <w:rPr>
          <w:spacing w:val="-6"/>
        </w:rPr>
        <w:t> </w:t>
      </w:r>
      <w:r>
        <w:rPr>
          <w:spacing w:val="-2"/>
        </w:rPr>
        <w:t>giurisdizionali</w:t>
      </w:r>
      <w:r>
        <w:rPr>
          <w:spacing w:val="-6"/>
        </w:rPr>
        <w:t> </w:t>
      </w:r>
      <w:r>
        <w:rPr>
          <w:spacing w:val="-2"/>
        </w:rPr>
        <w:t>concessi</w:t>
      </w:r>
      <w:r>
        <w:rPr>
          <w:spacing w:val="-6"/>
        </w:rPr>
        <w:t> </w:t>
      </w:r>
      <w:r>
        <w:rPr>
          <w:spacing w:val="-2"/>
        </w:rPr>
        <w:t>agli</w:t>
      </w:r>
      <w:r>
        <w:rPr>
          <w:spacing w:val="-6"/>
        </w:rPr>
        <w:t> </w:t>
      </w:r>
      <w:r>
        <w:rPr>
          <w:spacing w:val="-2"/>
        </w:rPr>
        <w:t>imputati</w:t>
      </w:r>
      <w:r>
        <w:rPr>
          <w:spacing w:val="-5"/>
        </w:rPr>
        <w:t> </w:t>
      </w:r>
      <w:r>
        <w:rPr>
          <w:spacing w:val="-2"/>
        </w:rPr>
        <w:t>siano</w:t>
      </w:r>
      <w:r>
        <w:rPr>
          <w:spacing w:val="-7"/>
        </w:rPr>
        <w:t> </w:t>
      </w:r>
      <w:r>
        <w:rPr>
          <w:spacing w:val="-2"/>
        </w:rPr>
        <w:t>contenu- </w:t>
      </w:r>
      <w:r>
        <w:rPr/>
        <w:t>te</w:t>
      </w:r>
      <w:r>
        <w:rPr>
          <w:spacing w:val="-4"/>
        </w:rPr>
        <w:t> </w:t>
      </w:r>
      <w:r>
        <w:rPr/>
        <w:t>nella motivazione del Regolamento</w:t>
      </w:r>
      <w:r>
        <w:rPr>
          <w:spacing w:val="-6"/>
        </w:rPr>
        <w:t> </w:t>
      </w:r>
      <w:r>
        <w:rPr/>
        <w:t>e non</w:t>
      </w:r>
      <w:r>
        <w:rPr>
          <w:spacing w:val="-6"/>
        </w:rPr>
        <w:t> </w:t>
      </w:r>
      <w:r>
        <w:rPr/>
        <w:t>in</w:t>
      </w:r>
      <w:r>
        <w:rPr>
          <w:spacing w:val="-2"/>
        </w:rPr>
        <w:t> </w:t>
      </w:r>
      <w:r>
        <w:rPr/>
        <w:t>un</w:t>
      </w:r>
      <w:r>
        <w:rPr>
          <w:spacing w:val="-2"/>
        </w:rPr>
        <w:t> </w:t>
      </w:r>
      <w:r>
        <w:rPr/>
        <w:t>articolo</w:t>
      </w:r>
      <w:r>
        <w:rPr>
          <w:spacing w:val="-2"/>
        </w:rPr>
        <w:t> </w:t>
      </w:r>
      <w:r>
        <w:rPr/>
        <w:t>dello</w:t>
      </w:r>
      <w:r>
        <w:rPr>
          <w:spacing w:val="-2"/>
        </w:rPr>
        <w:t> </w:t>
      </w:r>
      <w:r>
        <w:rPr/>
        <w:t>stesso.</w:t>
      </w:r>
    </w:p>
    <w:p>
      <w:pPr>
        <w:pStyle w:val="BodyText"/>
        <w:spacing w:before="144"/>
      </w:pPr>
    </w:p>
    <w:p>
      <w:pPr>
        <w:spacing w:line="196" w:lineRule="auto" w:before="0"/>
        <w:ind w:left="673" w:right="663" w:firstLine="284"/>
        <w:jc w:val="both"/>
        <w:rPr>
          <w:sz w:val="19"/>
        </w:rPr>
      </w:pPr>
      <w:bookmarkStart w:name="_bookmark16" w:id="17"/>
      <w:bookmarkEnd w:id="17"/>
      <w:r>
        <w:rPr/>
      </w:r>
      <w:r>
        <w:rPr>
          <w:sz w:val="19"/>
          <w:vertAlign w:val="superscript"/>
        </w:rPr>
        <w:t>17</w:t>
      </w:r>
      <w:r>
        <w:rPr>
          <w:spacing w:val="-12"/>
          <w:sz w:val="19"/>
          <w:vertAlign w:val="baseline"/>
        </w:rPr>
        <w:t> </w:t>
      </w:r>
      <w:r>
        <w:rPr>
          <w:sz w:val="19"/>
          <w:vertAlign w:val="baseline"/>
        </w:rPr>
        <w:t>Sentenza</w:t>
      </w:r>
      <w:r>
        <w:rPr>
          <w:spacing w:val="-12"/>
          <w:sz w:val="19"/>
          <w:vertAlign w:val="baseline"/>
        </w:rPr>
        <w:t> </w:t>
      </w:r>
      <w:r>
        <w:rPr>
          <w:sz w:val="19"/>
          <w:vertAlign w:val="baseline"/>
        </w:rPr>
        <w:t>dell’11</w:t>
      </w:r>
      <w:r>
        <w:rPr>
          <w:spacing w:val="-12"/>
          <w:sz w:val="19"/>
          <w:vertAlign w:val="baseline"/>
        </w:rPr>
        <w:t> </w:t>
      </w:r>
      <w:r>
        <w:rPr>
          <w:sz w:val="19"/>
          <w:vertAlign w:val="baseline"/>
        </w:rPr>
        <w:t>novembre</w:t>
      </w:r>
      <w:r>
        <w:rPr>
          <w:spacing w:val="-12"/>
          <w:sz w:val="19"/>
          <w:vertAlign w:val="baseline"/>
        </w:rPr>
        <w:t> </w:t>
      </w:r>
      <w:r>
        <w:rPr>
          <w:sz w:val="19"/>
          <w:vertAlign w:val="baseline"/>
        </w:rPr>
        <w:t>1981</w:t>
      </w:r>
      <w:r>
        <w:rPr>
          <w:spacing w:val="-12"/>
          <w:sz w:val="19"/>
          <w:vertAlign w:val="baseline"/>
        </w:rPr>
        <w:t> </w:t>
      </w:r>
      <w:r>
        <w:rPr>
          <w:sz w:val="19"/>
          <w:vertAlign w:val="baseline"/>
        </w:rPr>
        <w:t>in</w:t>
      </w:r>
      <w:r>
        <w:rPr>
          <w:spacing w:val="-12"/>
          <w:sz w:val="19"/>
          <w:vertAlign w:val="baseline"/>
        </w:rPr>
        <w:t> </w:t>
      </w:r>
      <w:r>
        <w:rPr>
          <w:sz w:val="19"/>
          <w:vertAlign w:val="baseline"/>
        </w:rPr>
        <w:t>causa</w:t>
      </w:r>
      <w:r>
        <w:rPr>
          <w:spacing w:val="-12"/>
          <w:sz w:val="19"/>
          <w:vertAlign w:val="baseline"/>
        </w:rPr>
        <w:t> </w:t>
      </w:r>
      <w:r>
        <w:rPr>
          <w:sz w:val="19"/>
          <w:vertAlign w:val="baseline"/>
        </w:rPr>
        <w:t>n.</w:t>
      </w:r>
      <w:r>
        <w:rPr>
          <w:spacing w:val="-11"/>
          <w:sz w:val="19"/>
          <w:vertAlign w:val="baseline"/>
        </w:rPr>
        <w:t> </w:t>
      </w:r>
      <w:r>
        <w:rPr>
          <w:sz w:val="19"/>
          <w:vertAlign w:val="baseline"/>
        </w:rPr>
        <w:t>60/81</w:t>
      </w:r>
      <w:r>
        <w:rPr>
          <w:i/>
          <w:sz w:val="19"/>
          <w:vertAlign w:val="baseline"/>
        </w:rPr>
        <w:t>,</w:t>
      </w:r>
      <w:r>
        <w:rPr>
          <w:i/>
          <w:spacing w:val="-12"/>
          <w:sz w:val="19"/>
          <w:vertAlign w:val="baseline"/>
        </w:rPr>
        <w:t> </w:t>
      </w:r>
      <w:r>
        <w:rPr>
          <w:i/>
          <w:sz w:val="19"/>
          <w:vertAlign w:val="baseline"/>
        </w:rPr>
        <w:t>IBM</w:t>
      </w:r>
      <w:r>
        <w:rPr>
          <w:i/>
          <w:spacing w:val="-12"/>
          <w:sz w:val="19"/>
          <w:vertAlign w:val="baseline"/>
        </w:rPr>
        <w:t> </w:t>
      </w:r>
      <w:r>
        <w:rPr>
          <w:sz w:val="19"/>
          <w:vertAlign w:val="baseline"/>
        </w:rPr>
        <w:t>c.</w:t>
      </w:r>
      <w:r>
        <w:rPr>
          <w:spacing w:val="-12"/>
          <w:sz w:val="19"/>
          <w:vertAlign w:val="baseline"/>
        </w:rPr>
        <w:t> </w:t>
      </w:r>
      <w:r>
        <w:rPr>
          <w:i/>
          <w:sz w:val="19"/>
          <w:vertAlign w:val="baseline"/>
        </w:rPr>
        <w:t>Commissione,</w:t>
      </w:r>
      <w:r>
        <w:rPr>
          <w:i/>
          <w:spacing w:val="-12"/>
          <w:sz w:val="19"/>
          <w:vertAlign w:val="baseline"/>
        </w:rPr>
        <w:t> </w:t>
      </w:r>
      <w:r>
        <w:rPr>
          <w:sz w:val="19"/>
          <w:vertAlign w:val="baseline"/>
        </w:rPr>
        <w:t>EU:C:1981:264, punto 9.</w:t>
      </w:r>
    </w:p>
    <w:p>
      <w:pPr>
        <w:spacing w:line="196" w:lineRule="auto" w:before="42"/>
        <w:ind w:left="673" w:right="663" w:firstLine="284"/>
        <w:jc w:val="both"/>
        <w:rPr>
          <w:sz w:val="19"/>
        </w:rPr>
      </w:pPr>
      <w:bookmarkStart w:name="_bookmark17" w:id="18"/>
      <w:bookmarkEnd w:id="18"/>
      <w:r>
        <w:rPr/>
      </w:r>
      <w:r>
        <w:rPr>
          <w:sz w:val="19"/>
          <w:vertAlign w:val="superscript"/>
        </w:rPr>
        <w:t>18</w:t>
      </w:r>
      <w:r>
        <w:rPr>
          <w:sz w:val="19"/>
          <w:vertAlign w:val="baseline"/>
        </w:rPr>
        <w:t> Questa utile esemplificazione di atti non impugnabili è formulata nel precitato </w:t>
      </w:r>
      <w:r>
        <w:rPr>
          <w:i/>
          <w:sz w:val="19"/>
          <w:vertAlign w:val="baseline"/>
        </w:rPr>
        <w:t>conside-</w:t>
      </w:r>
      <w:r>
        <w:rPr>
          <w:i/>
          <w:sz w:val="19"/>
          <w:vertAlign w:val="baseline"/>
        </w:rPr>
        <w:t> rando </w:t>
      </w:r>
      <w:r>
        <w:rPr>
          <w:sz w:val="19"/>
          <w:vertAlign w:val="baseline"/>
        </w:rPr>
        <w:t>n. 87 del Regolamento EPPO, </w:t>
      </w:r>
      <w:r>
        <w:rPr>
          <w:i/>
          <w:sz w:val="19"/>
          <w:vertAlign w:val="baseline"/>
        </w:rPr>
        <w:t>in fine</w:t>
      </w:r>
      <w:r>
        <w:rPr>
          <w:sz w:val="19"/>
          <w:vertAlign w:val="baseline"/>
        </w:rPr>
        <w:t>.</w:t>
      </w:r>
    </w:p>
    <w:p>
      <w:pPr>
        <w:spacing w:line="192" w:lineRule="auto" w:before="49"/>
        <w:ind w:left="673" w:right="667" w:firstLine="284"/>
        <w:jc w:val="both"/>
        <w:rPr>
          <w:sz w:val="19"/>
        </w:rPr>
      </w:pPr>
      <w:bookmarkStart w:name="_bookmark18" w:id="19"/>
      <w:bookmarkEnd w:id="19"/>
      <w:r>
        <w:rPr/>
      </w:r>
      <w:r>
        <w:rPr>
          <w:sz w:val="19"/>
          <w:vertAlign w:val="superscript"/>
        </w:rPr>
        <w:t>19</w:t>
      </w:r>
      <w:r>
        <w:rPr>
          <w:sz w:val="19"/>
          <w:vertAlign w:val="baseline"/>
        </w:rPr>
        <w:t> In diritto italiano, ad esempio, il decreto del giudice</w:t>
      </w:r>
      <w:r>
        <w:rPr>
          <w:spacing w:val="-2"/>
          <w:sz w:val="19"/>
          <w:vertAlign w:val="baseline"/>
        </w:rPr>
        <w:t> </w:t>
      </w:r>
      <w:r>
        <w:rPr>
          <w:sz w:val="19"/>
          <w:vertAlign w:val="baseline"/>
        </w:rPr>
        <w:t>dell’udienza preliminare che dispo- ne il giudizio, previsto all’art. 429 c.p.p., non è impugnabile, come si</w:t>
      </w:r>
      <w:r>
        <w:rPr>
          <w:spacing w:val="-2"/>
          <w:sz w:val="19"/>
          <w:vertAlign w:val="baseline"/>
        </w:rPr>
        <w:t> </w:t>
      </w:r>
      <w:r>
        <w:rPr>
          <w:sz w:val="19"/>
          <w:vertAlign w:val="baseline"/>
        </w:rPr>
        <w:t>può</w:t>
      </w:r>
      <w:r>
        <w:rPr>
          <w:spacing w:val="-1"/>
          <w:sz w:val="19"/>
          <w:vertAlign w:val="baseline"/>
        </w:rPr>
        <w:t> </w:t>
      </w:r>
      <w:r>
        <w:rPr>
          <w:sz w:val="19"/>
          <w:vertAlign w:val="baseline"/>
        </w:rPr>
        <w:t>dedurre</w:t>
      </w:r>
      <w:r>
        <w:rPr>
          <w:spacing w:val="-2"/>
          <w:sz w:val="19"/>
          <w:vertAlign w:val="baseline"/>
        </w:rPr>
        <w:t> </w:t>
      </w:r>
      <w:r>
        <w:rPr>
          <w:sz w:val="19"/>
          <w:vertAlign w:val="baseline"/>
        </w:rPr>
        <w:t>dalla regola generale enunciata all’art. 568 dello stesso c.p.p. sul “</w:t>
      </w:r>
      <w:r>
        <w:rPr>
          <w:i/>
          <w:sz w:val="19"/>
          <w:vertAlign w:val="baseline"/>
        </w:rPr>
        <w:t>numero chiuso” </w:t>
      </w:r>
      <w:r>
        <w:rPr>
          <w:sz w:val="19"/>
          <w:vertAlign w:val="baseline"/>
        </w:rPr>
        <w:t>dei provvedimenti del giudice soggetti ad impugnazione. </w:t>
      </w:r>
      <w:r>
        <w:rPr>
          <w:i/>
          <w:sz w:val="19"/>
          <w:vertAlign w:val="baseline"/>
        </w:rPr>
        <w:t>A fortiori</w:t>
      </w:r>
      <w:r>
        <w:rPr>
          <w:sz w:val="19"/>
          <w:vertAlign w:val="baseline"/>
        </w:rPr>
        <w:t>, pertanto, non sarà impugnabile la richiesta di rinvio a giudizio, di cui all’art. 417 c.p.p., depositata dal pubblico ministero nella cancelleria del giudice dell’udienza preliminare.</w:t>
      </w:r>
    </w:p>
    <w:p>
      <w:pPr>
        <w:spacing w:after="0" w:line="192" w:lineRule="auto"/>
        <w:jc w:val="both"/>
        <w:rPr>
          <w:sz w:val="19"/>
        </w:rPr>
        <w:sectPr>
          <w:pgSz w:w="11910" w:h="16840"/>
          <w:pgMar w:header="2182" w:footer="0" w:top="2480" w:bottom="280" w:left="1680" w:right="1680"/>
        </w:sectPr>
      </w:pPr>
    </w:p>
    <w:p>
      <w:pPr>
        <w:pStyle w:val="BodyText"/>
      </w:pPr>
    </w:p>
    <w:p>
      <w:pPr>
        <w:pStyle w:val="BodyText"/>
        <w:spacing w:before="14"/>
      </w:pPr>
    </w:p>
    <w:p>
      <w:pPr>
        <w:pStyle w:val="BodyText"/>
        <w:spacing w:line="228" w:lineRule="auto"/>
        <w:ind w:left="673" w:right="668" w:firstLine="396"/>
        <w:jc w:val="both"/>
      </w:pPr>
      <w:r>
        <w:rPr/>
        <w:t>Il par. 8 dell’art. 42 del Regolamento EPPO chiarisce poi opportuna- mente, sempre con riferimento ai ricorsi diretti, che la deroga al principio generale dell’ordinamento europeo costituito dalla competenza esclusiva della Corte di giustizia in materia di controllo di legittimità sugli atti delle istituzioni e organi dell’Unione europea non si estende alle decisioni della Procura europea che non sono «atti procedurali» ai sensi del par. 1 dello stesso art. 42 e sono pertanto da qualificare come normali «decisioni am- ministrative», soggette come tali al regime generale delle impugnazioni istituito dall’art. 263 del Trattato. Dopo aver ricordato che tali decisioni della Procura europea devono comunque essere atti «che incidono sui di- ritti degli interessati», il par. 8 menziona espressamente alcune categorie</w:t>
      </w:r>
      <w:r>
        <w:rPr>
          <w:spacing w:val="40"/>
        </w:rPr>
        <w:t> </w:t>
      </w:r>
      <w:r>
        <w:rPr/>
        <w:t>di decisioni che restano soggette al controllo di legittimità della Corte di giustizia, quali ad esempio le decisioni in materia di trattamento dei dati personali (artt. 47-89 del Regolamento), le decisioni riguardanti il diritto</w:t>
      </w:r>
      <w:r>
        <w:rPr>
          <w:spacing w:val="40"/>
        </w:rPr>
        <w:t> </w:t>
      </w:r>
      <w:r>
        <w:rPr/>
        <w:t>di accesso del pubblico ai documenti della Procura europea diversi dai fa- scicoli</w:t>
      </w:r>
      <w:r>
        <w:rPr>
          <w:spacing w:val="-2"/>
        </w:rPr>
        <w:t> </w:t>
      </w:r>
      <w:r>
        <w:rPr/>
        <w:t>dei</w:t>
      </w:r>
      <w:r>
        <w:rPr>
          <w:spacing w:val="-2"/>
        </w:rPr>
        <w:t> </w:t>
      </w:r>
      <w:r>
        <w:rPr/>
        <w:t>procedimenti (art. 109),</w:t>
      </w:r>
      <w:r>
        <w:rPr>
          <w:spacing w:val="-3"/>
        </w:rPr>
        <w:t> </w:t>
      </w:r>
      <w:r>
        <w:rPr/>
        <w:t>le</w:t>
      </w:r>
      <w:r>
        <w:rPr>
          <w:spacing w:val="-2"/>
        </w:rPr>
        <w:t> </w:t>
      </w:r>
      <w:r>
        <w:rPr/>
        <w:t>decisioni di rimozione dei procurato- ri europei delegati (art. 17, par. 3).</w:t>
      </w:r>
    </w:p>
    <w:p>
      <w:pPr>
        <w:pStyle w:val="BodyText"/>
      </w:pPr>
    </w:p>
    <w:p>
      <w:pPr>
        <w:pStyle w:val="BodyText"/>
        <w:spacing w:before="114"/>
      </w:pPr>
    </w:p>
    <w:p>
      <w:pPr>
        <w:pStyle w:val="Heading1"/>
        <w:numPr>
          <w:ilvl w:val="0"/>
          <w:numId w:val="1"/>
        </w:numPr>
        <w:tabs>
          <w:tab w:pos="1068" w:val="left" w:leader="none"/>
        </w:tabs>
        <w:spacing w:line="240" w:lineRule="auto" w:before="0" w:after="0"/>
        <w:ind w:left="1068" w:right="0" w:hanging="395"/>
        <w:jc w:val="left"/>
      </w:pPr>
      <w:r>
        <w:rPr/>
        <w:t>Analisi</w:t>
      </w:r>
      <w:r>
        <w:rPr>
          <w:spacing w:val="-2"/>
        </w:rPr>
        <w:t> </w:t>
      </w:r>
      <w:r>
        <w:rPr/>
        <w:t>della</w:t>
      </w:r>
      <w:r>
        <w:rPr>
          <w:spacing w:val="-1"/>
        </w:rPr>
        <w:t> </w:t>
      </w:r>
      <w:r>
        <w:rPr/>
        <w:t>sentenza</w:t>
      </w:r>
      <w:r>
        <w:rPr>
          <w:spacing w:val="-2"/>
        </w:rPr>
        <w:t> </w:t>
      </w:r>
      <w:r>
        <w:rPr/>
        <w:t>della</w:t>
      </w:r>
      <w:r>
        <w:rPr>
          <w:spacing w:val="-2"/>
        </w:rPr>
        <w:t> </w:t>
      </w:r>
      <w:r>
        <w:rPr/>
        <w:t>Corte</w:t>
      </w:r>
      <w:r>
        <w:rPr>
          <w:spacing w:val="-1"/>
        </w:rPr>
        <w:t> </w:t>
      </w:r>
      <w:r>
        <w:rPr/>
        <w:t>di</w:t>
      </w:r>
      <w:r>
        <w:rPr>
          <w:spacing w:val="-1"/>
        </w:rPr>
        <w:t> </w:t>
      </w:r>
      <w:r>
        <w:rPr>
          <w:spacing w:val="-2"/>
        </w:rPr>
        <w:t>giustizia</w:t>
      </w:r>
    </w:p>
    <w:p>
      <w:pPr>
        <w:pStyle w:val="ListParagraph"/>
        <w:numPr>
          <w:ilvl w:val="1"/>
          <w:numId w:val="1"/>
        </w:numPr>
        <w:tabs>
          <w:tab w:pos="1068" w:val="left" w:leader="none"/>
        </w:tabs>
        <w:spacing w:line="230" w:lineRule="auto" w:before="165" w:after="0"/>
        <w:ind w:left="1068" w:right="680" w:hanging="396"/>
        <w:jc w:val="left"/>
        <w:rPr>
          <w:i/>
          <w:sz w:val="24"/>
        </w:rPr>
      </w:pPr>
      <w:r>
        <w:rPr>
          <w:i/>
          <w:sz w:val="24"/>
        </w:rPr>
        <w:t>La</w:t>
      </w:r>
      <w:r>
        <w:rPr>
          <w:i/>
          <w:spacing w:val="-5"/>
          <w:sz w:val="24"/>
        </w:rPr>
        <w:t> </w:t>
      </w:r>
      <w:r>
        <w:rPr>
          <w:i/>
          <w:sz w:val="24"/>
        </w:rPr>
        <w:t>definizione</w:t>
      </w:r>
      <w:r>
        <w:rPr>
          <w:i/>
          <w:spacing w:val="-4"/>
          <w:sz w:val="24"/>
        </w:rPr>
        <w:t> </w:t>
      </w:r>
      <w:r>
        <w:rPr>
          <w:i/>
          <w:sz w:val="24"/>
        </w:rPr>
        <w:t>di</w:t>
      </w:r>
      <w:r>
        <w:rPr>
          <w:i/>
          <w:spacing w:val="-2"/>
          <w:sz w:val="24"/>
        </w:rPr>
        <w:t> </w:t>
      </w:r>
      <w:r>
        <w:rPr>
          <w:i/>
          <w:sz w:val="24"/>
        </w:rPr>
        <w:t>«atti</w:t>
      </w:r>
      <w:r>
        <w:rPr>
          <w:i/>
          <w:spacing w:val="-4"/>
          <w:sz w:val="24"/>
        </w:rPr>
        <w:t> </w:t>
      </w:r>
      <w:r>
        <w:rPr>
          <w:i/>
          <w:sz w:val="24"/>
        </w:rPr>
        <w:t>procedurali</w:t>
      </w:r>
      <w:r>
        <w:rPr>
          <w:i/>
          <w:spacing w:val="-4"/>
          <w:sz w:val="24"/>
        </w:rPr>
        <w:t> </w:t>
      </w:r>
      <w:r>
        <w:rPr>
          <w:i/>
          <w:sz w:val="24"/>
        </w:rPr>
        <w:t>destinati</w:t>
      </w:r>
      <w:r>
        <w:rPr>
          <w:i/>
          <w:spacing w:val="-4"/>
          <w:sz w:val="24"/>
        </w:rPr>
        <w:t> </w:t>
      </w:r>
      <w:r>
        <w:rPr>
          <w:i/>
          <w:sz w:val="24"/>
        </w:rPr>
        <w:t>a</w:t>
      </w:r>
      <w:r>
        <w:rPr>
          <w:i/>
          <w:spacing w:val="-5"/>
          <w:sz w:val="24"/>
        </w:rPr>
        <w:t> </w:t>
      </w:r>
      <w:r>
        <w:rPr>
          <w:i/>
          <w:sz w:val="24"/>
        </w:rPr>
        <w:t>produrre</w:t>
      </w:r>
      <w:r>
        <w:rPr>
          <w:i/>
          <w:spacing w:val="-4"/>
          <w:sz w:val="24"/>
        </w:rPr>
        <w:t> </w:t>
      </w:r>
      <w:r>
        <w:rPr>
          <w:i/>
          <w:sz w:val="24"/>
        </w:rPr>
        <w:t>effetti</w:t>
      </w:r>
      <w:r>
        <w:rPr>
          <w:i/>
          <w:spacing w:val="-4"/>
          <w:sz w:val="24"/>
        </w:rPr>
        <w:t> </w:t>
      </w:r>
      <w:r>
        <w:rPr>
          <w:i/>
          <w:sz w:val="24"/>
        </w:rPr>
        <w:t>giuridici</w:t>
      </w:r>
      <w:r>
        <w:rPr>
          <w:i/>
          <w:sz w:val="24"/>
        </w:rPr>
        <w:t> nei confronti dei terzi»</w:t>
      </w:r>
    </w:p>
    <w:p>
      <w:pPr>
        <w:pStyle w:val="BodyText"/>
        <w:spacing w:line="228" w:lineRule="auto" w:before="164"/>
        <w:ind w:left="673" w:right="670" w:firstLine="396"/>
        <w:jc w:val="both"/>
      </w:pPr>
      <w:r>
        <w:rPr/>
        <w:t>Il punto di partenza del ragionamento della Corte di giustizia è la con- statazione che l’espressione «atti procedurali dell’EPPO destinati a pro- durre effetti giuridici nei confronti dei terzi» non contiene alcun rinvio al diritto</w:t>
      </w:r>
      <w:r>
        <w:rPr>
          <w:spacing w:val="-5"/>
        </w:rPr>
        <w:t> </w:t>
      </w:r>
      <w:r>
        <w:rPr/>
        <w:t>degli Stati membri</w:t>
      </w:r>
      <w:r>
        <w:rPr>
          <w:spacing w:val="-3"/>
        </w:rPr>
        <w:t> </w:t>
      </w:r>
      <w:r>
        <w:rPr/>
        <w:t>ed</w:t>
      </w:r>
      <w:r>
        <w:rPr>
          <w:spacing w:val="-1"/>
        </w:rPr>
        <w:t> </w:t>
      </w:r>
      <w:r>
        <w:rPr/>
        <w:t>è</w:t>
      </w:r>
      <w:r>
        <w:rPr>
          <w:spacing w:val="-3"/>
        </w:rPr>
        <w:t> </w:t>
      </w:r>
      <w:r>
        <w:rPr/>
        <w:t>pertanto</w:t>
      </w:r>
      <w:r>
        <w:rPr>
          <w:spacing w:val="-1"/>
        </w:rPr>
        <w:t> </w:t>
      </w:r>
      <w:r>
        <w:rPr/>
        <w:t>da</w:t>
      </w:r>
      <w:r>
        <w:rPr>
          <w:spacing w:val="-3"/>
        </w:rPr>
        <w:t> </w:t>
      </w:r>
      <w:r>
        <w:rPr/>
        <w:t>ritenere una «nozione autonoma di diritto dell’Unione che deve essere interpretata sulla base di criteri uni- formi».</w:t>
      </w:r>
      <w:r>
        <w:rPr>
          <w:spacing w:val="55"/>
        </w:rPr>
        <w:t> </w:t>
      </w:r>
      <w:r>
        <w:rPr/>
        <w:t>Il</w:t>
      </w:r>
      <w:r>
        <w:rPr>
          <w:spacing w:val="56"/>
        </w:rPr>
        <w:t> </w:t>
      </w:r>
      <w:r>
        <w:rPr/>
        <w:t>riferimento</w:t>
      </w:r>
      <w:r>
        <w:rPr>
          <w:spacing w:val="51"/>
        </w:rPr>
        <w:t> </w:t>
      </w:r>
      <w:r>
        <w:rPr/>
        <w:t>dell’art.</w:t>
      </w:r>
      <w:r>
        <w:rPr>
          <w:spacing w:val="55"/>
        </w:rPr>
        <w:t> </w:t>
      </w:r>
      <w:r>
        <w:rPr/>
        <w:t>42,</w:t>
      </w:r>
      <w:r>
        <w:rPr>
          <w:spacing w:val="51"/>
        </w:rPr>
        <w:t> </w:t>
      </w:r>
      <w:r>
        <w:rPr/>
        <w:t>par.</w:t>
      </w:r>
      <w:r>
        <w:rPr>
          <w:spacing w:val="51"/>
        </w:rPr>
        <w:t> </w:t>
      </w:r>
      <w:r>
        <w:rPr/>
        <w:t>1,</w:t>
      </w:r>
      <w:r>
        <w:rPr>
          <w:spacing w:val="55"/>
        </w:rPr>
        <w:t> </w:t>
      </w:r>
      <w:r>
        <w:rPr/>
        <w:t>del</w:t>
      </w:r>
      <w:r>
        <w:rPr>
          <w:spacing w:val="58"/>
        </w:rPr>
        <w:t> </w:t>
      </w:r>
      <w:r>
        <w:rPr/>
        <w:t>Regolamento</w:t>
      </w:r>
      <w:r>
        <w:rPr>
          <w:spacing w:val="55"/>
        </w:rPr>
        <w:t> </w:t>
      </w:r>
      <w:r>
        <w:rPr/>
        <w:t>EPPO</w:t>
      </w:r>
      <w:r>
        <w:rPr>
          <w:spacing w:val="55"/>
        </w:rPr>
        <w:t> </w:t>
      </w:r>
      <w:r>
        <w:rPr>
          <w:spacing w:val="-4"/>
        </w:rPr>
        <w:t>alle</w:t>
      </w:r>
    </w:p>
    <w:p>
      <w:pPr>
        <w:pStyle w:val="BodyText"/>
        <w:spacing w:line="228" w:lineRule="auto" w:before="3"/>
        <w:ind w:left="673" w:right="668"/>
        <w:jc w:val="both"/>
      </w:pPr>
      <w:r>
        <w:rPr/>
        <w:t>«procedure ed ai requisiti stabiliti dal diritto nazionale» va infatti inteso come applicabile unicamente alle «modalità», ovvero alle regole proces- suali secondo le quali gli organi giurisdizionali nazionali competenti sono tenuti</w:t>
      </w:r>
      <w:r>
        <w:rPr>
          <w:spacing w:val="-2"/>
        </w:rPr>
        <w:t> </w:t>
      </w:r>
      <w:r>
        <w:rPr/>
        <w:t>ad</w:t>
      </w:r>
      <w:r>
        <w:rPr>
          <w:spacing w:val="-3"/>
        </w:rPr>
        <w:t> </w:t>
      </w:r>
      <w:r>
        <w:rPr/>
        <w:t>effettuare</w:t>
      </w:r>
      <w:r>
        <w:rPr>
          <w:spacing w:val="-2"/>
        </w:rPr>
        <w:t> </w:t>
      </w:r>
      <w:r>
        <w:rPr/>
        <w:t>il</w:t>
      </w:r>
      <w:r>
        <w:rPr>
          <w:spacing w:val="-2"/>
        </w:rPr>
        <w:t> </w:t>
      </w:r>
      <w:r>
        <w:rPr/>
        <w:t>controllo sugli atti</w:t>
      </w:r>
      <w:r>
        <w:rPr>
          <w:spacing w:val="-2"/>
        </w:rPr>
        <w:t> </w:t>
      </w:r>
      <w:r>
        <w:rPr/>
        <w:t>d’indagine</w:t>
      </w:r>
      <w:r>
        <w:rPr>
          <w:spacing w:val="-2"/>
        </w:rPr>
        <w:t> </w:t>
      </w:r>
      <w:r>
        <w:rPr/>
        <w:t>adottati dai procuratori europei,</w:t>
      </w:r>
      <w:r>
        <w:rPr>
          <w:spacing w:val="-1"/>
        </w:rPr>
        <w:t> </w:t>
      </w:r>
      <w:r>
        <w:rPr/>
        <w:t>e</w:t>
      </w:r>
      <w:r>
        <w:rPr>
          <w:spacing w:val="-3"/>
        </w:rPr>
        <w:t> </w:t>
      </w:r>
      <w:r>
        <w:rPr/>
        <w:t>non</w:t>
      </w:r>
      <w:r>
        <w:rPr>
          <w:spacing w:val="-1"/>
        </w:rPr>
        <w:t> </w:t>
      </w:r>
      <w:r>
        <w:rPr/>
        <w:t>alla definizione stessa degli «atti procedurali» sotto</w:t>
      </w:r>
      <w:r>
        <w:rPr>
          <w:spacing w:val="-1"/>
        </w:rPr>
        <w:t> </w:t>
      </w:r>
      <w:r>
        <w:rPr/>
        <w:t>il profi- lo sostanziale. Per i giudici europei risulta, inoltre, dalla formulazione stessa dell’art. 42 nel suo complesso, costituito da ben otto successivi pa- ragrafi, che l’obiettivo di tale articolo del Regolamento è quello di preve- dere un’accurata «divisione di competenze» fra giudici degli Stati membri e Corte di giustizia in ordine al controllo giurisdizionale sugli atti della Procura</w:t>
      </w:r>
      <w:r>
        <w:rPr>
          <w:spacing w:val="15"/>
        </w:rPr>
        <w:t> </w:t>
      </w:r>
      <w:r>
        <w:rPr/>
        <w:t>europea.</w:t>
      </w:r>
      <w:r>
        <w:rPr>
          <w:spacing w:val="14"/>
        </w:rPr>
        <w:t> </w:t>
      </w:r>
      <w:r>
        <w:rPr/>
        <w:t>Ne</w:t>
      </w:r>
      <w:r>
        <w:rPr>
          <w:spacing w:val="15"/>
        </w:rPr>
        <w:t> </w:t>
      </w:r>
      <w:r>
        <w:rPr/>
        <w:t>consegue</w:t>
      </w:r>
      <w:r>
        <w:rPr>
          <w:spacing w:val="15"/>
        </w:rPr>
        <w:t> </w:t>
      </w:r>
      <w:r>
        <w:rPr/>
        <w:t>che</w:t>
      </w:r>
      <w:r>
        <w:rPr>
          <w:spacing w:val="16"/>
        </w:rPr>
        <w:t> </w:t>
      </w:r>
      <w:r>
        <w:rPr/>
        <w:t>soltanto</w:t>
      </w:r>
      <w:r>
        <w:rPr>
          <w:spacing w:val="14"/>
        </w:rPr>
        <w:t> </w:t>
      </w:r>
      <w:r>
        <w:rPr/>
        <w:t>un’interpretazione</w:t>
      </w:r>
      <w:r>
        <w:rPr>
          <w:spacing w:val="15"/>
        </w:rPr>
        <w:t> </w:t>
      </w:r>
      <w:r>
        <w:rPr/>
        <w:t>dell’art.</w:t>
      </w:r>
      <w:r>
        <w:rPr>
          <w:spacing w:val="14"/>
        </w:rPr>
        <w:t> </w:t>
      </w:r>
      <w:r>
        <w:rPr>
          <w:spacing w:val="-5"/>
        </w:rPr>
        <w:t>42</w:t>
      </w:r>
    </w:p>
    <w:p>
      <w:pPr>
        <w:spacing w:after="0" w:line="228" w:lineRule="auto"/>
        <w:jc w:val="both"/>
        <w:sectPr>
          <w:pgSz w:w="11910" w:h="16840"/>
          <w:pgMar w:header="2182" w:footer="0" w:top="2480" w:bottom="280" w:left="1680" w:right="1680"/>
        </w:sectPr>
      </w:pPr>
    </w:p>
    <w:p>
      <w:pPr>
        <w:pStyle w:val="BodyText"/>
      </w:pPr>
    </w:p>
    <w:p>
      <w:pPr>
        <w:pStyle w:val="BodyText"/>
        <w:spacing w:before="14"/>
      </w:pPr>
    </w:p>
    <w:p>
      <w:pPr>
        <w:pStyle w:val="BodyText"/>
        <w:spacing w:line="228" w:lineRule="auto"/>
        <w:ind w:left="673" w:right="675"/>
        <w:jc w:val="both"/>
      </w:pPr>
      <w:r>
        <w:rPr/>
        <w:t>basata su «criteri uniformi» – vale a dire i criteri interpretativi stabiliti da- gli stessi giudici dell’Unione – può assicurare la coerenza della suddetta divisione di competenze fra i due livelli di giurisdizione</w:t>
      </w:r>
      <w:hyperlink w:history="true" w:anchor="_bookmark19">
        <w:r>
          <w:rPr>
            <w:position w:val="7"/>
            <w:sz w:val="13"/>
          </w:rPr>
          <w:t>20</w:t>
        </w:r>
      </w:hyperlink>
      <w:r>
        <w:rPr/>
        <w:t>.</w:t>
      </w:r>
    </w:p>
    <w:p>
      <w:pPr>
        <w:pStyle w:val="BodyText"/>
        <w:spacing w:line="228" w:lineRule="auto" w:before="2"/>
        <w:ind w:left="673" w:right="670" w:firstLine="396"/>
        <w:jc w:val="both"/>
      </w:pPr>
      <w:r>
        <w:rPr/>
        <w:t>Sulla base di tale essenziale presupposto interpretativo – che peraltro conferma in pieno le interpretazioni dell’art. 42 formulate dai primi com- mentatori del Regolamento EPPO – la Corte di giustizia ha proceduto ad esaminare in</w:t>
      </w:r>
      <w:r>
        <w:rPr>
          <w:spacing w:val="-2"/>
        </w:rPr>
        <w:t> </w:t>
      </w:r>
      <w:r>
        <w:rPr/>
        <w:t>due fasi il significato dell’espressione «atti procedurali desti- nati a produrre effetti giuridici nei confronti dei terzi». Il primo problema interpretativo</w:t>
      </w:r>
      <w:r>
        <w:rPr>
          <w:spacing w:val="7"/>
        </w:rPr>
        <w:t> </w:t>
      </w:r>
      <w:r>
        <w:rPr/>
        <w:t>affrontato</w:t>
      </w:r>
      <w:r>
        <w:rPr>
          <w:spacing w:val="7"/>
        </w:rPr>
        <w:t> </w:t>
      </w:r>
      <w:r>
        <w:rPr/>
        <w:t>dai</w:t>
      </w:r>
      <w:r>
        <w:rPr>
          <w:spacing w:val="8"/>
        </w:rPr>
        <w:t> </w:t>
      </w:r>
      <w:r>
        <w:rPr/>
        <w:t>giudici</w:t>
      </w:r>
      <w:r>
        <w:rPr>
          <w:spacing w:val="8"/>
        </w:rPr>
        <w:t> </w:t>
      </w:r>
      <w:r>
        <w:rPr/>
        <w:t>europei</w:t>
      </w:r>
      <w:r>
        <w:rPr>
          <w:spacing w:val="8"/>
        </w:rPr>
        <w:t> </w:t>
      </w:r>
      <w:r>
        <w:rPr/>
        <w:t>ha</w:t>
      </w:r>
      <w:r>
        <w:rPr>
          <w:spacing w:val="8"/>
        </w:rPr>
        <w:t> </w:t>
      </w:r>
      <w:r>
        <w:rPr/>
        <w:t>riguardato</w:t>
      </w:r>
      <w:r>
        <w:rPr>
          <w:spacing w:val="7"/>
        </w:rPr>
        <w:t> </w:t>
      </w:r>
      <w:r>
        <w:rPr/>
        <w:t>la</w:t>
      </w:r>
      <w:r>
        <w:rPr>
          <w:spacing w:val="8"/>
        </w:rPr>
        <w:t> </w:t>
      </w:r>
      <w:r>
        <w:rPr/>
        <w:t>definizione</w:t>
      </w:r>
      <w:r>
        <w:rPr>
          <w:spacing w:val="8"/>
        </w:rPr>
        <w:t> </w:t>
      </w:r>
      <w:r>
        <w:rPr>
          <w:spacing w:val="-5"/>
        </w:rPr>
        <w:t>di</w:t>
      </w:r>
    </w:p>
    <w:p>
      <w:pPr>
        <w:pStyle w:val="BodyText"/>
        <w:spacing w:line="228" w:lineRule="auto"/>
        <w:ind w:left="673" w:right="668"/>
        <w:jc w:val="both"/>
      </w:pPr>
      <w:r>
        <w:rPr/>
        <w:t>«atti procedurali» della Procura europea, da distinguere rispetto agli atti della</w:t>
      </w:r>
      <w:r>
        <w:rPr>
          <w:spacing w:val="-2"/>
        </w:rPr>
        <w:t> </w:t>
      </w:r>
      <w:r>
        <w:rPr/>
        <w:t>medesima</w:t>
      </w:r>
      <w:r>
        <w:rPr>
          <w:spacing w:val="-2"/>
        </w:rPr>
        <w:t> </w:t>
      </w:r>
      <w:r>
        <w:rPr/>
        <w:t>autorità</w:t>
      </w:r>
      <w:r>
        <w:rPr>
          <w:spacing w:val="-2"/>
        </w:rPr>
        <w:t> </w:t>
      </w:r>
      <w:r>
        <w:rPr/>
        <w:t>inquirente</w:t>
      </w:r>
      <w:r>
        <w:rPr>
          <w:spacing w:val="-2"/>
        </w:rPr>
        <w:t> </w:t>
      </w:r>
      <w:r>
        <w:rPr/>
        <w:t>non</w:t>
      </w:r>
      <w:r>
        <w:rPr>
          <w:spacing w:val="-3"/>
        </w:rPr>
        <w:t> </w:t>
      </w:r>
      <w:r>
        <w:rPr/>
        <w:t>aventi</w:t>
      </w:r>
      <w:r>
        <w:rPr>
          <w:spacing w:val="-2"/>
        </w:rPr>
        <w:t> </w:t>
      </w:r>
      <w:r>
        <w:rPr/>
        <w:t>natura</w:t>
      </w:r>
      <w:r>
        <w:rPr>
          <w:spacing w:val="-2"/>
        </w:rPr>
        <w:t> </w:t>
      </w:r>
      <w:r>
        <w:rPr/>
        <w:t>o</w:t>
      </w:r>
      <w:r>
        <w:rPr>
          <w:spacing w:val="-3"/>
        </w:rPr>
        <w:t> </w:t>
      </w:r>
      <w:r>
        <w:rPr/>
        <w:t>finalità</w:t>
      </w:r>
      <w:r>
        <w:rPr>
          <w:spacing w:val="-2"/>
        </w:rPr>
        <w:t> </w:t>
      </w:r>
      <w:r>
        <w:rPr/>
        <w:t>procedurali. A questo riguardo la sentenza si limita a precisare, argomentando dal pre- citato </w:t>
      </w:r>
      <w:r>
        <w:rPr>
          <w:i/>
        </w:rPr>
        <w:t>considerando </w:t>
      </w:r>
      <w:r>
        <w:rPr/>
        <w:t>n. 87 del Regolamento, che per «atti procedurali» si devono intendere gli atti disposti dalla Procura europea «nel corso delle indagini», precisazione che coincide sostanzialmente con quella formulata dal legislatore dell’Unione nel </w:t>
      </w:r>
      <w:r>
        <w:rPr>
          <w:i/>
        </w:rPr>
        <w:t>considerando </w:t>
      </w:r>
      <w:r>
        <w:rPr/>
        <w:t>n. 87 del Regolamento, che come sopra rilevato si riferisce espressamente agli «atti adottati [dai pro- curatori europei delegati] prima dell’imputazione», ovvero prima della ri- chiesta di rinvio a giudizio dell’imputato</w:t>
      </w:r>
      <w:hyperlink w:history="true" w:anchor="_bookmark20">
        <w:r>
          <w:rPr>
            <w:position w:val="7"/>
            <w:sz w:val="13"/>
          </w:rPr>
          <w:t>21</w:t>
        </w:r>
      </w:hyperlink>
      <w:r>
        <w:rPr/>
        <w:t>.</w:t>
      </w:r>
    </w:p>
    <w:p>
      <w:pPr>
        <w:pStyle w:val="BodyText"/>
        <w:spacing w:line="228" w:lineRule="auto"/>
        <w:ind w:left="673" w:right="667" w:firstLine="396"/>
        <w:jc w:val="both"/>
      </w:pPr>
      <w:r>
        <w:rPr/>
        <w:t>Più articolata si presenta, invece, l’interpretazione che la Corte ha ela- borato in ordine all’espressione «(atti) destinati a produrre effetti giuridici nei confronti di terzi». Com’era prevedibile, i giudici europei hanno rile- vato a questo proposito l’identità di formulazione fra l’art. 42, par. 1, del Regolamento EPPO e l’art. 263, primo comma, del Trattato sul funziona- mento dell’Unione europea (TFUE). Da questa constatazione è conseguita la – pure prevedibile e pure prevista dalla dottrina – trasposizione della giurisprudenza interpretativa dell’art. 263 TFUE elaborata in altri settori del diritto dell’Unione, all’interpretazione dell’identica espressione utiliz- zata</w:t>
      </w:r>
      <w:r>
        <w:rPr>
          <w:spacing w:val="-2"/>
        </w:rPr>
        <w:t> </w:t>
      </w:r>
      <w:r>
        <w:rPr/>
        <w:t>dall’art.</w:t>
      </w:r>
      <w:r>
        <w:rPr>
          <w:spacing w:val="-3"/>
        </w:rPr>
        <w:t> </w:t>
      </w:r>
      <w:r>
        <w:rPr/>
        <w:t>42,</w:t>
      </w:r>
      <w:r>
        <w:rPr>
          <w:spacing w:val="-3"/>
        </w:rPr>
        <w:t> </w:t>
      </w:r>
      <w:r>
        <w:rPr/>
        <w:t>par.</w:t>
      </w:r>
      <w:r>
        <w:rPr>
          <w:spacing w:val="-3"/>
        </w:rPr>
        <w:t> </w:t>
      </w:r>
      <w:r>
        <w:rPr/>
        <w:t>1,</w:t>
      </w:r>
      <w:r>
        <w:rPr>
          <w:spacing w:val="-3"/>
        </w:rPr>
        <w:t> </w:t>
      </w:r>
      <w:r>
        <w:rPr/>
        <w:t>del Regolamento</w:t>
      </w:r>
      <w:r>
        <w:rPr>
          <w:spacing w:val="-7"/>
        </w:rPr>
        <w:t> </w:t>
      </w:r>
      <w:r>
        <w:rPr/>
        <w:t>EPPO.</w:t>
      </w:r>
      <w:r>
        <w:rPr>
          <w:spacing w:val="-3"/>
        </w:rPr>
        <w:t> </w:t>
      </w:r>
      <w:r>
        <w:rPr/>
        <w:t>Sono,</w:t>
      </w:r>
      <w:r>
        <w:rPr>
          <w:spacing w:val="-4"/>
        </w:rPr>
        <w:t> </w:t>
      </w:r>
      <w:r>
        <w:rPr/>
        <w:t>pertanto,</w:t>
      </w:r>
      <w:r>
        <w:rPr>
          <w:spacing w:val="-3"/>
        </w:rPr>
        <w:t> </w:t>
      </w:r>
      <w:r>
        <w:rPr/>
        <w:t>soggetti</w:t>
      </w:r>
      <w:r>
        <w:rPr>
          <w:spacing w:val="-7"/>
        </w:rPr>
        <w:t> </w:t>
      </w:r>
      <w:r>
        <w:rPr/>
        <w:t>al controllo delle giurisdizioni penali nazionali quegli atti procedurali dispo- sti dai</w:t>
      </w:r>
      <w:r>
        <w:rPr>
          <w:spacing w:val="-3"/>
        </w:rPr>
        <w:t> </w:t>
      </w:r>
      <w:r>
        <w:rPr/>
        <w:t>procuratori</w:t>
      </w:r>
      <w:r>
        <w:rPr>
          <w:spacing w:val="-3"/>
        </w:rPr>
        <w:t> </w:t>
      </w:r>
      <w:r>
        <w:rPr/>
        <w:t>europei delegati che si</w:t>
      </w:r>
      <w:r>
        <w:rPr>
          <w:spacing w:val="-7"/>
        </w:rPr>
        <w:t> </w:t>
      </w:r>
      <w:r>
        <w:rPr/>
        <w:t>presentano</w:t>
      </w:r>
      <w:r>
        <w:rPr>
          <w:spacing w:val="-5"/>
        </w:rPr>
        <w:t> </w:t>
      </w:r>
      <w:r>
        <w:rPr/>
        <w:t>idonei «a</w:t>
      </w:r>
      <w:r>
        <w:rPr>
          <w:spacing w:val="-3"/>
        </w:rPr>
        <w:t> </w:t>
      </w:r>
      <w:r>
        <w:rPr/>
        <w:t>produrre</w:t>
      </w:r>
      <w:r>
        <w:rPr>
          <w:spacing w:val="-3"/>
        </w:rPr>
        <w:t> </w:t>
      </w:r>
      <w:r>
        <w:rPr/>
        <w:t>ef- fetti giuridici vincolanti tali da incidere sugli interessi di terzi, modifican- do in misura rilevante la loro situazione giuridica» nell’ambito di un pro- cedimento</w:t>
      </w:r>
      <w:r>
        <w:rPr>
          <w:spacing w:val="-2"/>
        </w:rPr>
        <w:t> </w:t>
      </w:r>
      <w:r>
        <w:rPr/>
        <w:t>penale</w:t>
      </w:r>
      <w:hyperlink w:history="true" w:anchor="_bookmark21">
        <w:r>
          <w:rPr>
            <w:position w:val="7"/>
            <w:sz w:val="13"/>
          </w:rPr>
          <w:t>22</w:t>
        </w:r>
      </w:hyperlink>
      <w:r>
        <w:rPr/>
        <w:t>.</w:t>
      </w:r>
      <w:r>
        <w:rPr>
          <w:spacing w:val="-2"/>
        </w:rPr>
        <w:t> </w:t>
      </w:r>
      <w:r>
        <w:rPr/>
        <w:t>Quanto</w:t>
      </w:r>
      <w:r>
        <w:rPr>
          <w:spacing w:val="-2"/>
        </w:rPr>
        <w:t> </w:t>
      </w:r>
      <w:r>
        <w:rPr/>
        <w:t>all’identificazione dei</w:t>
      </w:r>
      <w:r>
        <w:rPr>
          <w:spacing w:val="-1"/>
        </w:rPr>
        <w:t> </w:t>
      </w:r>
      <w:r>
        <w:rPr/>
        <w:t>suddetti</w:t>
      </w:r>
      <w:r>
        <w:rPr>
          <w:spacing w:val="-1"/>
        </w:rPr>
        <w:t> </w:t>
      </w:r>
      <w:r>
        <w:rPr/>
        <w:t>soggetti «terzi» i cui interessi potrebbero essere lesi da una misura investigativa della Pro- cura</w:t>
      </w:r>
      <w:r>
        <w:rPr>
          <w:spacing w:val="29"/>
        </w:rPr>
        <w:t> </w:t>
      </w:r>
      <w:r>
        <w:rPr/>
        <w:t>europea,</w:t>
      </w:r>
      <w:r>
        <w:rPr>
          <w:spacing w:val="31"/>
        </w:rPr>
        <w:t> </w:t>
      </w:r>
      <w:r>
        <w:rPr/>
        <w:t>la</w:t>
      </w:r>
      <w:r>
        <w:rPr>
          <w:spacing w:val="31"/>
        </w:rPr>
        <w:t> </w:t>
      </w:r>
      <w:r>
        <w:rPr/>
        <w:t>Corte</w:t>
      </w:r>
      <w:r>
        <w:rPr>
          <w:spacing w:val="32"/>
        </w:rPr>
        <w:t> </w:t>
      </w:r>
      <w:r>
        <w:rPr/>
        <w:t>di</w:t>
      </w:r>
      <w:r>
        <w:rPr>
          <w:spacing w:val="31"/>
        </w:rPr>
        <w:t> </w:t>
      </w:r>
      <w:r>
        <w:rPr/>
        <w:t>giustizia</w:t>
      </w:r>
      <w:r>
        <w:rPr>
          <w:spacing w:val="32"/>
        </w:rPr>
        <w:t> </w:t>
      </w:r>
      <w:r>
        <w:rPr/>
        <w:t>si</w:t>
      </w:r>
      <w:r>
        <w:rPr>
          <w:spacing w:val="31"/>
        </w:rPr>
        <w:t> </w:t>
      </w:r>
      <w:r>
        <w:rPr/>
        <w:t>riferisce</w:t>
      </w:r>
      <w:r>
        <w:rPr>
          <w:spacing w:val="32"/>
        </w:rPr>
        <w:t> </w:t>
      </w:r>
      <w:r>
        <w:rPr/>
        <w:t>al</w:t>
      </w:r>
      <w:r>
        <w:rPr>
          <w:spacing w:val="41"/>
        </w:rPr>
        <w:t> </w:t>
      </w:r>
      <w:r>
        <w:rPr>
          <w:i/>
        </w:rPr>
        <w:t>considerando</w:t>
      </w:r>
      <w:r>
        <w:rPr>
          <w:i/>
          <w:spacing w:val="32"/>
        </w:rPr>
        <w:t> </w:t>
      </w:r>
      <w:r>
        <w:rPr/>
        <w:t>n.</w:t>
      </w:r>
      <w:r>
        <w:rPr>
          <w:spacing w:val="32"/>
        </w:rPr>
        <w:t> </w:t>
      </w:r>
      <w:r>
        <w:rPr/>
        <w:t>87</w:t>
      </w:r>
      <w:r>
        <w:rPr>
          <w:spacing w:val="31"/>
        </w:rPr>
        <w:t> </w:t>
      </w:r>
      <w:r>
        <w:rPr>
          <w:spacing w:val="-5"/>
        </w:rPr>
        <w:t>del</w:t>
      </w:r>
    </w:p>
    <w:p>
      <w:pPr>
        <w:pStyle w:val="BodyText"/>
      </w:pPr>
    </w:p>
    <w:p>
      <w:pPr>
        <w:pStyle w:val="BodyText"/>
        <w:spacing w:before="18"/>
      </w:pPr>
    </w:p>
    <w:p>
      <w:pPr>
        <w:spacing w:before="0"/>
        <w:ind w:left="956" w:right="0" w:firstLine="0"/>
        <w:jc w:val="left"/>
        <w:rPr>
          <w:sz w:val="19"/>
        </w:rPr>
      </w:pPr>
      <w:bookmarkStart w:name="_bookmark19" w:id="20"/>
      <w:bookmarkEnd w:id="20"/>
      <w:r>
        <w:rPr/>
      </w:r>
      <w:r>
        <w:rPr>
          <w:sz w:val="19"/>
          <w:vertAlign w:val="superscript"/>
        </w:rPr>
        <w:t>20</w:t>
      </w:r>
      <w:r>
        <w:rPr>
          <w:spacing w:val="2"/>
          <w:sz w:val="19"/>
          <w:vertAlign w:val="baseline"/>
        </w:rPr>
        <w:t> </w:t>
      </w:r>
      <w:r>
        <w:rPr>
          <w:sz w:val="19"/>
          <w:vertAlign w:val="baseline"/>
        </w:rPr>
        <w:t>Sentenza in causa n.</w:t>
      </w:r>
      <w:r>
        <w:rPr>
          <w:spacing w:val="1"/>
          <w:sz w:val="19"/>
          <w:vertAlign w:val="baseline"/>
        </w:rPr>
        <w:t> </w:t>
      </w:r>
      <w:r>
        <w:rPr>
          <w:sz w:val="19"/>
          <w:vertAlign w:val="baseline"/>
        </w:rPr>
        <w:t>C-292/23,</w:t>
      </w:r>
      <w:r>
        <w:rPr>
          <w:spacing w:val="1"/>
          <w:sz w:val="19"/>
          <w:vertAlign w:val="baseline"/>
        </w:rPr>
        <w:t> </w:t>
      </w:r>
      <w:r>
        <w:rPr>
          <w:i/>
          <w:sz w:val="19"/>
          <w:vertAlign w:val="baseline"/>
        </w:rPr>
        <w:t>I.R.O.</w:t>
      </w:r>
      <w:r>
        <w:rPr>
          <w:i/>
          <w:spacing w:val="1"/>
          <w:sz w:val="19"/>
          <w:vertAlign w:val="baseline"/>
        </w:rPr>
        <w:t> </w:t>
      </w:r>
      <w:r>
        <w:rPr>
          <w:sz w:val="19"/>
          <w:vertAlign w:val="baseline"/>
        </w:rPr>
        <w:t>in</w:t>
      </w:r>
      <w:r>
        <w:rPr>
          <w:spacing w:val="1"/>
          <w:sz w:val="19"/>
          <w:vertAlign w:val="baseline"/>
        </w:rPr>
        <w:t> </w:t>
      </w:r>
      <w:r>
        <w:rPr>
          <w:sz w:val="19"/>
          <w:vertAlign w:val="baseline"/>
        </w:rPr>
        <w:t>commento,</w:t>
      </w:r>
      <w:r>
        <w:rPr>
          <w:spacing w:val="-4"/>
          <w:sz w:val="19"/>
          <w:vertAlign w:val="baseline"/>
        </w:rPr>
        <w:t> </w:t>
      </w:r>
      <w:r>
        <w:rPr>
          <w:sz w:val="19"/>
          <w:vertAlign w:val="baseline"/>
        </w:rPr>
        <w:t>punti da</w:t>
      </w:r>
      <w:r>
        <w:rPr>
          <w:spacing w:val="-1"/>
          <w:sz w:val="19"/>
          <w:vertAlign w:val="baseline"/>
        </w:rPr>
        <w:t> </w:t>
      </w:r>
      <w:r>
        <w:rPr>
          <w:sz w:val="19"/>
          <w:vertAlign w:val="baseline"/>
        </w:rPr>
        <w:t>53</w:t>
      </w:r>
      <w:r>
        <w:rPr>
          <w:spacing w:val="1"/>
          <w:sz w:val="19"/>
          <w:vertAlign w:val="baseline"/>
        </w:rPr>
        <w:t> </w:t>
      </w:r>
      <w:r>
        <w:rPr>
          <w:sz w:val="19"/>
          <w:vertAlign w:val="baseline"/>
        </w:rPr>
        <w:t>a</w:t>
      </w:r>
      <w:r>
        <w:rPr>
          <w:spacing w:val="-5"/>
          <w:sz w:val="19"/>
          <w:vertAlign w:val="baseline"/>
        </w:rPr>
        <w:t> 58.</w:t>
      </w:r>
    </w:p>
    <w:p>
      <w:pPr>
        <w:spacing w:before="10"/>
        <w:ind w:left="956" w:right="0" w:firstLine="0"/>
        <w:jc w:val="left"/>
        <w:rPr>
          <w:sz w:val="19"/>
        </w:rPr>
      </w:pPr>
      <w:bookmarkStart w:name="_bookmark20" w:id="21"/>
      <w:bookmarkEnd w:id="21"/>
      <w:r>
        <w:rPr/>
      </w:r>
      <w:r>
        <w:rPr>
          <w:sz w:val="19"/>
          <w:vertAlign w:val="superscript"/>
        </w:rPr>
        <w:t>21</w:t>
      </w:r>
      <w:r>
        <w:rPr>
          <w:spacing w:val="7"/>
          <w:sz w:val="19"/>
          <w:vertAlign w:val="baseline"/>
        </w:rPr>
        <w:t> </w:t>
      </w:r>
      <w:r>
        <w:rPr>
          <w:i/>
          <w:sz w:val="19"/>
          <w:vertAlign w:val="baseline"/>
        </w:rPr>
        <w:t>Ivi</w:t>
      </w:r>
      <w:r>
        <w:rPr>
          <w:sz w:val="19"/>
          <w:vertAlign w:val="baseline"/>
        </w:rPr>
        <w:t>,</w:t>
      </w:r>
      <w:r>
        <w:rPr>
          <w:spacing w:val="5"/>
          <w:sz w:val="19"/>
          <w:vertAlign w:val="baseline"/>
        </w:rPr>
        <w:t> </w:t>
      </w:r>
      <w:r>
        <w:rPr>
          <w:sz w:val="19"/>
          <w:vertAlign w:val="baseline"/>
        </w:rPr>
        <w:t>punto</w:t>
      </w:r>
      <w:r>
        <w:rPr>
          <w:spacing w:val="6"/>
          <w:sz w:val="19"/>
          <w:vertAlign w:val="baseline"/>
        </w:rPr>
        <w:t> </w:t>
      </w:r>
      <w:r>
        <w:rPr>
          <w:spacing w:val="-5"/>
          <w:sz w:val="19"/>
          <w:vertAlign w:val="baseline"/>
        </w:rPr>
        <w:t>60.</w:t>
      </w:r>
    </w:p>
    <w:p>
      <w:pPr>
        <w:spacing w:before="5"/>
        <w:ind w:left="956" w:right="0" w:firstLine="0"/>
        <w:jc w:val="left"/>
        <w:rPr>
          <w:sz w:val="19"/>
        </w:rPr>
      </w:pPr>
      <w:bookmarkStart w:name="_bookmark21" w:id="22"/>
      <w:bookmarkEnd w:id="22"/>
      <w:r>
        <w:rPr/>
      </w:r>
      <w:r>
        <w:rPr>
          <w:sz w:val="19"/>
          <w:vertAlign w:val="superscript"/>
        </w:rPr>
        <w:t>22</w:t>
      </w:r>
      <w:r>
        <w:rPr>
          <w:spacing w:val="5"/>
          <w:sz w:val="19"/>
          <w:vertAlign w:val="baseline"/>
        </w:rPr>
        <w:t> </w:t>
      </w:r>
      <w:r>
        <w:rPr>
          <w:i/>
          <w:sz w:val="19"/>
          <w:vertAlign w:val="baseline"/>
        </w:rPr>
        <w:t>Ivi</w:t>
      </w:r>
      <w:r>
        <w:rPr>
          <w:sz w:val="19"/>
          <w:vertAlign w:val="baseline"/>
        </w:rPr>
        <w:t>,</w:t>
      </w:r>
      <w:r>
        <w:rPr>
          <w:spacing w:val="4"/>
          <w:sz w:val="19"/>
          <w:vertAlign w:val="baseline"/>
        </w:rPr>
        <w:t> </w:t>
      </w:r>
      <w:r>
        <w:rPr>
          <w:sz w:val="19"/>
          <w:vertAlign w:val="baseline"/>
        </w:rPr>
        <w:t>punti</w:t>
      </w:r>
      <w:r>
        <w:rPr>
          <w:spacing w:val="3"/>
          <w:sz w:val="19"/>
          <w:vertAlign w:val="baseline"/>
        </w:rPr>
        <w:t> </w:t>
      </w:r>
      <w:r>
        <w:rPr>
          <w:sz w:val="19"/>
          <w:vertAlign w:val="baseline"/>
        </w:rPr>
        <w:t>62</w:t>
      </w:r>
      <w:r>
        <w:rPr>
          <w:spacing w:val="4"/>
          <w:sz w:val="19"/>
          <w:vertAlign w:val="baseline"/>
        </w:rPr>
        <w:t> </w:t>
      </w:r>
      <w:r>
        <w:rPr>
          <w:sz w:val="19"/>
          <w:vertAlign w:val="baseline"/>
        </w:rPr>
        <w:t>e</w:t>
      </w:r>
      <w:r>
        <w:rPr>
          <w:spacing w:val="-2"/>
          <w:sz w:val="19"/>
          <w:vertAlign w:val="baseline"/>
        </w:rPr>
        <w:t> </w:t>
      </w:r>
      <w:r>
        <w:rPr>
          <w:spacing w:val="-5"/>
          <w:sz w:val="19"/>
          <w:vertAlign w:val="baseline"/>
        </w:rPr>
        <w:t>63.</w:t>
      </w:r>
    </w:p>
    <w:p>
      <w:pPr>
        <w:spacing w:after="0"/>
        <w:jc w:val="left"/>
        <w:rPr>
          <w:sz w:val="19"/>
        </w:rPr>
        <w:sectPr>
          <w:pgSz w:w="11910" w:h="16840"/>
          <w:pgMar w:header="2182" w:footer="0" w:top="2480" w:bottom="280" w:left="1680" w:right="1680"/>
        </w:sectPr>
      </w:pPr>
    </w:p>
    <w:p>
      <w:pPr>
        <w:pStyle w:val="BodyText"/>
      </w:pPr>
    </w:p>
    <w:p>
      <w:pPr>
        <w:pStyle w:val="BodyText"/>
        <w:spacing w:before="3"/>
      </w:pPr>
    </w:p>
    <w:p>
      <w:pPr>
        <w:pStyle w:val="BodyText"/>
        <w:spacing w:line="270" w:lineRule="exact"/>
        <w:ind w:left="673"/>
        <w:jc w:val="both"/>
      </w:pPr>
      <w:r>
        <w:rPr/>
        <w:t>Regolamento</w:t>
      </w:r>
      <w:r>
        <w:rPr>
          <w:spacing w:val="5"/>
        </w:rPr>
        <w:t> </w:t>
      </w:r>
      <w:r>
        <w:rPr/>
        <w:t>laddove</w:t>
      </w:r>
      <w:r>
        <w:rPr>
          <w:spacing w:val="4"/>
        </w:rPr>
        <w:t> </w:t>
      </w:r>
      <w:r>
        <w:rPr/>
        <w:t>esso</w:t>
      </w:r>
      <w:r>
        <w:rPr>
          <w:spacing w:val="5"/>
        </w:rPr>
        <w:t> </w:t>
      </w:r>
      <w:r>
        <w:rPr/>
        <w:t>cita</w:t>
      </w:r>
      <w:r>
        <w:rPr>
          <w:spacing w:val="4"/>
        </w:rPr>
        <w:t> </w:t>
      </w:r>
      <w:r>
        <w:rPr/>
        <w:t>espressamente</w:t>
      </w:r>
      <w:r>
        <w:rPr>
          <w:spacing w:val="14"/>
        </w:rPr>
        <w:t> </w:t>
      </w:r>
      <w:r>
        <w:rPr/>
        <w:t>«l’indagato»,</w:t>
      </w:r>
      <w:r>
        <w:rPr>
          <w:spacing w:val="6"/>
        </w:rPr>
        <w:t> </w:t>
      </w:r>
      <w:r>
        <w:rPr/>
        <w:t>«la</w:t>
      </w:r>
      <w:r>
        <w:rPr>
          <w:spacing w:val="7"/>
        </w:rPr>
        <w:t> </w:t>
      </w:r>
      <w:r>
        <w:rPr/>
        <w:t>vittima»</w:t>
      </w:r>
      <w:r>
        <w:rPr>
          <w:spacing w:val="7"/>
        </w:rPr>
        <w:t> </w:t>
      </w:r>
      <w:r>
        <w:rPr>
          <w:spacing w:val="-10"/>
        </w:rPr>
        <w:t>e</w:t>
      </w:r>
    </w:p>
    <w:p>
      <w:pPr>
        <w:pStyle w:val="BodyText"/>
        <w:spacing w:line="262" w:lineRule="exact"/>
        <w:ind w:left="673"/>
        <w:jc w:val="both"/>
      </w:pPr>
      <w:r>
        <w:rPr/>
        <w:t>«altri</w:t>
      </w:r>
      <w:r>
        <w:rPr>
          <w:spacing w:val="-3"/>
        </w:rPr>
        <w:t> </w:t>
      </w:r>
      <w:r>
        <w:rPr/>
        <w:t>terzi</w:t>
      </w:r>
      <w:r>
        <w:rPr>
          <w:spacing w:val="3"/>
        </w:rPr>
        <w:t> </w:t>
      </w:r>
      <w:r>
        <w:rPr>
          <w:spacing w:val="-2"/>
        </w:rPr>
        <w:t>interessati».</w:t>
      </w:r>
    </w:p>
    <w:p>
      <w:pPr>
        <w:pStyle w:val="BodyText"/>
        <w:spacing w:line="228" w:lineRule="auto" w:before="3"/>
        <w:ind w:left="673" w:right="667" w:firstLine="396"/>
        <w:jc w:val="both"/>
      </w:pPr>
      <w:r>
        <w:rPr/>
        <w:t>Sulla base di tali criteri generali interpretativi dell’art. 42, par. 1, la Corte ha ammesso che una citazione a comparire come testimoni, quale quella</w:t>
      </w:r>
      <w:r>
        <w:rPr>
          <w:spacing w:val="-2"/>
        </w:rPr>
        <w:t> </w:t>
      </w:r>
      <w:r>
        <w:rPr/>
        <w:t>oggetto dell’impugnazione di</w:t>
      </w:r>
      <w:r>
        <w:rPr>
          <w:spacing w:val="-2"/>
        </w:rPr>
        <w:t> </w:t>
      </w:r>
      <w:r>
        <w:rPr/>
        <w:t>cui</w:t>
      </w:r>
      <w:r>
        <w:rPr>
          <w:spacing w:val="-2"/>
        </w:rPr>
        <w:t> </w:t>
      </w:r>
      <w:r>
        <w:rPr/>
        <w:t>al</w:t>
      </w:r>
      <w:r>
        <w:rPr>
          <w:spacing w:val="-2"/>
        </w:rPr>
        <w:t> </w:t>
      </w:r>
      <w:r>
        <w:rPr/>
        <w:t>procedimento </w:t>
      </w:r>
      <w:r>
        <w:rPr>
          <w:i/>
        </w:rPr>
        <w:t>a quo,</w:t>
      </w:r>
      <w:r>
        <w:rPr>
          <w:i/>
          <w:spacing w:val="-3"/>
        </w:rPr>
        <w:t> </w:t>
      </w:r>
      <w:r>
        <w:rPr/>
        <w:t>può essere considerata come «produttiva di effetti giuridici vincolanti tali da incidere sugli interessi dell’interessato, modificando in misura rilevante la sua si- tuazione giuridica». Tuttavia, sempre secondo i giudici europei, gli effetti giuridici vincolanti dell’atto d’indagine, quale la citazione a comparire come testimoni di cui al processo </w:t>
      </w:r>
      <w:r>
        <w:rPr>
          <w:i/>
        </w:rPr>
        <w:t>a quo</w:t>
      </w:r>
      <w:r>
        <w:rPr/>
        <w:t>, non possono essere accertati «in modo astratto e generale», ma devono essere valutati in concreto dal giu- dice nazionale sulla base di alcuni criteri interpretativi elaborati dalla Cor- te stessa e precisamente: la posizione del soggetto che contesta l’atto d’in- dagine, il contenuto dell’atto medesimo e il contesto in cui esso è stato adottato</w:t>
      </w:r>
      <w:hyperlink w:history="true" w:anchor="_bookmark22">
        <w:r>
          <w:rPr>
            <w:position w:val="7"/>
            <w:sz w:val="13"/>
          </w:rPr>
          <w:t>23</w:t>
        </w:r>
      </w:hyperlink>
      <w:r>
        <w:rPr/>
        <w:t>. I giudici europei hanno poi richiamato la disposizione dell’art. 41, par. 3, del Regolamento EPPO in forza della quale tutte le persone coinvolte in un’indagine della Procura europea «godono di tutti i diritti procedurali previsti dal diritto nazionale applicabile» per arrivare alla con- clusione che «il perimetro degli atti procedurali che tali persone sono le- gittimate a contestare dinanzi agli organi giurisdizionali nazionali può di conseguenza variare a seconda del diritto nazionale applicabile». Da qui, l’ulteriore</w:t>
      </w:r>
      <w:r>
        <w:rPr>
          <w:spacing w:val="-2"/>
        </w:rPr>
        <w:t> </w:t>
      </w:r>
      <w:r>
        <w:rPr/>
        <w:t>e decisiva</w:t>
      </w:r>
      <w:r>
        <w:rPr>
          <w:spacing w:val="-2"/>
        </w:rPr>
        <w:t> </w:t>
      </w:r>
      <w:r>
        <w:rPr/>
        <w:t>conseguenza</w:t>
      </w:r>
      <w:r>
        <w:rPr>
          <w:spacing w:val="-2"/>
        </w:rPr>
        <w:t> </w:t>
      </w:r>
      <w:r>
        <w:rPr/>
        <w:t>che</w:t>
      </w:r>
      <w:r>
        <w:rPr>
          <w:spacing w:val="-2"/>
        </w:rPr>
        <w:t> </w:t>
      </w:r>
      <w:r>
        <w:rPr/>
        <w:t>non</w:t>
      </w:r>
      <w:r>
        <w:rPr>
          <w:spacing w:val="-4"/>
        </w:rPr>
        <w:t> </w:t>
      </w:r>
      <w:r>
        <w:rPr/>
        <w:t>spetta alla</w:t>
      </w:r>
      <w:r>
        <w:rPr>
          <w:spacing w:val="-2"/>
        </w:rPr>
        <w:t> </w:t>
      </w:r>
      <w:r>
        <w:rPr/>
        <w:t>Corte di</w:t>
      </w:r>
      <w:r>
        <w:rPr>
          <w:spacing w:val="-2"/>
        </w:rPr>
        <w:t> </w:t>
      </w:r>
      <w:r>
        <w:rPr/>
        <w:t>giustizia va- lutare in concreto gli effetti sui diritti degli imputati di una decisione di un procuratore europeo delegato (PED) di citare a comparire dei testimoni, dato che gli organi giurisdizionali nazionali competenti per effettuare i controlli sugli atti procedurali dei PED operanti in quel medesimo Stato membro «sono i più idonei» ad effettuare la valutazione dell’esistenza o meno di effetti giuridici vincolanti di una data categoria di atti d’indagine nei confronti dei medesimi imputati</w:t>
      </w:r>
      <w:hyperlink w:history="true" w:anchor="_bookmark23">
        <w:r>
          <w:rPr>
            <w:position w:val="7"/>
            <w:sz w:val="13"/>
          </w:rPr>
          <w:t>24</w:t>
        </w:r>
      </w:hyperlink>
      <w:r>
        <w:rPr/>
        <w:t>.</w:t>
      </w:r>
    </w:p>
    <w:p>
      <w:pPr>
        <w:pStyle w:val="BodyText"/>
        <w:spacing w:before="41"/>
      </w:pPr>
    </w:p>
    <w:p>
      <w:pPr>
        <w:pStyle w:val="ListParagraph"/>
        <w:numPr>
          <w:ilvl w:val="1"/>
          <w:numId w:val="1"/>
        </w:numPr>
        <w:tabs>
          <w:tab w:pos="1068" w:val="left" w:leader="none"/>
        </w:tabs>
        <w:spacing w:line="230" w:lineRule="auto" w:before="0" w:after="0"/>
        <w:ind w:left="1068" w:right="673" w:hanging="396"/>
        <w:jc w:val="left"/>
        <w:rPr>
          <w:i/>
          <w:sz w:val="24"/>
        </w:rPr>
      </w:pPr>
      <w:r>
        <w:rPr>
          <w:i/>
          <w:sz w:val="24"/>
        </w:rPr>
        <w:t>Il controllo giurisdizionale sugli «atti procedurali» della Procura eu-</w:t>
      </w:r>
      <w:r>
        <w:rPr>
          <w:i/>
          <w:sz w:val="24"/>
        </w:rPr>
        <w:t> </w:t>
      </w:r>
      <w:r>
        <w:rPr>
          <w:i/>
          <w:spacing w:val="-2"/>
          <w:sz w:val="24"/>
        </w:rPr>
        <w:t>ropea</w:t>
      </w:r>
    </w:p>
    <w:p>
      <w:pPr>
        <w:pStyle w:val="BodyText"/>
        <w:spacing w:before="40"/>
        <w:rPr>
          <w:i/>
        </w:rPr>
      </w:pPr>
    </w:p>
    <w:p>
      <w:pPr>
        <w:pStyle w:val="BodyText"/>
        <w:spacing w:line="228" w:lineRule="auto"/>
        <w:ind w:left="673" w:right="667" w:firstLine="396"/>
        <w:jc w:val="both"/>
      </w:pPr>
      <w:r>
        <w:rPr/>
        <w:t>I</w:t>
      </w:r>
      <w:r>
        <w:rPr>
          <w:spacing w:val="-2"/>
        </w:rPr>
        <w:t> </w:t>
      </w:r>
      <w:r>
        <w:rPr/>
        <w:t>giudici</w:t>
      </w:r>
      <w:r>
        <w:rPr>
          <w:spacing w:val="-1"/>
        </w:rPr>
        <w:t> </w:t>
      </w:r>
      <w:r>
        <w:rPr/>
        <w:t>europei</w:t>
      </w:r>
      <w:r>
        <w:rPr>
          <w:spacing w:val="-1"/>
        </w:rPr>
        <w:t> </w:t>
      </w:r>
      <w:r>
        <w:rPr/>
        <w:t>hanno</w:t>
      </w:r>
      <w:r>
        <w:rPr>
          <w:spacing w:val="-2"/>
        </w:rPr>
        <w:t> </w:t>
      </w:r>
      <w:r>
        <w:rPr/>
        <w:t>poi</w:t>
      </w:r>
      <w:r>
        <w:rPr>
          <w:spacing w:val="-1"/>
        </w:rPr>
        <w:t> </w:t>
      </w:r>
      <w:r>
        <w:rPr/>
        <w:t>proceduto</w:t>
      </w:r>
      <w:r>
        <w:rPr>
          <w:spacing w:val="-2"/>
        </w:rPr>
        <w:t> </w:t>
      </w:r>
      <w:r>
        <w:rPr/>
        <w:t>all’analisi</w:t>
      </w:r>
      <w:r>
        <w:rPr>
          <w:spacing w:val="-1"/>
        </w:rPr>
        <w:t> </w:t>
      </w:r>
      <w:r>
        <w:rPr/>
        <w:t>di</w:t>
      </w:r>
      <w:r>
        <w:rPr>
          <w:spacing w:val="-1"/>
        </w:rPr>
        <w:t> </w:t>
      </w:r>
      <w:r>
        <w:rPr/>
        <w:t>un</w:t>
      </w:r>
      <w:r>
        <w:rPr>
          <w:spacing w:val="-2"/>
        </w:rPr>
        <w:t> </w:t>
      </w:r>
      <w:r>
        <w:rPr/>
        <w:t>ulteriore</w:t>
      </w:r>
      <w:r>
        <w:rPr>
          <w:spacing w:val="-1"/>
        </w:rPr>
        <w:t> </w:t>
      </w:r>
      <w:r>
        <w:rPr/>
        <w:t>aspetto inerente</w:t>
      </w:r>
      <w:r>
        <w:rPr>
          <w:spacing w:val="-4"/>
        </w:rPr>
        <w:t> </w:t>
      </w:r>
      <w:r>
        <w:rPr/>
        <w:t>all’interpretazione</w:t>
      </w:r>
      <w:r>
        <w:rPr>
          <w:spacing w:val="-4"/>
        </w:rPr>
        <w:t> </w:t>
      </w:r>
      <w:r>
        <w:rPr/>
        <w:t>dell’art.</w:t>
      </w:r>
      <w:r>
        <w:rPr>
          <w:spacing w:val="-4"/>
        </w:rPr>
        <w:t> </w:t>
      </w:r>
      <w:r>
        <w:rPr/>
        <w:t>42,</w:t>
      </w:r>
      <w:r>
        <w:rPr>
          <w:spacing w:val="-4"/>
        </w:rPr>
        <w:t> </w:t>
      </w:r>
      <w:r>
        <w:rPr/>
        <w:t>par.</w:t>
      </w:r>
      <w:r>
        <w:rPr>
          <w:spacing w:val="-4"/>
        </w:rPr>
        <w:t> </w:t>
      </w:r>
      <w:r>
        <w:rPr/>
        <w:t>1,</w:t>
      </w:r>
      <w:r>
        <w:rPr>
          <w:spacing w:val="-4"/>
        </w:rPr>
        <w:t> </w:t>
      </w:r>
      <w:r>
        <w:rPr/>
        <w:t>del Regolamento</w:t>
      </w:r>
      <w:r>
        <w:rPr>
          <w:spacing w:val="-4"/>
        </w:rPr>
        <w:t> </w:t>
      </w:r>
      <w:r>
        <w:rPr/>
        <w:t>EPPO,</w:t>
      </w:r>
      <w:r>
        <w:rPr>
          <w:spacing w:val="-4"/>
        </w:rPr>
        <w:t> </w:t>
      </w:r>
      <w:r>
        <w:rPr/>
        <w:t>va- le a dire quello relativo al tipo di controllo giurisdizionale richiesto dal- l’art.</w:t>
      </w:r>
      <w:r>
        <w:rPr>
          <w:spacing w:val="13"/>
        </w:rPr>
        <w:t> </w:t>
      </w:r>
      <w:r>
        <w:rPr/>
        <w:t>42</w:t>
      </w:r>
      <w:r>
        <w:rPr>
          <w:spacing w:val="11"/>
        </w:rPr>
        <w:t> </w:t>
      </w:r>
      <w:r>
        <w:rPr/>
        <w:t>sugli</w:t>
      </w:r>
      <w:r>
        <w:rPr>
          <w:spacing w:val="14"/>
        </w:rPr>
        <w:t> </w:t>
      </w:r>
      <w:r>
        <w:rPr/>
        <w:t>«atti</w:t>
      </w:r>
      <w:r>
        <w:rPr>
          <w:spacing w:val="16"/>
        </w:rPr>
        <w:t> </w:t>
      </w:r>
      <w:r>
        <w:rPr/>
        <w:t>procedurali»</w:t>
      </w:r>
      <w:r>
        <w:rPr>
          <w:spacing w:val="12"/>
        </w:rPr>
        <w:t> </w:t>
      </w:r>
      <w:r>
        <w:rPr/>
        <w:t>della</w:t>
      </w:r>
      <w:r>
        <w:rPr>
          <w:spacing w:val="13"/>
        </w:rPr>
        <w:t> </w:t>
      </w:r>
      <w:r>
        <w:rPr/>
        <w:t>Procura</w:t>
      </w:r>
      <w:r>
        <w:rPr>
          <w:spacing w:val="13"/>
        </w:rPr>
        <w:t> </w:t>
      </w:r>
      <w:r>
        <w:rPr/>
        <w:t>europea</w:t>
      </w:r>
      <w:r>
        <w:rPr>
          <w:spacing w:val="13"/>
        </w:rPr>
        <w:t> </w:t>
      </w:r>
      <w:r>
        <w:rPr/>
        <w:t>e</w:t>
      </w:r>
      <w:r>
        <w:rPr>
          <w:spacing w:val="13"/>
        </w:rPr>
        <w:t> </w:t>
      </w:r>
      <w:r>
        <w:rPr/>
        <w:t>più</w:t>
      </w:r>
      <w:r>
        <w:rPr>
          <w:spacing w:val="16"/>
        </w:rPr>
        <w:t> </w:t>
      </w:r>
      <w:r>
        <w:rPr>
          <w:spacing w:val="-2"/>
        </w:rPr>
        <w:t>precisamente</w:t>
      </w:r>
    </w:p>
    <w:p>
      <w:pPr>
        <w:spacing w:before="248"/>
        <w:ind w:left="956" w:right="0" w:firstLine="0"/>
        <w:jc w:val="left"/>
        <w:rPr>
          <w:sz w:val="19"/>
        </w:rPr>
      </w:pPr>
      <w:bookmarkStart w:name="_bookmark22" w:id="23"/>
      <w:bookmarkEnd w:id="23"/>
      <w:r>
        <w:rPr/>
      </w:r>
      <w:r>
        <w:rPr>
          <w:sz w:val="19"/>
          <w:vertAlign w:val="superscript"/>
        </w:rPr>
        <w:t>23</w:t>
      </w:r>
      <w:r>
        <w:rPr>
          <w:spacing w:val="3"/>
          <w:sz w:val="19"/>
          <w:vertAlign w:val="baseline"/>
        </w:rPr>
        <w:t> </w:t>
      </w:r>
      <w:r>
        <w:rPr>
          <w:sz w:val="19"/>
          <w:vertAlign w:val="baseline"/>
        </w:rPr>
        <w:t>Sentenza in</w:t>
      </w:r>
      <w:r>
        <w:rPr>
          <w:spacing w:val="1"/>
          <w:sz w:val="19"/>
          <w:vertAlign w:val="baseline"/>
        </w:rPr>
        <w:t> </w:t>
      </w:r>
      <w:r>
        <w:rPr>
          <w:sz w:val="19"/>
          <w:vertAlign w:val="baseline"/>
        </w:rPr>
        <w:t>causa n.</w:t>
      </w:r>
      <w:r>
        <w:rPr>
          <w:spacing w:val="1"/>
          <w:sz w:val="19"/>
          <w:vertAlign w:val="baseline"/>
        </w:rPr>
        <w:t> </w:t>
      </w:r>
      <w:r>
        <w:rPr>
          <w:sz w:val="19"/>
          <w:vertAlign w:val="baseline"/>
        </w:rPr>
        <w:t>C-292/23,</w:t>
      </w:r>
      <w:r>
        <w:rPr>
          <w:spacing w:val="2"/>
          <w:sz w:val="19"/>
          <w:vertAlign w:val="baseline"/>
        </w:rPr>
        <w:t> </w:t>
      </w:r>
      <w:r>
        <w:rPr>
          <w:i/>
          <w:sz w:val="19"/>
          <w:vertAlign w:val="baseline"/>
        </w:rPr>
        <w:t>I.R.O</w:t>
      </w:r>
      <w:r>
        <w:rPr>
          <w:sz w:val="19"/>
          <w:vertAlign w:val="baseline"/>
        </w:rPr>
        <w:t>.,</w:t>
      </w:r>
      <w:r>
        <w:rPr>
          <w:spacing w:val="1"/>
          <w:sz w:val="19"/>
          <w:vertAlign w:val="baseline"/>
        </w:rPr>
        <w:t> </w:t>
      </w:r>
      <w:r>
        <w:rPr>
          <w:sz w:val="19"/>
          <w:vertAlign w:val="baseline"/>
        </w:rPr>
        <w:t>in</w:t>
      </w:r>
      <w:r>
        <w:rPr>
          <w:spacing w:val="-3"/>
          <w:sz w:val="19"/>
          <w:vertAlign w:val="baseline"/>
        </w:rPr>
        <w:t> </w:t>
      </w:r>
      <w:r>
        <w:rPr>
          <w:sz w:val="19"/>
          <w:vertAlign w:val="baseline"/>
        </w:rPr>
        <w:t>commento,</w:t>
      </w:r>
      <w:r>
        <w:rPr>
          <w:spacing w:val="-3"/>
          <w:sz w:val="19"/>
          <w:vertAlign w:val="baseline"/>
        </w:rPr>
        <w:t> </w:t>
      </w:r>
      <w:r>
        <w:rPr>
          <w:sz w:val="19"/>
          <w:vertAlign w:val="baseline"/>
        </w:rPr>
        <w:t>punti 67,</w:t>
      </w:r>
      <w:r>
        <w:rPr>
          <w:spacing w:val="-3"/>
          <w:sz w:val="19"/>
          <w:vertAlign w:val="baseline"/>
        </w:rPr>
        <w:t> </w:t>
      </w:r>
      <w:r>
        <w:rPr>
          <w:sz w:val="19"/>
          <w:vertAlign w:val="baseline"/>
        </w:rPr>
        <w:t>68</w:t>
      </w:r>
      <w:r>
        <w:rPr>
          <w:spacing w:val="1"/>
          <w:sz w:val="19"/>
          <w:vertAlign w:val="baseline"/>
        </w:rPr>
        <w:t> </w:t>
      </w:r>
      <w:r>
        <w:rPr>
          <w:sz w:val="19"/>
          <w:vertAlign w:val="baseline"/>
        </w:rPr>
        <w:t>e </w:t>
      </w:r>
      <w:r>
        <w:rPr>
          <w:spacing w:val="-5"/>
          <w:sz w:val="19"/>
          <w:vertAlign w:val="baseline"/>
        </w:rPr>
        <w:t>69.</w:t>
      </w:r>
    </w:p>
    <w:p>
      <w:pPr>
        <w:spacing w:line="199" w:lineRule="exact" w:before="5"/>
        <w:ind w:left="956" w:right="0" w:firstLine="0"/>
        <w:jc w:val="left"/>
        <w:rPr>
          <w:sz w:val="19"/>
        </w:rPr>
      </w:pPr>
      <w:bookmarkStart w:name="_bookmark23" w:id="24"/>
      <w:bookmarkEnd w:id="24"/>
      <w:r>
        <w:rPr/>
      </w:r>
      <w:r>
        <w:rPr>
          <w:sz w:val="19"/>
          <w:vertAlign w:val="superscript"/>
        </w:rPr>
        <w:t>24</w:t>
      </w:r>
      <w:r>
        <w:rPr>
          <w:spacing w:val="2"/>
          <w:sz w:val="19"/>
          <w:vertAlign w:val="baseline"/>
        </w:rPr>
        <w:t> </w:t>
      </w:r>
      <w:r>
        <w:rPr>
          <w:i/>
          <w:sz w:val="19"/>
          <w:vertAlign w:val="baseline"/>
        </w:rPr>
        <w:t>Ivi</w:t>
      </w:r>
      <w:r>
        <w:rPr>
          <w:sz w:val="19"/>
          <w:vertAlign w:val="baseline"/>
        </w:rPr>
        <w:t>, punti</w:t>
      </w:r>
      <w:r>
        <w:rPr>
          <w:spacing w:val="-1"/>
          <w:sz w:val="19"/>
          <w:vertAlign w:val="baseline"/>
        </w:rPr>
        <w:t> </w:t>
      </w:r>
      <w:r>
        <w:rPr>
          <w:sz w:val="19"/>
          <w:vertAlign w:val="baseline"/>
        </w:rPr>
        <w:t>72,</w:t>
      </w:r>
      <w:r>
        <w:rPr>
          <w:spacing w:val="-3"/>
          <w:sz w:val="19"/>
          <w:vertAlign w:val="baseline"/>
        </w:rPr>
        <w:t> </w:t>
      </w:r>
      <w:r>
        <w:rPr>
          <w:sz w:val="19"/>
          <w:vertAlign w:val="baseline"/>
        </w:rPr>
        <w:t>73 e</w:t>
      </w:r>
      <w:r>
        <w:rPr>
          <w:spacing w:val="-1"/>
          <w:sz w:val="19"/>
          <w:vertAlign w:val="baseline"/>
        </w:rPr>
        <w:t> </w:t>
      </w:r>
      <w:r>
        <w:rPr>
          <w:sz w:val="19"/>
          <w:vertAlign w:val="baseline"/>
        </w:rPr>
        <w:t>75,</w:t>
      </w:r>
      <w:r>
        <w:rPr>
          <w:spacing w:val="1"/>
          <w:sz w:val="19"/>
          <w:vertAlign w:val="baseline"/>
        </w:rPr>
        <w:t> </w:t>
      </w:r>
      <w:r>
        <w:rPr>
          <w:sz w:val="19"/>
          <w:vertAlign w:val="baseline"/>
        </w:rPr>
        <w:t>che</w:t>
      </w:r>
      <w:r>
        <w:rPr>
          <w:spacing w:val="-1"/>
          <w:sz w:val="19"/>
          <w:vertAlign w:val="baseline"/>
        </w:rPr>
        <w:t> </w:t>
      </w:r>
      <w:r>
        <w:rPr>
          <w:sz w:val="19"/>
          <w:vertAlign w:val="baseline"/>
        </w:rPr>
        <w:t>riprendono integralmente</w:t>
      </w:r>
      <w:r>
        <w:rPr>
          <w:spacing w:val="-1"/>
          <w:sz w:val="19"/>
          <w:vertAlign w:val="baseline"/>
        </w:rPr>
        <w:t> </w:t>
      </w:r>
      <w:r>
        <w:rPr>
          <w:sz w:val="19"/>
          <w:vertAlign w:val="baseline"/>
        </w:rPr>
        <w:t>i</w:t>
      </w:r>
      <w:r>
        <w:rPr>
          <w:spacing w:val="-4"/>
          <w:sz w:val="19"/>
          <w:vertAlign w:val="baseline"/>
        </w:rPr>
        <w:t> </w:t>
      </w:r>
      <w:r>
        <w:rPr>
          <w:sz w:val="19"/>
          <w:vertAlign w:val="baseline"/>
        </w:rPr>
        <w:t>punti</w:t>
      </w:r>
      <w:r>
        <w:rPr>
          <w:spacing w:val="-1"/>
          <w:sz w:val="19"/>
          <w:vertAlign w:val="baseline"/>
        </w:rPr>
        <w:t> </w:t>
      </w:r>
      <w:r>
        <w:rPr>
          <w:sz w:val="19"/>
          <w:vertAlign w:val="baseline"/>
        </w:rPr>
        <w:t>51 e 52 delle</w:t>
      </w:r>
      <w:r>
        <w:rPr>
          <w:spacing w:val="-1"/>
          <w:sz w:val="19"/>
          <w:vertAlign w:val="baseline"/>
        </w:rPr>
        <w:t> </w:t>
      </w:r>
      <w:r>
        <w:rPr>
          <w:sz w:val="19"/>
          <w:vertAlign w:val="baseline"/>
        </w:rPr>
        <w:t>conclusioni </w:t>
      </w:r>
      <w:r>
        <w:rPr>
          <w:spacing w:val="-4"/>
          <w:sz w:val="19"/>
          <w:vertAlign w:val="baseline"/>
        </w:rPr>
        <w:t>del-</w:t>
      </w:r>
    </w:p>
    <w:p>
      <w:pPr>
        <w:spacing w:line="199" w:lineRule="exact" w:before="0"/>
        <w:ind w:left="673" w:right="0" w:firstLine="0"/>
        <w:jc w:val="left"/>
        <w:rPr>
          <w:sz w:val="19"/>
        </w:rPr>
      </w:pPr>
      <w:r>
        <w:rPr>
          <w:sz w:val="19"/>
        </w:rPr>
        <w:t>l’Avvocato Generale</w:t>
      </w:r>
      <w:r>
        <w:rPr>
          <w:spacing w:val="-5"/>
          <w:sz w:val="19"/>
        </w:rPr>
        <w:t> </w:t>
      </w:r>
      <w:r>
        <w:rPr>
          <w:sz w:val="19"/>
        </w:rPr>
        <w:t>A. </w:t>
      </w:r>
      <w:r>
        <w:rPr>
          <w:spacing w:val="-2"/>
          <w:sz w:val="19"/>
        </w:rPr>
        <w:t>Collins.</w:t>
      </w:r>
    </w:p>
    <w:p>
      <w:pPr>
        <w:spacing w:after="0" w:line="199" w:lineRule="exact"/>
        <w:jc w:val="left"/>
        <w:rPr>
          <w:sz w:val="19"/>
        </w:rPr>
        <w:sectPr>
          <w:pgSz w:w="11910" w:h="16840"/>
          <w:pgMar w:header="2182" w:footer="0" w:top="2480" w:bottom="280" w:left="1680" w:right="1680"/>
        </w:sectPr>
      </w:pPr>
    </w:p>
    <w:p>
      <w:pPr>
        <w:pStyle w:val="BodyText"/>
      </w:pPr>
    </w:p>
    <w:p>
      <w:pPr>
        <w:pStyle w:val="BodyText"/>
        <w:spacing w:before="14"/>
      </w:pPr>
    </w:p>
    <w:p>
      <w:pPr>
        <w:pStyle w:val="BodyText"/>
        <w:spacing w:line="228" w:lineRule="auto"/>
        <w:ind w:left="673" w:right="667"/>
        <w:jc w:val="both"/>
      </w:pPr>
      <w:r>
        <w:rPr/>
        <w:t>se tale controllo debba necessariamente ed in ogni caso essere effettuato nell’ambito di un ricorso diretto contro l’atto d’indagine disposto da un procuratore europeo delegato. Al riguardo la sentenza in esame rileva </w:t>
      </w:r>
      <w:r>
        <w:rPr>
          <w:i/>
        </w:rPr>
        <w:t>in</w:t>
      </w:r>
      <w:r>
        <w:rPr>
          <w:i/>
        </w:rPr>
        <w:t> limine </w:t>
      </w:r>
      <w:r>
        <w:rPr/>
        <w:t>che il testo stesso dell’art. 42, par. 1 del Regolamento EPPO «non precisa se gli Stati membri debbano prevedere un rimedio giurisdizionale specifico che consenta l’impugnazione diretta di un atto procedurale della Procura</w:t>
      </w:r>
      <w:r>
        <w:rPr>
          <w:spacing w:val="-1"/>
        </w:rPr>
        <w:t> </w:t>
      </w:r>
      <w:r>
        <w:rPr/>
        <w:t>europea»</w:t>
      </w:r>
      <w:hyperlink w:history="true" w:anchor="_bookmark24">
        <w:r>
          <w:rPr>
            <w:position w:val="7"/>
            <w:sz w:val="13"/>
          </w:rPr>
          <w:t>25</w:t>
        </w:r>
      </w:hyperlink>
      <w:r>
        <w:rPr/>
        <w:t>.</w:t>
      </w:r>
      <w:r>
        <w:rPr>
          <w:spacing w:val="-2"/>
        </w:rPr>
        <w:t> </w:t>
      </w:r>
      <w:r>
        <w:rPr/>
        <w:t>L’esplicito</w:t>
      </w:r>
      <w:r>
        <w:rPr>
          <w:spacing w:val="-2"/>
        </w:rPr>
        <w:t> </w:t>
      </w:r>
      <w:r>
        <w:rPr/>
        <w:t>rinvio</w:t>
      </w:r>
      <w:r>
        <w:rPr>
          <w:spacing w:val="-2"/>
        </w:rPr>
        <w:t> </w:t>
      </w:r>
      <w:r>
        <w:rPr/>
        <w:t>contenuto</w:t>
      </w:r>
      <w:r>
        <w:rPr>
          <w:spacing w:val="-2"/>
        </w:rPr>
        <w:t> </w:t>
      </w:r>
      <w:r>
        <w:rPr/>
        <w:t>nello</w:t>
      </w:r>
      <w:r>
        <w:rPr>
          <w:spacing w:val="-2"/>
        </w:rPr>
        <w:t> </w:t>
      </w:r>
      <w:r>
        <w:rPr/>
        <w:t>stesso</w:t>
      </w:r>
      <w:r>
        <w:rPr>
          <w:spacing w:val="-2"/>
        </w:rPr>
        <w:t> </w:t>
      </w:r>
      <w:r>
        <w:rPr/>
        <w:t>art.</w:t>
      </w:r>
      <w:r>
        <w:rPr>
          <w:spacing w:val="-2"/>
        </w:rPr>
        <w:t> </w:t>
      </w:r>
      <w:r>
        <w:rPr/>
        <w:t>42,</w:t>
      </w:r>
      <w:r>
        <w:rPr>
          <w:spacing w:val="-2"/>
        </w:rPr>
        <w:t> </w:t>
      </w:r>
      <w:r>
        <w:rPr/>
        <w:t>par.</w:t>
      </w:r>
      <w:r>
        <w:rPr>
          <w:spacing w:val="-2"/>
        </w:rPr>
        <w:t> </w:t>
      </w:r>
      <w:r>
        <w:rPr/>
        <w:t>1, alle «procedure e ai requisiti stabiliti dal diritto nazionale» consente agli Stati membri, sempre secondo la Corte di giustizia, di prevedere che il controllo giurisdizionale su determinate categorie di atti d’indagine dispo- sti dai PED possa essere effettuato «in via incidentale» da parte del giudi- ce penale dinanzi al quale si svolge il processo di merito e che è pertanto competente per</w:t>
      </w:r>
      <w:r>
        <w:rPr>
          <w:spacing w:val="-1"/>
        </w:rPr>
        <w:t> </w:t>
      </w:r>
      <w:r>
        <w:rPr/>
        <w:t>l’emanazione della sentenza. Tale</w:t>
      </w:r>
      <w:r>
        <w:rPr>
          <w:spacing w:val="-6"/>
        </w:rPr>
        <w:t> </w:t>
      </w:r>
      <w:r>
        <w:rPr/>
        <w:t>facoltà</w:t>
      </w:r>
      <w:r>
        <w:rPr>
          <w:spacing w:val="-3"/>
        </w:rPr>
        <w:t> </w:t>
      </w:r>
      <w:r>
        <w:rPr/>
        <w:t>di</w:t>
      </w:r>
      <w:r>
        <w:rPr>
          <w:spacing w:val="-3"/>
        </w:rPr>
        <w:t> </w:t>
      </w:r>
      <w:r>
        <w:rPr/>
        <w:t>opzione</w:t>
      </w:r>
      <w:r>
        <w:rPr>
          <w:spacing w:val="-3"/>
        </w:rPr>
        <w:t> </w:t>
      </w:r>
      <w:r>
        <w:rPr/>
        <w:t>fra ri- corso</w:t>
      </w:r>
      <w:r>
        <w:rPr>
          <w:spacing w:val="-5"/>
        </w:rPr>
        <w:t> </w:t>
      </w:r>
      <w:r>
        <w:rPr/>
        <w:t>diretto</w:t>
      </w:r>
      <w:r>
        <w:rPr>
          <w:spacing w:val="-8"/>
        </w:rPr>
        <w:t> </w:t>
      </w:r>
      <w:r>
        <w:rPr/>
        <w:t>contro</w:t>
      </w:r>
      <w:r>
        <w:rPr>
          <w:spacing w:val="-8"/>
        </w:rPr>
        <w:t> </w:t>
      </w:r>
      <w:r>
        <w:rPr/>
        <w:t>l’atto</w:t>
      </w:r>
      <w:r>
        <w:rPr>
          <w:spacing w:val="-8"/>
        </w:rPr>
        <w:t> </w:t>
      </w:r>
      <w:r>
        <w:rPr/>
        <w:t>d’indagine</w:t>
      </w:r>
      <w:r>
        <w:rPr>
          <w:spacing w:val="-10"/>
        </w:rPr>
        <w:t> </w:t>
      </w:r>
      <w:r>
        <w:rPr/>
        <w:t>e</w:t>
      </w:r>
      <w:r>
        <w:rPr>
          <w:spacing w:val="-7"/>
        </w:rPr>
        <w:t> </w:t>
      </w:r>
      <w:r>
        <w:rPr/>
        <w:t>controllo</w:t>
      </w:r>
      <w:r>
        <w:rPr>
          <w:spacing w:val="-5"/>
        </w:rPr>
        <w:t> </w:t>
      </w:r>
      <w:r>
        <w:rPr/>
        <w:t>giurisdizionale</w:t>
      </w:r>
      <w:r>
        <w:rPr>
          <w:spacing w:val="-7"/>
        </w:rPr>
        <w:t> </w:t>
      </w:r>
      <w:r>
        <w:rPr/>
        <w:t>incidentale nel corso del giudizio di merito è stata tuttavia subordinata dalla Corte di giustizia</w:t>
      </w:r>
      <w:r>
        <w:rPr>
          <w:spacing w:val="-10"/>
        </w:rPr>
        <w:t> </w:t>
      </w:r>
      <w:r>
        <w:rPr/>
        <w:t>alla</w:t>
      </w:r>
      <w:r>
        <w:rPr>
          <w:spacing w:val="-10"/>
        </w:rPr>
        <w:t> </w:t>
      </w:r>
      <w:r>
        <w:rPr/>
        <w:t>condizione</w:t>
      </w:r>
      <w:r>
        <w:rPr>
          <w:spacing w:val="-10"/>
        </w:rPr>
        <w:t> </w:t>
      </w:r>
      <w:r>
        <w:rPr/>
        <w:t>che</w:t>
      </w:r>
      <w:r>
        <w:rPr>
          <w:spacing w:val="-10"/>
        </w:rPr>
        <w:t> </w:t>
      </w:r>
      <w:r>
        <w:rPr/>
        <w:t>il</w:t>
      </w:r>
      <w:r>
        <w:rPr>
          <w:spacing w:val="-10"/>
        </w:rPr>
        <w:t> </w:t>
      </w:r>
      <w:r>
        <w:rPr/>
        <w:t>giudice</w:t>
      </w:r>
      <w:r>
        <w:rPr>
          <w:spacing w:val="-7"/>
        </w:rPr>
        <w:t> </w:t>
      </w:r>
      <w:r>
        <w:rPr/>
        <w:t>dinanzi</w:t>
      </w:r>
      <w:r>
        <w:rPr>
          <w:spacing w:val="-7"/>
        </w:rPr>
        <w:t> </w:t>
      </w:r>
      <w:r>
        <w:rPr/>
        <w:t>al</w:t>
      </w:r>
      <w:r>
        <w:rPr>
          <w:spacing w:val="-7"/>
        </w:rPr>
        <w:t> </w:t>
      </w:r>
      <w:r>
        <w:rPr/>
        <w:t>quale</w:t>
      </w:r>
      <w:r>
        <w:rPr>
          <w:spacing w:val="-7"/>
        </w:rPr>
        <w:t> </w:t>
      </w:r>
      <w:r>
        <w:rPr/>
        <w:t>si</w:t>
      </w:r>
      <w:r>
        <w:rPr>
          <w:spacing w:val="-7"/>
        </w:rPr>
        <w:t> </w:t>
      </w:r>
      <w:r>
        <w:rPr/>
        <w:t>svolge</w:t>
      </w:r>
      <w:r>
        <w:rPr>
          <w:spacing w:val="-7"/>
        </w:rPr>
        <w:t> </w:t>
      </w:r>
      <w:r>
        <w:rPr/>
        <w:t>il</w:t>
      </w:r>
      <w:r>
        <w:rPr>
          <w:spacing w:val="-7"/>
        </w:rPr>
        <w:t> </w:t>
      </w:r>
      <w:r>
        <w:rPr/>
        <w:t>processo di</w:t>
      </w:r>
      <w:r>
        <w:rPr>
          <w:spacing w:val="-11"/>
        </w:rPr>
        <w:t> </w:t>
      </w:r>
      <w:r>
        <w:rPr/>
        <w:t>merito</w:t>
      </w:r>
      <w:r>
        <w:rPr>
          <w:spacing w:val="-9"/>
        </w:rPr>
        <w:t> </w:t>
      </w:r>
      <w:r>
        <w:rPr/>
        <w:t>disponga</w:t>
      </w:r>
      <w:r>
        <w:rPr>
          <w:spacing w:val="-7"/>
        </w:rPr>
        <w:t> </w:t>
      </w:r>
      <w:r>
        <w:rPr/>
        <w:t>del</w:t>
      </w:r>
      <w:r>
        <w:rPr>
          <w:spacing w:val="-7"/>
        </w:rPr>
        <w:t> </w:t>
      </w:r>
      <w:r>
        <w:rPr/>
        <w:t>potere</w:t>
      </w:r>
      <w:r>
        <w:rPr>
          <w:spacing w:val="-7"/>
        </w:rPr>
        <w:t> </w:t>
      </w:r>
      <w:r>
        <w:rPr/>
        <w:t>di</w:t>
      </w:r>
      <w:r>
        <w:rPr>
          <w:spacing w:val="-5"/>
        </w:rPr>
        <w:t> </w:t>
      </w:r>
      <w:r>
        <w:rPr/>
        <w:t>«verificare</w:t>
      </w:r>
      <w:r>
        <w:rPr>
          <w:spacing w:val="-11"/>
        </w:rPr>
        <w:t> </w:t>
      </w:r>
      <w:r>
        <w:rPr/>
        <w:t>che</w:t>
      </w:r>
      <w:r>
        <w:rPr>
          <w:spacing w:val="-11"/>
        </w:rPr>
        <w:t> </w:t>
      </w:r>
      <w:r>
        <w:rPr/>
        <w:t>le</w:t>
      </w:r>
      <w:r>
        <w:rPr>
          <w:spacing w:val="-7"/>
        </w:rPr>
        <w:t> </w:t>
      </w:r>
      <w:r>
        <w:rPr/>
        <w:t>prove</w:t>
      </w:r>
      <w:r>
        <w:rPr>
          <w:spacing w:val="-7"/>
        </w:rPr>
        <w:t> </w:t>
      </w:r>
      <w:r>
        <w:rPr/>
        <w:t>sulle</w:t>
      </w:r>
      <w:r>
        <w:rPr>
          <w:spacing w:val="-11"/>
        </w:rPr>
        <w:t> </w:t>
      </w:r>
      <w:r>
        <w:rPr/>
        <w:t>quali</w:t>
      </w:r>
      <w:r>
        <w:rPr>
          <w:spacing w:val="-7"/>
        </w:rPr>
        <w:t> </w:t>
      </w:r>
      <w:r>
        <w:rPr/>
        <w:t>si</w:t>
      </w:r>
      <w:r>
        <w:rPr>
          <w:spacing w:val="-8"/>
        </w:rPr>
        <w:t> </w:t>
      </w:r>
      <w:r>
        <w:rPr/>
        <w:t>fonda l’atto</w:t>
      </w:r>
      <w:r>
        <w:rPr>
          <w:spacing w:val="-13"/>
        </w:rPr>
        <w:t> </w:t>
      </w:r>
      <w:r>
        <w:rPr/>
        <w:t>[d’indagine]</w:t>
      </w:r>
      <w:r>
        <w:rPr>
          <w:spacing w:val="-10"/>
        </w:rPr>
        <w:t> </w:t>
      </w:r>
      <w:r>
        <w:rPr/>
        <w:t>in</w:t>
      </w:r>
      <w:r>
        <w:rPr>
          <w:spacing w:val="-10"/>
        </w:rPr>
        <w:t> </w:t>
      </w:r>
      <w:r>
        <w:rPr/>
        <w:t>questione</w:t>
      </w:r>
      <w:r>
        <w:rPr>
          <w:spacing w:val="-9"/>
        </w:rPr>
        <w:t> </w:t>
      </w:r>
      <w:r>
        <w:rPr/>
        <w:t>non</w:t>
      </w:r>
      <w:r>
        <w:rPr>
          <w:spacing w:val="-10"/>
        </w:rPr>
        <w:t> </w:t>
      </w:r>
      <w:r>
        <w:rPr/>
        <w:t>siano</w:t>
      </w:r>
      <w:r>
        <w:rPr>
          <w:spacing w:val="-10"/>
        </w:rPr>
        <w:t> </w:t>
      </w:r>
      <w:r>
        <w:rPr/>
        <w:t>state</w:t>
      </w:r>
      <w:r>
        <w:rPr>
          <w:spacing w:val="-12"/>
        </w:rPr>
        <w:t> </w:t>
      </w:r>
      <w:r>
        <w:rPr/>
        <w:t>ottenute</w:t>
      </w:r>
      <w:r>
        <w:rPr>
          <w:spacing w:val="-9"/>
        </w:rPr>
        <w:t> </w:t>
      </w:r>
      <w:r>
        <w:rPr/>
        <w:t>o</w:t>
      </w:r>
      <w:r>
        <w:rPr>
          <w:spacing w:val="-10"/>
        </w:rPr>
        <w:t> </w:t>
      </w:r>
      <w:r>
        <w:rPr/>
        <w:t>utilizzate</w:t>
      </w:r>
      <w:r>
        <w:rPr>
          <w:spacing w:val="-12"/>
        </w:rPr>
        <w:t> </w:t>
      </w:r>
      <w:r>
        <w:rPr/>
        <w:t>in</w:t>
      </w:r>
      <w:r>
        <w:rPr>
          <w:spacing w:val="-14"/>
        </w:rPr>
        <w:t> </w:t>
      </w:r>
      <w:r>
        <w:rPr/>
        <w:t>viola- zione dei diritti e delle libertà garantiti all’interessato dal diritto del- l’Unione»</w:t>
      </w:r>
      <w:r>
        <w:rPr>
          <w:spacing w:val="-2"/>
        </w:rPr>
        <w:t> </w:t>
      </w:r>
      <w:r>
        <w:rPr/>
        <w:t>ed</w:t>
      </w:r>
      <w:r>
        <w:rPr>
          <w:spacing w:val="-3"/>
        </w:rPr>
        <w:t> </w:t>
      </w:r>
      <w:r>
        <w:rPr/>
        <w:t>in particolare</w:t>
      </w:r>
      <w:r>
        <w:rPr>
          <w:spacing w:val="-1"/>
        </w:rPr>
        <w:t> </w:t>
      </w:r>
      <w:r>
        <w:rPr/>
        <w:t>dagli art.</w:t>
      </w:r>
      <w:r>
        <w:rPr>
          <w:spacing w:val="-3"/>
        </w:rPr>
        <w:t> </w:t>
      </w:r>
      <w:r>
        <w:rPr/>
        <w:t>47 (diritto</w:t>
      </w:r>
      <w:r>
        <w:rPr>
          <w:spacing w:val="-3"/>
        </w:rPr>
        <w:t> </w:t>
      </w:r>
      <w:r>
        <w:rPr/>
        <w:t>ad un</w:t>
      </w:r>
      <w:r>
        <w:rPr>
          <w:spacing w:val="-3"/>
        </w:rPr>
        <w:t> </w:t>
      </w:r>
      <w:r>
        <w:rPr/>
        <w:t>equo processo)</w:t>
      </w:r>
      <w:r>
        <w:rPr>
          <w:spacing w:val="-3"/>
        </w:rPr>
        <w:t> </w:t>
      </w:r>
      <w:r>
        <w:rPr/>
        <w:t>e art. 48</w:t>
      </w:r>
      <w:r>
        <w:rPr>
          <w:spacing w:val="-3"/>
        </w:rPr>
        <w:t> </w:t>
      </w:r>
      <w:r>
        <w:rPr/>
        <w:t>(rispetto</w:t>
      </w:r>
      <w:r>
        <w:rPr>
          <w:spacing w:val="-3"/>
        </w:rPr>
        <w:t> </w:t>
      </w:r>
      <w:r>
        <w:rPr/>
        <w:t>dei</w:t>
      </w:r>
      <w:r>
        <w:rPr>
          <w:spacing w:val="-2"/>
        </w:rPr>
        <w:t> </w:t>
      </w:r>
      <w:r>
        <w:rPr/>
        <w:t>diritti della</w:t>
      </w:r>
      <w:r>
        <w:rPr>
          <w:spacing w:val="-1"/>
        </w:rPr>
        <w:t> </w:t>
      </w:r>
      <w:r>
        <w:rPr/>
        <w:t>difesa)</w:t>
      </w:r>
      <w:r>
        <w:rPr>
          <w:spacing w:val="-2"/>
        </w:rPr>
        <w:t> </w:t>
      </w:r>
      <w:r>
        <w:rPr/>
        <w:t>della</w:t>
      </w:r>
      <w:r>
        <w:rPr>
          <w:spacing w:val="-1"/>
        </w:rPr>
        <w:t> </w:t>
      </w:r>
      <w:r>
        <w:rPr/>
        <w:t>Carta</w:t>
      </w:r>
      <w:r>
        <w:rPr>
          <w:spacing w:val="-1"/>
        </w:rPr>
        <w:t> </w:t>
      </w:r>
      <w:r>
        <w:rPr/>
        <w:t>dei</w:t>
      </w:r>
      <w:r>
        <w:rPr>
          <w:spacing w:val="-2"/>
        </w:rPr>
        <w:t> </w:t>
      </w:r>
      <w:r>
        <w:rPr/>
        <w:t>diritti</w:t>
      </w:r>
      <w:r>
        <w:rPr>
          <w:spacing w:val="-2"/>
        </w:rPr>
        <w:t> </w:t>
      </w:r>
      <w:r>
        <w:rPr/>
        <w:t>fondamentali</w:t>
      </w:r>
      <w:hyperlink w:history="true" w:anchor="_bookmark25">
        <w:r>
          <w:rPr>
            <w:position w:val="7"/>
            <w:sz w:val="13"/>
          </w:rPr>
          <w:t>26</w:t>
        </w:r>
      </w:hyperlink>
      <w:r>
        <w:rPr/>
        <w:t>.</w:t>
      </w:r>
    </w:p>
    <w:p>
      <w:pPr>
        <w:pStyle w:val="BodyText"/>
        <w:spacing w:before="146"/>
      </w:pPr>
    </w:p>
    <w:p>
      <w:pPr>
        <w:pStyle w:val="ListParagraph"/>
        <w:numPr>
          <w:ilvl w:val="1"/>
          <w:numId w:val="1"/>
        </w:numPr>
        <w:tabs>
          <w:tab w:pos="1068" w:val="left" w:leader="none"/>
        </w:tabs>
        <w:spacing w:line="230" w:lineRule="auto" w:before="0" w:after="0"/>
        <w:ind w:left="1068" w:right="672" w:hanging="396"/>
        <w:jc w:val="left"/>
        <w:rPr>
          <w:i/>
          <w:sz w:val="24"/>
        </w:rPr>
      </w:pPr>
      <w:r>
        <w:rPr>
          <w:i/>
          <w:sz w:val="24"/>
        </w:rPr>
        <w:t>Violazione</w:t>
      </w:r>
      <w:r>
        <w:rPr>
          <w:i/>
          <w:spacing w:val="37"/>
          <w:sz w:val="24"/>
        </w:rPr>
        <w:t> </w:t>
      </w:r>
      <w:r>
        <w:rPr>
          <w:i/>
          <w:sz w:val="24"/>
        </w:rPr>
        <w:t>del</w:t>
      </w:r>
      <w:r>
        <w:rPr>
          <w:i/>
          <w:spacing w:val="39"/>
          <w:sz w:val="24"/>
        </w:rPr>
        <w:t> </w:t>
      </w:r>
      <w:r>
        <w:rPr>
          <w:i/>
          <w:sz w:val="24"/>
        </w:rPr>
        <w:t>«principio</w:t>
      </w:r>
      <w:r>
        <w:rPr>
          <w:i/>
          <w:spacing w:val="35"/>
          <w:sz w:val="24"/>
        </w:rPr>
        <w:t> </w:t>
      </w:r>
      <w:r>
        <w:rPr>
          <w:i/>
          <w:sz w:val="24"/>
        </w:rPr>
        <w:t>di</w:t>
      </w:r>
      <w:r>
        <w:rPr>
          <w:i/>
          <w:spacing w:val="36"/>
          <w:sz w:val="24"/>
        </w:rPr>
        <w:t> </w:t>
      </w:r>
      <w:r>
        <w:rPr>
          <w:i/>
          <w:sz w:val="24"/>
        </w:rPr>
        <w:t>equivalenza»</w:t>
      </w:r>
      <w:r>
        <w:rPr>
          <w:i/>
          <w:spacing w:val="36"/>
          <w:sz w:val="24"/>
        </w:rPr>
        <w:t> </w:t>
      </w:r>
      <w:r>
        <w:rPr>
          <w:i/>
          <w:sz w:val="24"/>
        </w:rPr>
        <w:t>dei</w:t>
      </w:r>
      <w:r>
        <w:rPr>
          <w:i/>
          <w:spacing w:val="36"/>
          <w:sz w:val="24"/>
        </w:rPr>
        <w:t> </w:t>
      </w:r>
      <w:r>
        <w:rPr>
          <w:i/>
          <w:sz w:val="24"/>
        </w:rPr>
        <w:t>rimedi</w:t>
      </w:r>
      <w:r>
        <w:rPr>
          <w:i/>
          <w:spacing w:val="36"/>
          <w:sz w:val="24"/>
        </w:rPr>
        <w:t> </w:t>
      </w:r>
      <w:r>
        <w:rPr>
          <w:i/>
          <w:sz w:val="24"/>
        </w:rPr>
        <w:t>giurisdizionali</w:t>
      </w:r>
      <w:r>
        <w:rPr>
          <w:i/>
          <w:sz w:val="24"/>
        </w:rPr>
        <w:t> da parte della legislazione spagnola</w:t>
      </w:r>
    </w:p>
    <w:p>
      <w:pPr>
        <w:pStyle w:val="BodyText"/>
        <w:spacing w:line="223" w:lineRule="auto" w:before="257"/>
        <w:ind w:left="673" w:right="668" w:firstLine="396"/>
        <w:jc w:val="both"/>
      </w:pPr>
      <w:r>
        <w:rPr/>
        <w:t>Allo scopo di rispondere compiutamente ai quesiti posti dal giudice istruttore centrale di Madrid alla Corte di giustizia restava, da ultimo, da esaminare la conformità con il diritto dell’Unione dell’anomala situazione determinata, secondo la descrizione del diritto nazionale applicabile con- tenuta</w:t>
      </w:r>
      <w:r>
        <w:rPr>
          <w:spacing w:val="23"/>
        </w:rPr>
        <w:t> </w:t>
      </w:r>
      <w:r>
        <w:rPr/>
        <w:t>nell’ordinanza</w:t>
      </w:r>
      <w:r>
        <w:rPr>
          <w:spacing w:val="24"/>
        </w:rPr>
        <w:t> </w:t>
      </w:r>
      <w:r>
        <w:rPr/>
        <w:t>di</w:t>
      </w:r>
      <w:r>
        <w:rPr>
          <w:spacing w:val="23"/>
        </w:rPr>
        <w:t> </w:t>
      </w:r>
      <w:r>
        <w:rPr/>
        <w:t>rinvio,</w:t>
      </w:r>
      <w:r>
        <w:rPr>
          <w:spacing w:val="22"/>
        </w:rPr>
        <w:t> </w:t>
      </w:r>
      <w:r>
        <w:rPr/>
        <w:t>dall’art.</w:t>
      </w:r>
      <w:r>
        <w:rPr>
          <w:spacing w:val="22"/>
        </w:rPr>
        <w:t> </w:t>
      </w:r>
      <w:r>
        <w:rPr/>
        <w:t>90</w:t>
      </w:r>
      <w:r>
        <w:rPr>
          <w:spacing w:val="22"/>
        </w:rPr>
        <w:t> </w:t>
      </w:r>
      <w:r>
        <w:rPr/>
        <w:t>della</w:t>
      </w:r>
      <w:r>
        <w:rPr>
          <w:spacing w:val="20"/>
        </w:rPr>
        <w:t> </w:t>
      </w:r>
      <w:r>
        <w:rPr/>
        <w:t>legge</w:t>
      </w:r>
      <w:r>
        <w:rPr>
          <w:spacing w:val="23"/>
        </w:rPr>
        <w:t> </w:t>
      </w:r>
      <w:r>
        <w:rPr/>
        <w:t>spagnola</w:t>
      </w:r>
      <w:r>
        <w:rPr>
          <w:spacing w:val="24"/>
        </w:rPr>
        <w:t> </w:t>
      </w:r>
      <w:r>
        <w:rPr/>
        <w:t>di</w:t>
      </w:r>
      <w:r>
        <w:rPr>
          <w:spacing w:val="20"/>
        </w:rPr>
        <w:t> </w:t>
      </w:r>
      <w:r>
        <w:rPr>
          <w:spacing w:val="-2"/>
        </w:rPr>
        <w:t>attua-</w:t>
      </w:r>
    </w:p>
    <w:p>
      <w:pPr>
        <w:pStyle w:val="BodyText"/>
        <w:spacing w:before="216"/>
      </w:pPr>
    </w:p>
    <w:p>
      <w:pPr>
        <w:spacing w:before="0"/>
        <w:ind w:left="956" w:right="0" w:firstLine="0"/>
        <w:jc w:val="both"/>
        <w:rPr>
          <w:sz w:val="19"/>
        </w:rPr>
      </w:pPr>
      <w:bookmarkStart w:name="_bookmark24" w:id="25"/>
      <w:bookmarkEnd w:id="25"/>
      <w:r>
        <w:rPr/>
      </w:r>
      <w:r>
        <w:rPr>
          <w:sz w:val="19"/>
          <w:vertAlign w:val="superscript"/>
        </w:rPr>
        <w:t>25</w:t>
      </w:r>
      <w:r>
        <w:rPr>
          <w:spacing w:val="2"/>
          <w:sz w:val="19"/>
          <w:vertAlign w:val="baseline"/>
        </w:rPr>
        <w:t> </w:t>
      </w:r>
      <w:r>
        <w:rPr>
          <w:sz w:val="19"/>
          <w:vertAlign w:val="baseline"/>
        </w:rPr>
        <w:t>Sentenza in</w:t>
      </w:r>
      <w:r>
        <w:rPr>
          <w:spacing w:val="1"/>
          <w:sz w:val="19"/>
          <w:vertAlign w:val="baseline"/>
        </w:rPr>
        <w:t> </w:t>
      </w:r>
      <w:r>
        <w:rPr>
          <w:sz w:val="19"/>
          <w:vertAlign w:val="baseline"/>
        </w:rPr>
        <w:t>causa n.</w:t>
      </w:r>
      <w:r>
        <w:rPr>
          <w:spacing w:val="2"/>
          <w:sz w:val="19"/>
          <w:vertAlign w:val="baseline"/>
        </w:rPr>
        <w:t> </w:t>
      </w:r>
      <w:r>
        <w:rPr>
          <w:sz w:val="19"/>
          <w:vertAlign w:val="baseline"/>
        </w:rPr>
        <w:t>C-292/23,</w:t>
      </w:r>
      <w:r>
        <w:rPr>
          <w:spacing w:val="1"/>
          <w:sz w:val="19"/>
          <w:vertAlign w:val="baseline"/>
        </w:rPr>
        <w:t> </w:t>
      </w:r>
      <w:r>
        <w:rPr>
          <w:i/>
          <w:sz w:val="19"/>
          <w:vertAlign w:val="baseline"/>
        </w:rPr>
        <w:t>I.R.O.</w:t>
      </w:r>
      <w:r>
        <w:rPr>
          <w:sz w:val="19"/>
          <w:vertAlign w:val="baseline"/>
        </w:rPr>
        <w:t>, in</w:t>
      </w:r>
      <w:r>
        <w:rPr>
          <w:spacing w:val="-3"/>
          <w:sz w:val="19"/>
          <w:vertAlign w:val="baseline"/>
        </w:rPr>
        <w:t> </w:t>
      </w:r>
      <w:r>
        <w:rPr>
          <w:sz w:val="19"/>
          <w:vertAlign w:val="baseline"/>
        </w:rPr>
        <w:t>commento,</w:t>
      </w:r>
      <w:r>
        <w:rPr>
          <w:spacing w:val="-3"/>
          <w:sz w:val="19"/>
          <w:vertAlign w:val="baseline"/>
        </w:rPr>
        <w:t> </w:t>
      </w:r>
      <w:r>
        <w:rPr>
          <w:sz w:val="19"/>
          <w:vertAlign w:val="baseline"/>
        </w:rPr>
        <w:t>punto</w:t>
      </w:r>
      <w:r>
        <w:rPr>
          <w:spacing w:val="1"/>
          <w:sz w:val="19"/>
          <w:vertAlign w:val="baseline"/>
        </w:rPr>
        <w:t> </w:t>
      </w:r>
      <w:r>
        <w:rPr>
          <w:spacing w:val="-5"/>
          <w:sz w:val="19"/>
          <w:vertAlign w:val="baseline"/>
        </w:rPr>
        <w:t>76.</w:t>
      </w:r>
    </w:p>
    <w:p>
      <w:pPr>
        <w:spacing w:line="192" w:lineRule="auto" w:before="41"/>
        <w:ind w:left="673" w:right="667" w:firstLine="284"/>
        <w:jc w:val="both"/>
        <w:rPr>
          <w:sz w:val="19"/>
        </w:rPr>
      </w:pPr>
      <w:bookmarkStart w:name="_bookmark25" w:id="26"/>
      <w:bookmarkEnd w:id="26"/>
      <w:r>
        <w:rPr/>
      </w:r>
      <w:r>
        <w:rPr>
          <w:sz w:val="19"/>
          <w:vertAlign w:val="superscript"/>
        </w:rPr>
        <w:t>26</w:t>
      </w:r>
      <w:r>
        <w:rPr>
          <w:sz w:val="19"/>
          <w:vertAlign w:val="baseline"/>
        </w:rPr>
        <w:t> </w:t>
      </w:r>
      <w:r>
        <w:rPr>
          <w:i/>
          <w:sz w:val="19"/>
          <w:vertAlign w:val="baseline"/>
        </w:rPr>
        <w:t>Ivi</w:t>
      </w:r>
      <w:r>
        <w:rPr>
          <w:sz w:val="19"/>
          <w:vertAlign w:val="baseline"/>
        </w:rPr>
        <w:t>, punti 77, 79 e 80. Da notare che la Corte di giustizia ha trasposto nel settore del di- ritto processuale penale un principio interpretativo elaborato nella propria giurisprudenza in materia</w:t>
      </w:r>
      <w:r>
        <w:rPr>
          <w:spacing w:val="-3"/>
          <w:sz w:val="19"/>
          <w:vertAlign w:val="baseline"/>
        </w:rPr>
        <w:t> </w:t>
      </w:r>
      <w:r>
        <w:rPr>
          <w:sz w:val="19"/>
          <w:vertAlign w:val="baseline"/>
        </w:rPr>
        <w:t>di</w:t>
      </w:r>
      <w:r>
        <w:rPr>
          <w:spacing w:val="-3"/>
          <w:sz w:val="19"/>
          <w:vertAlign w:val="baseline"/>
        </w:rPr>
        <w:t> </w:t>
      </w:r>
      <w:r>
        <w:rPr>
          <w:sz w:val="19"/>
          <w:vertAlign w:val="baseline"/>
        </w:rPr>
        <w:t>diritto</w:t>
      </w:r>
      <w:r>
        <w:rPr>
          <w:spacing w:val="-2"/>
          <w:sz w:val="19"/>
          <w:vertAlign w:val="baseline"/>
        </w:rPr>
        <w:t> </w:t>
      </w:r>
      <w:r>
        <w:rPr>
          <w:sz w:val="19"/>
          <w:vertAlign w:val="baseline"/>
        </w:rPr>
        <w:t>processuale</w:t>
      </w:r>
      <w:r>
        <w:rPr>
          <w:spacing w:val="-3"/>
          <w:sz w:val="19"/>
          <w:vertAlign w:val="baseline"/>
        </w:rPr>
        <w:t> </w:t>
      </w:r>
      <w:r>
        <w:rPr>
          <w:sz w:val="19"/>
          <w:vertAlign w:val="baseline"/>
        </w:rPr>
        <w:t>tributario</w:t>
      </w:r>
      <w:r>
        <w:rPr>
          <w:spacing w:val="-2"/>
          <w:sz w:val="19"/>
          <w:vertAlign w:val="baseline"/>
        </w:rPr>
        <w:t> </w:t>
      </w:r>
      <w:r>
        <w:rPr>
          <w:sz w:val="19"/>
          <w:vertAlign w:val="baseline"/>
        </w:rPr>
        <w:t>e</w:t>
      </w:r>
      <w:r>
        <w:rPr>
          <w:spacing w:val="-3"/>
          <w:sz w:val="19"/>
          <w:vertAlign w:val="baseline"/>
        </w:rPr>
        <w:t> </w:t>
      </w:r>
      <w:r>
        <w:rPr>
          <w:sz w:val="19"/>
          <w:vertAlign w:val="baseline"/>
        </w:rPr>
        <w:t>avente</w:t>
      </w:r>
      <w:r>
        <w:rPr>
          <w:spacing w:val="-3"/>
          <w:sz w:val="19"/>
          <w:vertAlign w:val="baseline"/>
        </w:rPr>
        <w:t> </w:t>
      </w:r>
      <w:r>
        <w:rPr>
          <w:sz w:val="19"/>
          <w:vertAlign w:val="baseline"/>
        </w:rPr>
        <w:t>pertanto</w:t>
      </w:r>
      <w:r>
        <w:rPr>
          <w:spacing w:val="-2"/>
          <w:sz w:val="19"/>
          <w:vertAlign w:val="baseline"/>
        </w:rPr>
        <w:t> </w:t>
      </w:r>
      <w:r>
        <w:rPr>
          <w:sz w:val="19"/>
          <w:vertAlign w:val="baseline"/>
        </w:rPr>
        <w:t>ad</w:t>
      </w:r>
      <w:r>
        <w:rPr>
          <w:spacing w:val="-2"/>
          <w:sz w:val="19"/>
          <w:vertAlign w:val="baseline"/>
        </w:rPr>
        <w:t> </w:t>
      </w:r>
      <w:r>
        <w:rPr>
          <w:sz w:val="19"/>
          <w:vertAlign w:val="baseline"/>
        </w:rPr>
        <w:t>oggetto</w:t>
      </w:r>
      <w:r>
        <w:rPr>
          <w:spacing w:val="-2"/>
          <w:sz w:val="19"/>
          <w:vertAlign w:val="baseline"/>
        </w:rPr>
        <w:t> </w:t>
      </w:r>
      <w:r>
        <w:rPr>
          <w:sz w:val="19"/>
          <w:vertAlign w:val="baseline"/>
        </w:rPr>
        <w:t>i</w:t>
      </w:r>
      <w:r>
        <w:rPr>
          <w:spacing w:val="-3"/>
          <w:sz w:val="19"/>
          <w:vertAlign w:val="baseline"/>
        </w:rPr>
        <w:t> </w:t>
      </w:r>
      <w:r>
        <w:rPr>
          <w:sz w:val="19"/>
          <w:vertAlign w:val="baseline"/>
        </w:rPr>
        <w:t>diritti</w:t>
      </w:r>
      <w:r>
        <w:rPr>
          <w:spacing w:val="-3"/>
          <w:sz w:val="19"/>
          <w:vertAlign w:val="baseline"/>
        </w:rPr>
        <w:t> </w:t>
      </w:r>
      <w:r>
        <w:rPr>
          <w:sz w:val="19"/>
          <w:vertAlign w:val="baseline"/>
        </w:rPr>
        <w:t>procedimentali</w:t>
      </w:r>
      <w:r>
        <w:rPr>
          <w:spacing w:val="-3"/>
          <w:sz w:val="19"/>
          <w:vertAlign w:val="baseline"/>
        </w:rPr>
        <w:t> </w:t>
      </w:r>
      <w:r>
        <w:rPr>
          <w:sz w:val="19"/>
          <w:vertAlign w:val="baseline"/>
        </w:rPr>
        <w:t>del contribuente (sentenza del 6 ottobre 2020 in causa n. C-245/19, </w:t>
      </w:r>
      <w:r>
        <w:rPr>
          <w:i/>
          <w:sz w:val="19"/>
          <w:vertAlign w:val="baseline"/>
        </w:rPr>
        <w:t>Etat luxembourgeois </w:t>
      </w:r>
      <w:r>
        <w:rPr>
          <w:sz w:val="19"/>
          <w:vertAlign w:val="baseline"/>
        </w:rPr>
        <w:t>c. </w:t>
      </w:r>
      <w:r>
        <w:rPr>
          <w:i/>
          <w:sz w:val="19"/>
          <w:vertAlign w:val="baseline"/>
        </w:rPr>
        <w:t>B</w:t>
      </w:r>
      <w:r>
        <w:rPr>
          <w:sz w:val="19"/>
          <w:vertAlign w:val="baseline"/>
        </w:rPr>
        <w:t>, EU:C:2020:795, punti 47, 58, 79 e 82 e sentenza del 17 dicembre 2015 in causa n. C-419/14, </w:t>
      </w:r>
      <w:r>
        <w:rPr>
          <w:i/>
          <w:sz w:val="19"/>
          <w:vertAlign w:val="baseline"/>
        </w:rPr>
        <w:t>WebMind Licenses</w:t>
      </w:r>
      <w:r>
        <w:rPr>
          <w:sz w:val="19"/>
          <w:vertAlign w:val="baseline"/>
        </w:rPr>
        <w:t>, EU:C:2015:832, punti 87-89). Tutta la suddetta giurisprudenza della Cor- te di giustizia avente ad oggetto le direttive dell’Unione europea che disciplinano lo scambio</w:t>
      </w:r>
      <w:r>
        <w:rPr>
          <w:spacing w:val="40"/>
          <w:sz w:val="19"/>
          <w:vertAlign w:val="baseline"/>
        </w:rPr>
        <w:t> </w:t>
      </w:r>
      <w:r>
        <w:rPr>
          <w:sz w:val="19"/>
          <w:vertAlign w:val="baseline"/>
        </w:rPr>
        <w:t>di informazioni fra amministrazioni fiscali degli Stati membri è stata esaminata e commentata da E. T</w:t>
      </w:r>
      <w:r>
        <w:rPr>
          <w:sz w:val="15"/>
          <w:vertAlign w:val="baseline"/>
        </w:rPr>
        <w:t>RAVERSA</w:t>
      </w:r>
      <w:r>
        <w:rPr>
          <w:i/>
          <w:sz w:val="19"/>
          <w:vertAlign w:val="baseline"/>
        </w:rPr>
        <w:t>, La giurisprudenza della Corte di giustizia in materia di cooperazione fra le</w:t>
      </w:r>
      <w:r>
        <w:rPr>
          <w:i/>
          <w:sz w:val="19"/>
          <w:vertAlign w:val="baseline"/>
        </w:rPr>
        <w:t> amministrazioni fiscali degli Stati membri (scambio di informazioni e recupero crediti), </w:t>
      </w:r>
      <w:r>
        <w:rPr>
          <w:sz w:val="19"/>
          <w:vertAlign w:val="baseline"/>
        </w:rPr>
        <w:t>in </w:t>
      </w:r>
      <w:r>
        <w:rPr>
          <w:i/>
          <w:sz w:val="19"/>
          <w:vertAlign w:val="baseline"/>
        </w:rPr>
        <w:t>Rivista di diritto tributario internazionale, </w:t>
      </w:r>
      <w:r>
        <w:rPr>
          <w:sz w:val="19"/>
          <w:vertAlign w:val="baseline"/>
        </w:rPr>
        <w:t>n. 1/2025 (in corso di pubblicazione).</w:t>
      </w:r>
    </w:p>
    <w:p>
      <w:pPr>
        <w:spacing w:after="0" w:line="192" w:lineRule="auto"/>
        <w:jc w:val="both"/>
        <w:rPr>
          <w:sz w:val="19"/>
        </w:rPr>
        <w:sectPr>
          <w:pgSz w:w="11910" w:h="16840"/>
          <w:pgMar w:header="2182" w:footer="0" w:top="2480" w:bottom="280" w:left="1680" w:right="1680"/>
        </w:sectPr>
      </w:pPr>
    </w:p>
    <w:p>
      <w:pPr>
        <w:pStyle w:val="BodyText"/>
      </w:pPr>
    </w:p>
    <w:p>
      <w:pPr>
        <w:pStyle w:val="BodyText"/>
        <w:spacing w:before="15"/>
      </w:pPr>
    </w:p>
    <w:p>
      <w:pPr>
        <w:pStyle w:val="BodyText"/>
        <w:spacing w:line="223" w:lineRule="auto"/>
        <w:ind w:left="673" w:right="669"/>
        <w:jc w:val="both"/>
      </w:pPr>
      <w:r>
        <w:rPr/>
        <w:t>zione del Regolamento</w:t>
      </w:r>
      <w:r>
        <w:rPr>
          <w:spacing w:val="-3"/>
        </w:rPr>
        <w:t> </w:t>
      </w:r>
      <w:r>
        <w:rPr/>
        <w:t>EPPO. Tale norma, come sopra rilevato, escludeva la citazione di testimoni dall’ambito degli atti della Procura europea che l’imputato</w:t>
      </w:r>
      <w:r>
        <w:rPr>
          <w:spacing w:val="-1"/>
        </w:rPr>
        <w:t> </w:t>
      </w:r>
      <w:r>
        <w:rPr/>
        <w:t>poteva</w:t>
      </w:r>
      <w:r>
        <w:rPr>
          <w:spacing w:val="-3"/>
        </w:rPr>
        <w:t> </w:t>
      </w:r>
      <w:r>
        <w:rPr/>
        <w:t>impugnare dinanzi</w:t>
      </w:r>
      <w:r>
        <w:rPr>
          <w:spacing w:val="-3"/>
        </w:rPr>
        <w:t> </w:t>
      </w:r>
      <w:r>
        <w:rPr/>
        <w:t>al suddetto</w:t>
      </w:r>
      <w:r>
        <w:rPr>
          <w:spacing w:val="-1"/>
        </w:rPr>
        <w:t> </w:t>
      </w:r>
      <w:r>
        <w:rPr/>
        <w:t>giudice istruttore centrale mentre il medesimo atto d’indagine disposto da un giudice istruttore na- zionale</w:t>
      </w:r>
      <w:r>
        <w:rPr>
          <w:spacing w:val="-3"/>
        </w:rPr>
        <w:t> </w:t>
      </w:r>
      <w:r>
        <w:rPr/>
        <w:t>era</w:t>
      </w:r>
      <w:r>
        <w:rPr>
          <w:spacing w:val="-3"/>
        </w:rPr>
        <w:t> </w:t>
      </w:r>
      <w:r>
        <w:rPr/>
        <w:t>impugnabile,</w:t>
      </w:r>
      <w:r>
        <w:rPr>
          <w:spacing w:val="-4"/>
        </w:rPr>
        <w:t> </w:t>
      </w:r>
      <w:r>
        <w:rPr/>
        <w:t>sulla</w:t>
      </w:r>
      <w:r>
        <w:rPr>
          <w:spacing w:val="-3"/>
        </w:rPr>
        <w:t> </w:t>
      </w:r>
      <w:r>
        <w:rPr/>
        <w:t>base</w:t>
      </w:r>
      <w:r>
        <w:rPr>
          <w:spacing w:val="-3"/>
        </w:rPr>
        <w:t> </w:t>
      </w:r>
      <w:r>
        <w:rPr/>
        <w:t>del</w:t>
      </w:r>
      <w:r>
        <w:rPr>
          <w:spacing w:val="-3"/>
        </w:rPr>
        <w:t> </w:t>
      </w:r>
      <w:r>
        <w:rPr/>
        <w:t>codice</w:t>
      </w:r>
      <w:r>
        <w:rPr>
          <w:spacing w:val="-3"/>
        </w:rPr>
        <w:t> </w:t>
      </w:r>
      <w:r>
        <w:rPr/>
        <w:t>spagnolo</w:t>
      </w:r>
      <w:r>
        <w:rPr>
          <w:spacing w:val="-4"/>
        </w:rPr>
        <w:t> </w:t>
      </w:r>
      <w:r>
        <w:rPr/>
        <w:t>di</w:t>
      </w:r>
      <w:r>
        <w:rPr>
          <w:spacing w:val="-3"/>
        </w:rPr>
        <w:t> </w:t>
      </w:r>
      <w:r>
        <w:rPr/>
        <w:t>procedura</w:t>
      </w:r>
      <w:r>
        <w:rPr>
          <w:spacing w:val="-3"/>
        </w:rPr>
        <w:t> </w:t>
      </w:r>
      <w:r>
        <w:rPr/>
        <w:t>pena- le, dinanzi allo stesso giudice istruttore o dinanzi al giudice istruttore di livello superiore. Il parametro per valutare la compatibilità di tale situa- zione con il diritto dell’Unione era costituito dal principio generale di equivalenza in base al quale le norme processuali applicabili ai ricorsi fondati sul diritto europeo non devono essere meno favorevoli di quelle applicabili</w:t>
      </w:r>
      <w:r>
        <w:rPr>
          <w:spacing w:val="-4"/>
        </w:rPr>
        <w:t> </w:t>
      </w:r>
      <w:r>
        <w:rPr/>
        <w:t>a</w:t>
      </w:r>
      <w:r>
        <w:rPr>
          <w:spacing w:val="-4"/>
        </w:rPr>
        <w:t> </w:t>
      </w:r>
      <w:r>
        <w:rPr/>
        <w:t>ricorsi</w:t>
      </w:r>
      <w:r>
        <w:rPr>
          <w:spacing w:val="-4"/>
        </w:rPr>
        <w:t> </w:t>
      </w:r>
      <w:r>
        <w:rPr/>
        <w:t>comparabili</w:t>
      </w:r>
      <w:r>
        <w:rPr>
          <w:spacing w:val="-4"/>
        </w:rPr>
        <w:t> </w:t>
      </w:r>
      <w:r>
        <w:rPr/>
        <w:t>fondati</w:t>
      </w:r>
      <w:r>
        <w:rPr>
          <w:spacing w:val="-4"/>
        </w:rPr>
        <w:t> </w:t>
      </w:r>
      <w:r>
        <w:rPr/>
        <w:t>esclusivamente</w:t>
      </w:r>
      <w:r>
        <w:rPr>
          <w:spacing w:val="-4"/>
        </w:rPr>
        <w:t> </w:t>
      </w:r>
      <w:r>
        <w:rPr/>
        <w:t>sul</w:t>
      </w:r>
      <w:r>
        <w:rPr>
          <w:spacing w:val="-4"/>
        </w:rPr>
        <w:t> </w:t>
      </w:r>
      <w:r>
        <w:rPr/>
        <w:t>diritto</w:t>
      </w:r>
      <w:r>
        <w:rPr>
          <w:spacing w:val="-5"/>
        </w:rPr>
        <w:t> </w:t>
      </w:r>
      <w:r>
        <w:rPr/>
        <w:t>naziona- le. Per verificare la comparabilità delle due categorie di procedimenti il giudice di rinvio deve, secondo la Corte di giustizia, «verificare le somi- glianze fra i ricorsi di cui trattasi quanto ad oggetto, causa ed elementi es- senziali»</w:t>
      </w:r>
      <w:hyperlink w:history="true" w:anchor="_bookmark26">
        <w:r>
          <w:rPr>
            <w:position w:val="7"/>
            <w:sz w:val="13"/>
          </w:rPr>
          <w:t>27</w:t>
        </w:r>
      </w:hyperlink>
      <w:r>
        <w:rPr/>
        <w:t>. Nel caso di specie e sempre sulla base della descrizione del di- ritto processuale penale spagnolo contenuta nell’ordinanza di rinvio, gli atti</w:t>
      </w:r>
      <w:r>
        <w:rPr>
          <w:spacing w:val="-3"/>
        </w:rPr>
        <w:t> </w:t>
      </w:r>
      <w:r>
        <w:rPr/>
        <w:t>procedurali</w:t>
      </w:r>
      <w:r>
        <w:rPr>
          <w:spacing w:val="-3"/>
        </w:rPr>
        <w:t> </w:t>
      </w:r>
      <w:r>
        <w:rPr/>
        <w:t>dei</w:t>
      </w:r>
      <w:r>
        <w:rPr>
          <w:spacing w:val="-3"/>
        </w:rPr>
        <w:t> </w:t>
      </w:r>
      <w:r>
        <w:rPr/>
        <w:t>procuratori</w:t>
      </w:r>
      <w:r>
        <w:rPr>
          <w:spacing w:val="-3"/>
        </w:rPr>
        <w:t> </w:t>
      </w:r>
      <w:r>
        <w:rPr/>
        <w:t>delegati</w:t>
      </w:r>
      <w:r>
        <w:rPr>
          <w:spacing w:val="-3"/>
        </w:rPr>
        <w:t> </w:t>
      </w:r>
      <w:r>
        <w:rPr/>
        <w:t>europei</w:t>
      </w:r>
      <w:r>
        <w:rPr>
          <w:spacing w:val="-3"/>
        </w:rPr>
        <w:t> </w:t>
      </w:r>
      <w:r>
        <w:rPr/>
        <w:t>dovevano</w:t>
      </w:r>
      <w:r>
        <w:rPr>
          <w:spacing w:val="-9"/>
        </w:rPr>
        <w:t> </w:t>
      </w:r>
      <w:r>
        <w:rPr/>
        <w:t>essere</w:t>
      </w:r>
      <w:r>
        <w:rPr>
          <w:spacing w:val="-3"/>
        </w:rPr>
        <w:t> </w:t>
      </w:r>
      <w:r>
        <w:rPr/>
        <w:t>comparati con</w:t>
      </w:r>
      <w:r>
        <w:rPr>
          <w:spacing w:val="-3"/>
        </w:rPr>
        <w:t> </w:t>
      </w:r>
      <w:r>
        <w:rPr/>
        <w:t>gli</w:t>
      </w:r>
      <w:r>
        <w:rPr>
          <w:spacing w:val="-2"/>
        </w:rPr>
        <w:t> </w:t>
      </w:r>
      <w:r>
        <w:rPr/>
        <w:t>atti</w:t>
      </w:r>
      <w:r>
        <w:rPr>
          <w:spacing w:val="-2"/>
        </w:rPr>
        <w:t> </w:t>
      </w:r>
      <w:r>
        <w:rPr/>
        <w:t>procedurali</w:t>
      </w:r>
      <w:r>
        <w:rPr>
          <w:spacing w:val="-2"/>
        </w:rPr>
        <w:t> </w:t>
      </w:r>
      <w:r>
        <w:rPr/>
        <w:t>analoghi</w:t>
      </w:r>
      <w:r>
        <w:rPr>
          <w:spacing w:val="-2"/>
        </w:rPr>
        <w:t> </w:t>
      </w:r>
      <w:r>
        <w:rPr/>
        <w:t>disposti</w:t>
      </w:r>
      <w:r>
        <w:rPr>
          <w:spacing w:val="-2"/>
        </w:rPr>
        <w:t> </w:t>
      </w:r>
      <w:r>
        <w:rPr/>
        <w:t>da</w:t>
      </w:r>
      <w:r>
        <w:rPr>
          <w:spacing w:val="-2"/>
        </w:rPr>
        <w:t> </w:t>
      </w:r>
      <w:r>
        <w:rPr/>
        <w:t>un</w:t>
      </w:r>
      <w:r>
        <w:rPr>
          <w:spacing w:val="-3"/>
        </w:rPr>
        <w:t> </w:t>
      </w:r>
      <w:r>
        <w:rPr/>
        <w:t>giudice</w:t>
      </w:r>
      <w:r>
        <w:rPr>
          <w:spacing w:val="-2"/>
        </w:rPr>
        <w:t> </w:t>
      </w:r>
      <w:r>
        <w:rPr/>
        <w:t>istruttore</w:t>
      </w:r>
      <w:r>
        <w:rPr>
          <w:spacing w:val="-2"/>
        </w:rPr>
        <w:t> </w:t>
      </w:r>
      <w:r>
        <w:rPr/>
        <w:t>distrettua- le. Da tale confronto risultava, secondo i giudici dell’Unione, che le per- sone oggetto di un’indagine di un procuratore europeo delegato operante</w:t>
      </w:r>
      <w:r>
        <w:rPr>
          <w:spacing w:val="40"/>
        </w:rPr>
        <w:t> </w:t>
      </w:r>
      <w:r>
        <w:rPr/>
        <w:t>in Spagna si trovavano in una situazione meno favorevole rispetto alle persone oggetto di un’indagine condotta da un giudice istruttore nazionale in quanto queste ultime, contrariamente alle prime, potevano impugnare con un ricorso diretto una decisione contenente una citazione a comparire di testimoni</w:t>
      </w:r>
      <w:hyperlink w:history="true" w:anchor="_bookmark27">
        <w:r>
          <w:rPr>
            <w:position w:val="7"/>
            <w:sz w:val="13"/>
          </w:rPr>
          <w:t>28</w:t>
        </w:r>
      </w:hyperlink>
      <w:r>
        <w:rPr/>
        <w:t>. Da qui, la conclusione della Corte di giustizia formulata nel dispositivo stesso della sentenza secondo la quale, qualora le norme pro- cessuali di uno Stato membro prevedano</w:t>
      </w:r>
      <w:r>
        <w:rPr>
          <w:spacing w:val="-3"/>
        </w:rPr>
        <w:t> </w:t>
      </w:r>
      <w:r>
        <w:rPr/>
        <w:t>la possibilità di</w:t>
      </w:r>
      <w:r>
        <w:rPr>
          <w:spacing w:val="-2"/>
        </w:rPr>
        <w:t> </w:t>
      </w:r>
      <w:r>
        <w:rPr/>
        <w:t>contestare</w:t>
      </w:r>
      <w:r>
        <w:rPr>
          <w:spacing w:val="-2"/>
        </w:rPr>
        <w:t> </w:t>
      </w:r>
      <w:r>
        <w:rPr/>
        <w:t>con un ricorso diretto un dato atto d’indagine disposto da un’autorità inquirente puramente nazionale, la stessa possibilità dev’essere offerta alle persone oggetto di un’indagine penale avviata da un procuratore europeo delegato.</w:t>
      </w:r>
    </w:p>
    <w:p>
      <w:pPr>
        <w:pStyle w:val="BodyText"/>
        <w:spacing w:before="230"/>
      </w:pPr>
    </w:p>
    <w:p>
      <w:pPr>
        <w:pStyle w:val="Heading1"/>
        <w:numPr>
          <w:ilvl w:val="0"/>
          <w:numId w:val="1"/>
        </w:numPr>
        <w:tabs>
          <w:tab w:pos="1068" w:val="left" w:leader="none"/>
        </w:tabs>
        <w:spacing w:line="240" w:lineRule="auto" w:before="0" w:after="0"/>
        <w:ind w:left="1068" w:right="0" w:hanging="395"/>
        <w:jc w:val="left"/>
      </w:pPr>
      <w:r>
        <w:rPr/>
        <w:t>Considerazioni</w:t>
      </w:r>
      <w:r>
        <w:rPr>
          <w:spacing w:val="-6"/>
        </w:rPr>
        <w:t> </w:t>
      </w:r>
      <w:r>
        <w:rPr>
          <w:spacing w:val="-2"/>
        </w:rPr>
        <w:t>conclusive</w:t>
      </w:r>
    </w:p>
    <w:p>
      <w:pPr>
        <w:pStyle w:val="ListParagraph"/>
        <w:numPr>
          <w:ilvl w:val="1"/>
          <w:numId w:val="1"/>
        </w:numPr>
        <w:tabs>
          <w:tab w:pos="1068" w:val="left" w:leader="none"/>
        </w:tabs>
        <w:spacing w:line="225" w:lineRule="auto" w:before="178" w:after="0"/>
        <w:ind w:left="1068" w:right="685" w:hanging="396"/>
        <w:jc w:val="left"/>
        <w:rPr>
          <w:i/>
          <w:sz w:val="24"/>
        </w:rPr>
      </w:pPr>
      <w:r>
        <w:rPr>
          <w:i/>
          <w:sz w:val="24"/>
        </w:rPr>
        <w:t>Pericoli insiti nella delega al giudice di rinvio della valutazione degli</w:t>
      </w:r>
      <w:r>
        <w:rPr>
          <w:i/>
          <w:sz w:val="24"/>
        </w:rPr>
        <w:t> effetti</w:t>
      </w:r>
      <w:r>
        <w:rPr>
          <w:i/>
          <w:spacing w:val="-15"/>
          <w:sz w:val="24"/>
        </w:rPr>
        <w:t> </w:t>
      </w:r>
      <w:r>
        <w:rPr>
          <w:i/>
          <w:sz w:val="24"/>
        </w:rPr>
        <w:t>giuridici</w:t>
      </w:r>
      <w:r>
        <w:rPr>
          <w:i/>
          <w:spacing w:val="-15"/>
          <w:sz w:val="24"/>
        </w:rPr>
        <w:t> </w:t>
      </w:r>
      <w:r>
        <w:rPr>
          <w:i/>
          <w:sz w:val="24"/>
        </w:rPr>
        <w:t>vincolanti</w:t>
      </w:r>
      <w:r>
        <w:rPr>
          <w:i/>
          <w:spacing w:val="-15"/>
          <w:sz w:val="24"/>
        </w:rPr>
        <w:t> </w:t>
      </w:r>
      <w:r>
        <w:rPr>
          <w:i/>
          <w:sz w:val="24"/>
        </w:rPr>
        <w:t>di</w:t>
      </w:r>
      <w:r>
        <w:rPr>
          <w:i/>
          <w:spacing w:val="-15"/>
          <w:sz w:val="24"/>
        </w:rPr>
        <w:t> </w:t>
      </w:r>
      <w:r>
        <w:rPr>
          <w:i/>
          <w:sz w:val="24"/>
        </w:rPr>
        <w:t>un</w:t>
      </w:r>
      <w:r>
        <w:rPr>
          <w:i/>
          <w:spacing w:val="-15"/>
          <w:sz w:val="24"/>
        </w:rPr>
        <w:t> </w:t>
      </w:r>
      <w:r>
        <w:rPr>
          <w:i/>
          <w:sz w:val="24"/>
        </w:rPr>
        <w:t>atto</w:t>
      </w:r>
      <w:r>
        <w:rPr>
          <w:i/>
          <w:spacing w:val="-15"/>
          <w:sz w:val="24"/>
        </w:rPr>
        <w:t> </w:t>
      </w:r>
      <w:r>
        <w:rPr>
          <w:i/>
          <w:sz w:val="24"/>
        </w:rPr>
        <w:t>procedurale</w:t>
      </w:r>
      <w:r>
        <w:rPr>
          <w:i/>
          <w:spacing w:val="-15"/>
          <w:sz w:val="24"/>
        </w:rPr>
        <w:t> </w:t>
      </w:r>
      <w:r>
        <w:rPr>
          <w:i/>
          <w:sz w:val="24"/>
        </w:rPr>
        <w:t>della</w:t>
      </w:r>
      <w:r>
        <w:rPr>
          <w:i/>
          <w:spacing w:val="-15"/>
          <w:sz w:val="24"/>
        </w:rPr>
        <w:t> </w:t>
      </w:r>
      <w:r>
        <w:rPr>
          <w:i/>
          <w:sz w:val="24"/>
        </w:rPr>
        <w:t>Procura</w:t>
      </w:r>
      <w:r>
        <w:rPr>
          <w:i/>
          <w:spacing w:val="-15"/>
          <w:sz w:val="24"/>
        </w:rPr>
        <w:t> </w:t>
      </w:r>
      <w:r>
        <w:rPr>
          <w:i/>
          <w:sz w:val="24"/>
        </w:rPr>
        <w:t>europea</w:t>
      </w:r>
    </w:p>
    <w:p>
      <w:pPr>
        <w:pStyle w:val="BodyText"/>
        <w:spacing w:line="230" w:lineRule="auto" w:before="157"/>
        <w:ind w:left="673" w:right="310" w:firstLine="396"/>
      </w:pPr>
      <w:r>
        <w:rPr/>
        <w:t>Al termine della disamina della ben strutturata motivazione della sen- tenza in</w:t>
      </w:r>
      <w:r>
        <w:rPr>
          <w:spacing w:val="-2"/>
        </w:rPr>
        <w:t> </w:t>
      </w:r>
      <w:r>
        <w:rPr/>
        <w:t>causa n.</w:t>
      </w:r>
      <w:r>
        <w:rPr>
          <w:spacing w:val="4"/>
        </w:rPr>
        <w:t> </w:t>
      </w:r>
      <w:r>
        <w:rPr/>
        <w:t>C-292/23</w:t>
      </w:r>
      <w:r>
        <w:rPr>
          <w:spacing w:val="2"/>
        </w:rPr>
        <w:t> </w:t>
      </w:r>
      <w:r>
        <w:rPr/>
        <w:t>è possibile</w:t>
      </w:r>
      <w:r>
        <w:rPr>
          <w:spacing w:val="-1"/>
        </w:rPr>
        <w:t> </w:t>
      </w:r>
      <w:r>
        <w:rPr/>
        <w:t>formulare alcune considerazioni </w:t>
      </w:r>
      <w:r>
        <w:rPr>
          <w:spacing w:val="-4"/>
        </w:rPr>
        <w:t>cri-</w:t>
      </w:r>
    </w:p>
    <w:p>
      <w:pPr>
        <w:pStyle w:val="BodyText"/>
        <w:spacing w:before="96"/>
      </w:pPr>
    </w:p>
    <w:p>
      <w:pPr>
        <w:spacing w:before="0"/>
        <w:ind w:left="956" w:right="0" w:firstLine="0"/>
        <w:jc w:val="left"/>
        <w:rPr>
          <w:sz w:val="19"/>
        </w:rPr>
      </w:pPr>
      <w:bookmarkStart w:name="_bookmark26" w:id="27"/>
      <w:bookmarkEnd w:id="27"/>
      <w:r>
        <w:rPr/>
      </w:r>
      <w:r>
        <w:rPr>
          <w:sz w:val="19"/>
          <w:vertAlign w:val="superscript"/>
        </w:rPr>
        <w:t>27</w:t>
      </w:r>
      <w:r>
        <w:rPr>
          <w:spacing w:val="2"/>
          <w:sz w:val="19"/>
          <w:vertAlign w:val="baseline"/>
        </w:rPr>
        <w:t> </w:t>
      </w:r>
      <w:r>
        <w:rPr>
          <w:sz w:val="19"/>
          <w:vertAlign w:val="baseline"/>
        </w:rPr>
        <w:t>Sentenza in</w:t>
      </w:r>
      <w:r>
        <w:rPr>
          <w:spacing w:val="1"/>
          <w:sz w:val="19"/>
          <w:vertAlign w:val="baseline"/>
        </w:rPr>
        <w:t> </w:t>
      </w:r>
      <w:r>
        <w:rPr>
          <w:sz w:val="19"/>
          <w:vertAlign w:val="baseline"/>
        </w:rPr>
        <w:t>causa n.</w:t>
      </w:r>
      <w:r>
        <w:rPr>
          <w:spacing w:val="1"/>
          <w:sz w:val="19"/>
          <w:vertAlign w:val="baseline"/>
        </w:rPr>
        <w:t> </w:t>
      </w:r>
      <w:r>
        <w:rPr>
          <w:sz w:val="19"/>
          <w:vertAlign w:val="baseline"/>
        </w:rPr>
        <w:t>C-292/23,</w:t>
      </w:r>
      <w:r>
        <w:rPr>
          <w:spacing w:val="1"/>
          <w:sz w:val="19"/>
          <w:vertAlign w:val="baseline"/>
        </w:rPr>
        <w:t> </w:t>
      </w:r>
      <w:r>
        <w:rPr>
          <w:i/>
          <w:sz w:val="19"/>
          <w:vertAlign w:val="baseline"/>
        </w:rPr>
        <w:t>I.R.O.</w:t>
      </w:r>
      <w:r>
        <w:rPr>
          <w:sz w:val="19"/>
          <w:vertAlign w:val="baseline"/>
        </w:rPr>
        <w:t>,</w:t>
      </w:r>
      <w:r>
        <w:rPr>
          <w:spacing w:val="1"/>
          <w:sz w:val="19"/>
          <w:vertAlign w:val="baseline"/>
        </w:rPr>
        <w:t> </w:t>
      </w:r>
      <w:r>
        <w:rPr>
          <w:sz w:val="19"/>
          <w:vertAlign w:val="baseline"/>
        </w:rPr>
        <w:t>in</w:t>
      </w:r>
      <w:r>
        <w:rPr>
          <w:spacing w:val="-3"/>
          <w:sz w:val="19"/>
          <w:vertAlign w:val="baseline"/>
        </w:rPr>
        <w:t> </w:t>
      </w:r>
      <w:r>
        <w:rPr>
          <w:sz w:val="19"/>
          <w:vertAlign w:val="baseline"/>
        </w:rPr>
        <w:t>commento,</w:t>
      </w:r>
      <w:r>
        <w:rPr>
          <w:spacing w:val="-3"/>
          <w:sz w:val="19"/>
          <w:vertAlign w:val="baseline"/>
        </w:rPr>
        <w:t> </w:t>
      </w:r>
      <w:r>
        <w:rPr>
          <w:sz w:val="19"/>
          <w:vertAlign w:val="baseline"/>
        </w:rPr>
        <w:t>punto</w:t>
      </w:r>
      <w:r>
        <w:rPr>
          <w:spacing w:val="1"/>
          <w:sz w:val="19"/>
          <w:vertAlign w:val="baseline"/>
        </w:rPr>
        <w:t> </w:t>
      </w:r>
      <w:r>
        <w:rPr>
          <w:spacing w:val="-5"/>
          <w:sz w:val="19"/>
          <w:vertAlign w:val="baseline"/>
        </w:rPr>
        <w:t>85.</w:t>
      </w:r>
    </w:p>
    <w:p>
      <w:pPr>
        <w:spacing w:before="5"/>
        <w:ind w:left="956" w:right="0" w:firstLine="0"/>
        <w:jc w:val="left"/>
        <w:rPr>
          <w:sz w:val="19"/>
        </w:rPr>
      </w:pPr>
      <w:bookmarkStart w:name="_bookmark27" w:id="28"/>
      <w:bookmarkEnd w:id="28"/>
      <w:r>
        <w:rPr/>
      </w:r>
      <w:r>
        <w:rPr>
          <w:sz w:val="19"/>
          <w:vertAlign w:val="superscript"/>
        </w:rPr>
        <w:t>28</w:t>
      </w:r>
      <w:r>
        <w:rPr>
          <w:spacing w:val="5"/>
          <w:sz w:val="19"/>
          <w:vertAlign w:val="baseline"/>
        </w:rPr>
        <w:t> </w:t>
      </w:r>
      <w:r>
        <w:rPr>
          <w:i/>
          <w:sz w:val="19"/>
          <w:vertAlign w:val="baseline"/>
        </w:rPr>
        <w:t>Ivi</w:t>
      </w:r>
      <w:r>
        <w:rPr>
          <w:sz w:val="19"/>
          <w:vertAlign w:val="baseline"/>
        </w:rPr>
        <w:t>,</w:t>
      </w:r>
      <w:r>
        <w:rPr>
          <w:spacing w:val="4"/>
          <w:sz w:val="19"/>
          <w:vertAlign w:val="baseline"/>
        </w:rPr>
        <w:t> </w:t>
      </w:r>
      <w:r>
        <w:rPr>
          <w:sz w:val="19"/>
          <w:vertAlign w:val="baseline"/>
        </w:rPr>
        <w:t>punti</w:t>
      </w:r>
      <w:r>
        <w:rPr>
          <w:spacing w:val="3"/>
          <w:sz w:val="19"/>
          <w:vertAlign w:val="baseline"/>
        </w:rPr>
        <w:t> </w:t>
      </w:r>
      <w:r>
        <w:rPr>
          <w:sz w:val="19"/>
          <w:vertAlign w:val="baseline"/>
        </w:rPr>
        <w:t>86</w:t>
      </w:r>
      <w:r>
        <w:rPr>
          <w:spacing w:val="4"/>
          <w:sz w:val="19"/>
          <w:vertAlign w:val="baseline"/>
        </w:rPr>
        <w:t> </w:t>
      </w:r>
      <w:r>
        <w:rPr>
          <w:sz w:val="19"/>
          <w:vertAlign w:val="baseline"/>
        </w:rPr>
        <w:t>e</w:t>
      </w:r>
      <w:r>
        <w:rPr>
          <w:spacing w:val="-2"/>
          <w:sz w:val="19"/>
          <w:vertAlign w:val="baseline"/>
        </w:rPr>
        <w:t> </w:t>
      </w:r>
      <w:r>
        <w:rPr>
          <w:spacing w:val="-5"/>
          <w:sz w:val="19"/>
          <w:vertAlign w:val="baseline"/>
        </w:rPr>
        <w:t>88.</w:t>
      </w:r>
    </w:p>
    <w:p>
      <w:pPr>
        <w:spacing w:after="0"/>
        <w:jc w:val="left"/>
        <w:rPr>
          <w:sz w:val="19"/>
        </w:rPr>
        <w:sectPr>
          <w:pgSz w:w="11910" w:h="16840"/>
          <w:pgMar w:header="2182" w:footer="0" w:top="2480" w:bottom="280" w:left="1680" w:right="1680"/>
        </w:sectPr>
      </w:pPr>
    </w:p>
    <w:p>
      <w:pPr>
        <w:pStyle w:val="BodyText"/>
      </w:pPr>
    </w:p>
    <w:p>
      <w:pPr>
        <w:pStyle w:val="BodyText"/>
        <w:spacing w:before="14"/>
      </w:pPr>
    </w:p>
    <w:p>
      <w:pPr>
        <w:pStyle w:val="BodyText"/>
        <w:spacing w:line="228" w:lineRule="auto"/>
        <w:ind w:left="673" w:right="672"/>
        <w:jc w:val="both"/>
      </w:pPr>
      <w:r>
        <w:rPr/>
        <w:t>tiche in ordine al “valore aggiunto” delle varie parti della pronuncia della Corte di giustizia, “valore aggiunto” da intendersi tale rispetto alle conclu- sioni alle quali era pervenuta la dottrina sulla base del testo e del contesto dell’art. 42 del Regolamento (Ue) n. 2017/1939, dei punti della motiva- zione che si riferivano a quel medesimo art. 42 e dei lavori preparatori di tale importante atto legislativo dell’Unione.</w:t>
      </w:r>
    </w:p>
    <w:p>
      <w:pPr>
        <w:pStyle w:val="BodyText"/>
        <w:spacing w:line="258" w:lineRule="exact"/>
        <w:ind w:left="1068"/>
        <w:jc w:val="both"/>
      </w:pPr>
      <w:r>
        <w:rPr/>
        <w:t>Come</w:t>
      </w:r>
      <w:r>
        <w:rPr>
          <w:spacing w:val="35"/>
        </w:rPr>
        <w:t> </w:t>
      </w:r>
      <w:r>
        <w:rPr/>
        <w:t>sopra</w:t>
      </w:r>
      <w:r>
        <w:rPr>
          <w:spacing w:val="35"/>
        </w:rPr>
        <w:t> </w:t>
      </w:r>
      <w:r>
        <w:rPr/>
        <w:t>rilevato,</w:t>
      </w:r>
      <w:r>
        <w:rPr>
          <w:spacing w:val="29"/>
        </w:rPr>
        <w:t> </w:t>
      </w:r>
      <w:r>
        <w:rPr/>
        <w:t>largamente</w:t>
      </w:r>
      <w:r>
        <w:rPr>
          <w:spacing w:val="35"/>
        </w:rPr>
        <w:t> </w:t>
      </w:r>
      <w:r>
        <w:rPr/>
        <w:t>prevedibile</w:t>
      </w:r>
      <w:r>
        <w:rPr>
          <w:spacing w:val="31"/>
        </w:rPr>
        <w:t> </w:t>
      </w:r>
      <w:r>
        <w:rPr/>
        <w:t>era</w:t>
      </w:r>
      <w:r>
        <w:rPr>
          <w:spacing w:val="30"/>
        </w:rPr>
        <w:t> </w:t>
      </w:r>
      <w:r>
        <w:rPr/>
        <w:t>la</w:t>
      </w:r>
      <w:r>
        <w:rPr>
          <w:spacing w:val="35"/>
        </w:rPr>
        <w:t> </w:t>
      </w:r>
      <w:r>
        <w:rPr/>
        <w:t>qualificazione</w:t>
      </w:r>
      <w:r>
        <w:rPr>
          <w:spacing w:val="32"/>
        </w:rPr>
        <w:t> </w:t>
      </w:r>
      <w:r>
        <w:rPr>
          <w:spacing w:val="-5"/>
        </w:rPr>
        <w:t>di</w:t>
      </w:r>
    </w:p>
    <w:p>
      <w:pPr>
        <w:pStyle w:val="BodyText"/>
        <w:spacing w:line="228" w:lineRule="auto" w:before="6"/>
        <w:ind w:left="673" w:right="667"/>
        <w:jc w:val="both"/>
      </w:pPr>
      <w:r>
        <w:rPr/>
        <w:t>«nozione autonoma» di puro diritto dell’Unione riferita agli «atti procedu- rali dell’EPPO</w:t>
      </w:r>
      <w:r>
        <w:rPr>
          <w:spacing w:val="-1"/>
        </w:rPr>
        <w:t> </w:t>
      </w:r>
      <w:r>
        <w:rPr/>
        <w:t>destinati a produrre effetti giuridici nei confronti dei terzi», così come si presentava largamente prevedibile, data l’assoluta identità di formulazione delle due norme di diritto dell’Unione, l’integrale trasposi- zione della giurisprudenza avente ad</w:t>
      </w:r>
      <w:r>
        <w:rPr>
          <w:spacing w:val="-1"/>
        </w:rPr>
        <w:t> </w:t>
      </w:r>
      <w:r>
        <w:rPr/>
        <w:t>oggetto</w:t>
      </w:r>
      <w:r>
        <w:rPr>
          <w:spacing w:val="-1"/>
        </w:rPr>
        <w:t> </w:t>
      </w:r>
      <w:r>
        <w:rPr/>
        <w:t>l’interpretazione dell’art.</w:t>
      </w:r>
      <w:r>
        <w:rPr>
          <w:spacing w:val="-1"/>
        </w:rPr>
        <w:t> </w:t>
      </w:r>
      <w:r>
        <w:rPr/>
        <w:t>263 TFUE</w:t>
      </w:r>
      <w:r>
        <w:rPr>
          <w:spacing w:val="-1"/>
        </w:rPr>
        <w:t> </w:t>
      </w:r>
      <w:r>
        <w:rPr/>
        <w:t>all’interpretazione</w:t>
      </w:r>
      <w:r>
        <w:rPr>
          <w:spacing w:val="-4"/>
        </w:rPr>
        <w:t> </w:t>
      </w:r>
      <w:r>
        <w:rPr/>
        <w:t>dell’espressione «[atti]</w:t>
      </w:r>
      <w:r>
        <w:rPr>
          <w:spacing w:val="-2"/>
        </w:rPr>
        <w:t> </w:t>
      </w:r>
      <w:r>
        <w:rPr/>
        <w:t>destinati</w:t>
      </w:r>
      <w:r>
        <w:rPr>
          <w:spacing w:val="-4"/>
        </w:rPr>
        <w:t> </w:t>
      </w:r>
      <w:r>
        <w:rPr/>
        <w:t>a</w:t>
      </w:r>
      <w:r>
        <w:rPr>
          <w:spacing w:val="-1"/>
        </w:rPr>
        <w:t> </w:t>
      </w:r>
      <w:r>
        <w:rPr/>
        <w:t>produrre</w:t>
      </w:r>
      <w:r>
        <w:rPr>
          <w:spacing w:val="-1"/>
        </w:rPr>
        <w:t> </w:t>
      </w:r>
      <w:r>
        <w:rPr/>
        <w:t>effet- ti giuridici nei confronti dei terzi» contenuta nell’art. 42, par. 1, del Rego- lamento EPPO.</w:t>
      </w:r>
    </w:p>
    <w:p>
      <w:pPr>
        <w:pStyle w:val="BodyText"/>
        <w:spacing w:line="228" w:lineRule="auto"/>
        <w:ind w:left="673" w:right="667" w:firstLine="396"/>
        <w:jc w:val="both"/>
      </w:pPr>
      <w:r>
        <w:rPr/>
        <w:t>Suscita, invece, qualche perplessità la parte della motivazione della sentenza nella quale la Corte di giustizia ha deciso di delegare ai giudici nazionali la valutazione degli effetti giuridici vincolanti, o meno, di una citazione a comparire come testimone disposta da un procuratore europeo delegato e, più in generale, la valutazione degli effetti giuridici vincolanti di un qualsiasi atto procedurale posto in essere da un PED. È vero che in quegli</w:t>
      </w:r>
      <w:r>
        <w:rPr>
          <w:spacing w:val="-2"/>
        </w:rPr>
        <w:t> </w:t>
      </w:r>
      <w:r>
        <w:rPr/>
        <w:t>otto</w:t>
      </w:r>
      <w:r>
        <w:rPr>
          <w:spacing w:val="-3"/>
        </w:rPr>
        <w:t> </w:t>
      </w:r>
      <w:r>
        <w:rPr/>
        <w:t>punti</w:t>
      </w:r>
      <w:r>
        <w:rPr>
          <w:spacing w:val="-2"/>
        </w:rPr>
        <w:t> </w:t>
      </w:r>
      <w:r>
        <w:rPr/>
        <w:t>della</w:t>
      </w:r>
      <w:r>
        <w:rPr>
          <w:spacing w:val="-2"/>
        </w:rPr>
        <w:t> </w:t>
      </w:r>
      <w:r>
        <w:rPr/>
        <w:t>motivazione</w:t>
      </w:r>
      <w:r>
        <w:rPr>
          <w:spacing w:val="-2"/>
        </w:rPr>
        <w:t> </w:t>
      </w:r>
      <w:r>
        <w:rPr/>
        <w:t>della</w:t>
      </w:r>
      <w:r>
        <w:rPr>
          <w:spacing w:val="-2"/>
        </w:rPr>
        <w:t> </w:t>
      </w:r>
      <w:r>
        <w:rPr/>
        <w:t>sentenza</w:t>
      </w:r>
      <w:hyperlink w:history="true" w:anchor="_bookmark28">
        <w:r>
          <w:rPr>
            <w:position w:val="7"/>
            <w:sz w:val="13"/>
          </w:rPr>
          <w:t>29</w:t>
        </w:r>
      </w:hyperlink>
      <w:r>
        <w:rPr>
          <w:spacing w:val="26"/>
          <w:position w:val="7"/>
          <w:sz w:val="13"/>
        </w:rPr>
        <w:t> </w:t>
      </w:r>
      <w:r>
        <w:rPr/>
        <w:t>i</w:t>
      </w:r>
      <w:r>
        <w:rPr>
          <w:spacing w:val="-2"/>
        </w:rPr>
        <w:t> </w:t>
      </w:r>
      <w:r>
        <w:rPr/>
        <w:t>giudici</w:t>
      </w:r>
      <w:r>
        <w:rPr>
          <w:spacing w:val="-2"/>
        </w:rPr>
        <w:t> </w:t>
      </w:r>
      <w:r>
        <w:rPr/>
        <w:t>europei</w:t>
      </w:r>
      <w:r>
        <w:rPr>
          <w:spacing w:val="-2"/>
        </w:rPr>
        <w:t> </w:t>
      </w:r>
      <w:r>
        <w:rPr/>
        <w:t>hanno fornito ai giudici penali degli Stati membri vari parametri di giudizio sulla base dei quali valutare la natura più o meno vincolante di un atto d’in- dagine disposto da un procuratore delegato, quali, come sopra rilevato, la posizione del</w:t>
      </w:r>
      <w:r>
        <w:rPr>
          <w:spacing w:val="-2"/>
        </w:rPr>
        <w:t> </w:t>
      </w:r>
      <w:r>
        <w:rPr/>
        <w:t>soggetto</w:t>
      </w:r>
      <w:r>
        <w:rPr>
          <w:spacing w:val="-4"/>
        </w:rPr>
        <w:t> </w:t>
      </w:r>
      <w:r>
        <w:rPr/>
        <w:t>che</w:t>
      </w:r>
      <w:r>
        <w:rPr>
          <w:spacing w:val="-2"/>
        </w:rPr>
        <w:t> </w:t>
      </w:r>
      <w:r>
        <w:rPr/>
        <w:t>intende</w:t>
      </w:r>
      <w:r>
        <w:rPr>
          <w:spacing w:val="-2"/>
        </w:rPr>
        <w:t> </w:t>
      </w:r>
      <w:r>
        <w:rPr/>
        <w:t>contestare</w:t>
      </w:r>
      <w:r>
        <w:rPr>
          <w:spacing w:val="-2"/>
        </w:rPr>
        <w:t> </w:t>
      </w:r>
      <w:r>
        <w:rPr/>
        <w:t>tale atto,</w:t>
      </w:r>
      <w:r>
        <w:rPr>
          <w:spacing w:val="-3"/>
        </w:rPr>
        <w:t> </w:t>
      </w:r>
      <w:r>
        <w:rPr/>
        <w:t>il</w:t>
      </w:r>
      <w:r>
        <w:rPr>
          <w:spacing w:val="-2"/>
        </w:rPr>
        <w:t> </w:t>
      </w:r>
      <w:r>
        <w:rPr/>
        <w:t>contenuto dell’at- to stesso, il contesto nel quale questo è stato adottato ed i poteri del- l’autorità</w:t>
      </w:r>
      <w:r>
        <w:rPr>
          <w:spacing w:val="-4"/>
        </w:rPr>
        <w:t> </w:t>
      </w:r>
      <w:r>
        <w:rPr/>
        <w:t>inquirente</w:t>
      </w:r>
      <w:r>
        <w:rPr>
          <w:spacing w:val="-4"/>
        </w:rPr>
        <w:t> </w:t>
      </w:r>
      <w:r>
        <w:rPr/>
        <w:t>incaricata</w:t>
      </w:r>
      <w:r>
        <w:rPr>
          <w:spacing w:val="-4"/>
        </w:rPr>
        <w:t> </w:t>
      </w:r>
      <w:r>
        <w:rPr/>
        <w:t>dell’indagine.</w:t>
      </w:r>
      <w:r>
        <w:rPr>
          <w:spacing w:val="-5"/>
        </w:rPr>
        <w:t> </w:t>
      </w:r>
      <w:r>
        <w:rPr/>
        <w:t>Va,</w:t>
      </w:r>
      <w:r>
        <w:rPr>
          <w:spacing w:val="-5"/>
        </w:rPr>
        <w:t> </w:t>
      </w:r>
      <w:r>
        <w:rPr/>
        <w:t>tuttavia,</w:t>
      </w:r>
      <w:r>
        <w:rPr>
          <w:spacing w:val="-6"/>
        </w:rPr>
        <w:t> </w:t>
      </w:r>
      <w:r>
        <w:rPr/>
        <w:t>parimenti</w:t>
      </w:r>
      <w:r>
        <w:rPr>
          <w:spacing w:val="-4"/>
        </w:rPr>
        <w:t> </w:t>
      </w:r>
      <w:r>
        <w:rPr/>
        <w:t>rileva- to che il risultato di tale approccio “caso per caso” scelto dalla Corte di giustizia avrà inevitabilmente come risultato una disparità di decisioni in ordine</w:t>
      </w:r>
      <w:r>
        <w:rPr>
          <w:spacing w:val="-2"/>
        </w:rPr>
        <w:t> </w:t>
      </w:r>
      <w:r>
        <w:rPr/>
        <w:t>agli</w:t>
      </w:r>
      <w:r>
        <w:rPr>
          <w:spacing w:val="-2"/>
        </w:rPr>
        <w:t> </w:t>
      </w:r>
      <w:r>
        <w:rPr/>
        <w:t>effetti</w:t>
      </w:r>
      <w:r>
        <w:rPr>
          <w:spacing w:val="-2"/>
        </w:rPr>
        <w:t> </w:t>
      </w:r>
      <w:r>
        <w:rPr/>
        <w:t>giuridici</w:t>
      </w:r>
      <w:r>
        <w:rPr>
          <w:spacing w:val="-2"/>
        </w:rPr>
        <w:t> </w:t>
      </w:r>
      <w:r>
        <w:rPr/>
        <w:t>vincolanti</w:t>
      </w:r>
      <w:r>
        <w:rPr>
          <w:spacing w:val="-2"/>
        </w:rPr>
        <w:t> </w:t>
      </w:r>
      <w:r>
        <w:rPr/>
        <w:t>della</w:t>
      </w:r>
      <w:r>
        <w:rPr>
          <w:spacing w:val="-6"/>
        </w:rPr>
        <w:t> </w:t>
      </w:r>
      <w:r>
        <w:rPr/>
        <w:t>stessa</w:t>
      </w:r>
      <w:r>
        <w:rPr>
          <w:spacing w:val="-2"/>
        </w:rPr>
        <w:t> </w:t>
      </w:r>
      <w:r>
        <w:rPr/>
        <w:t>categoria</w:t>
      </w:r>
      <w:r>
        <w:rPr>
          <w:spacing w:val="-2"/>
        </w:rPr>
        <w:t> </w:t>
      </w:r>
      <w:r>
        <w:rPr/>
        <w:t>di</w:t>
      </w:r>
      <w:r>
        <w:rPr>
          <w:spacing w:val="-7"/>
        </w:rPr>
        <w:t> </w:t>
      </w:r>
      <w:r>
        <w:rPr/>
        <w:t>atti</w:t>
      </w:r>
      <w:r>
        <w:rPr>
          <w:spacing w:val="-2"/>
        </w:rPr>
        <w:t> </w:t>
      </w:r>
      <w:r>
        <w:rPr/>
        <w:t>d’indagi- ne – nella fattispecie: la citazione a comparire di testimoni – fra giudici penali del medesimo Stato membro in funzione della diversa valutazione che ciascuno di tali giudici nazionali farà</w:t>
      </w:r>
      <w:r>
        <w:rPr>
          <w:spacing w:val="-2"/>
        </w:rPr>
        <w:t> </w:t>
      </w:r>
      <w:r>
        <w:rPr/>
        <w:t>rispettivamente della sussistenza o meno di ciascuno dei suddetti parametri: la posizione del soggetto che intende contestare l’atto d’indagine, il contenuto dell’atto, il contesto nel quale questo è stato disposto e l’estensione dei poteri d’indagine conferiti dal codice di procedura penale nazionale ad un procuratore delegato ope- rante</w:t>
      </w:r>
      <w:r>
        <w:rPr>
          <w:spacing w:val="11"/>
        </w:rPr>
        <w:t> </w:t>
      </w:r>
      <w:r>
        <w:rPr/>
        <w:t>in</w:t>
      </w:r>
      <w:r>
        <w:rPr>
          <w:spacing w:val="11"/>
        </w:rPr>
        <w:t> </w:t>
      </w:r>
      <w:r>
        <w:rPr/>
        <w:t>quello</w:t>
      </w:r>
      <w:r>
        <w:rPr>
          <w:spacing w:val="11"/>
        </w:rPr>
        <w:t> </w:t>
      </w:r>
      <w:r>
        <w:rPr/>
        <w:t>stesso</w:t>
      </w:r>
      <w:r>
        <w:rPr>
          <w:spacing w:val="11"/>
        </w:rPr>
        <w:t> </w:t>
      </w:r>
      <w:r>
        <w:rPr/>
        <w:t>Stato</w:t>
      </w:r>
      <w:r>
        <w:rPr>
          <w:spacing w:val="11"/>
        </w:rPr>
        <w:t> </w:t>
      </w:r>
      <w:r>
        <w:rPr/>
        <w:t>membro.</w:t>
      </w:r>
      <w:r>
        <w:rPr>
          <w:spacing w:val="7"/>
        </w:rPr>
        <w:t> </w:t>
      </w:r>
      <w:r>
        <w:rPr/>
        <w:t>Tale</w:t>
      </w:r>
      <w:r>
        <w:rPr>
          <w:spacing w:val="9"/>
        </w:rPr>
        <w:t> </w:t>
      </w:r>
      <w:r>
        <w:rPr/>
        <w:t>valutazione</w:t>
      </w:r>
      <w:r>
        <w:rPr>
          <w:spacing w:val="8"/>
        </w:rPr>
        <w:t> </w:t>
      </w:r>
      <w:r>
        <w:rPr/>
        <w:t>“caso</w:t>
      </w:r>
      <w:r>
        <w:rPr>
          <w:spacing w:val="11"/>
        </w:rPr>
        <w:t> </w:t>
      </w:r>
      <w:r>
        <w:rPr/>
        <w:t>per</w:t>
      </w:r>
      <w:r>
        <w:rPr>
          <w:spacing w:val="7"/>
        </w:rPr>
        <w:t> </w:t>
      </w:r>
      <w:r>
        <w:rPr/>
        <w:t>caso”</w:t>
      </w:r>
      <w:r>
        <w:rPr>
          <w:spacing w:val="13"/>
        </w:rPr>
        <w:t> </w:t>
      </w:r>
      <w:r>
        <w:rPr>
          <w:spacing w:val="-5"/>
        </w:rPr>
        <w:t>de-</w:t>
      </w:r>
    </w:p>
    <w:p>
      <w:pPr>
        <w:spacing w:before="235"/>
        <w:ind w:left="956" w:right="0" w:firstLine="0"/>
        <w:jc w:val="both"/>
        <w:rPr>
          <w:sz w:val="19"/>
        </w:rPr>
      </w:pPr>
      <w:bookmarkStart w:name="_bookmark28" w:id="29"/>
      <w:bookmarkEnd w:id="29"/>
      <w:r>
        <w:rPr/>
      </w:r>
      <w:r>
        <w:rPr>
          <w:sz w:val="19"/>
          <w:vertAlign w:val="superscript"/>
        </w:rPr>
        <w:t>29</w:t>
      </w:r>
      <w:r>
        <w:rPr>
          <w:spacing w:val="-12"/>
          <w:sz w:val="19"/>
          <w:vertAlign w:val="baseline"/>
        </w:rPr>
        <w:t> </w:t>
      </w:r>
      <w:r>
        <w:rPr>
          <w:sz w:val="19"/>
          <w:vertAlign w:val="baseline"/>
        </w:rPr>
        <w:t>Si</w:t>
      </w:r>
      <w:r>
        <w:rPr>
          <w:spacing w:val="-12"/>
          <w:sz w:val="19"/>
          <w:vertAlign w:val="baseline"/>
        </w:rPr>
        <w:t> </w:t>
      </w:r>
      <w:r>
        <w:rPr>
          <w:sz w:val="19"/>
          <w:vertAlign w:val="baseline"/>
        </w:rPr>
        <w:t>tratta</w:t>
      </w:r>
      <w:r>
        <w:rPr>
          <w:spacing w:val="-12"/>
          <w:sz w:val="19"/>
          <w:vertAlign w:val="baseline"/>
        </w:rPr>
        <w:t> </w:t>
      </w:r>
      <w:r>
        <w:rPr>
          <w:sz w:val="19"/>
          <w:vertAlign w:val="baseline"/>
        </w:rPr>
        <w:t>dei</w:t>
      </w:r>
      <w:r>
        <w:rPr>
          <w:spacing w:val="-12"/>
          <w:sz w:val="19"/>
          <w:vertAlign w:val="baseline"/>
        </w:rPr>
        <w:t> </w:t>
      </w:r>
      <w:r>
        <w:rPr>
          <w:sz w:val="19"/>
          <w:vertAlign w:val="baseline"/>
        </w:rPr>
        <w:t>punti</w:t>
      </w:r>
      <w:r>
        <w:rPr>
          <w:spacing w:val="-12"/>
          <w:sz w:val="19"/>
          <w:vertAlign w:val="baseline"/>
        </w:rPr>
        <w:t> </w:t>
      </w:r>
      <w:r>
        <w:rPr>
          <w:sz w:val="19"/>
          <w:vertAlign w:val="baseline"/>
        </w:rPr>
        <w:t>da</w:t>
      </w:r>
      <w:r>
        <w:rPr>
          <w:spacing w:val="-12"/>
          <w:sz w:val="19"/>
          <w:vertAlign w:val="baseline"/>
        </w:rPr>
        <w:t> </w:t>
      </w:r>
      <w:r>
        <w:rPr>
          <w:sz w:val="19"/>
          <w:vertAlign w:val="baseline"/>
        </w:rPr>
        <w:t>67</w:t>
      </w:r>
      <w:r>
        <w:rPr>
          <w:spacing w:val="-12"/>
          <w:sz w:val="19"/>
          <w:vertAlign w:val="baseline"/>
        </w:rPr>
        <w:t> </w:t>
      </w:r>
      <w:r>
        <w:rPr>
          <w:sz w:val="19"/>
          <w:vertAlign w:val="baseline"/>
        </w:rPr>
        <w:t>a</w:t>
      </w:r>
      <w:r>
        <w:rPr>
          <w:spacing w:val="-11"/>
          <w:sz w:val="19"/>
          <w:vertAlign w:val="baseline"/>
        </w:rPr>
        <w:t> </w:t>
      </w:r>
      <w:r>
        <w:rPr>
          <w:sz w:val="19"/>
          <w:vertAlign w:val="baseline"/>
        </w:rPr>
        <w:t>75</w:t>
      </w:r>
      <w:r>
        <w:rPr>
          <w:spacing w:val="-12"/>
          <w:sz w:val="19"/>
          <w:vertAlign w:val="baseline"/>
        </w:rPr>
        <w:t> </w:t>
      </w:r>
      <w:r>
        <w:rPr>
          <w:sz w:val="19"/>
          <w:vertAlign w:val="baseline"/>
        </w:rPr>
        <w:t>della</w:t>
      </w:r>
      <w:r>
        <w:rPr>
          <w:spacing w:val="-12"/>
          <w:sz w:val="19"/>
          <w:vertAlign w:val="baseline"/>
        </w:rPr>
        <w:t> </w:t>
      </w:r>
      <w:r>
        <w:rPr>
          <w:sz w:val="19"/>
          <w:vertAlign w:val="baseline"/>
        </w:rPr>
        <w:t>sentenza</w:t>
      </w:r>
      <w:r>
        <w:rPr>
          <w:spacing w:val="-12"/>
          <w:sz w:val="19"/>
          <w:vertAlign w:val="baseline"/>
        </w:rPr>
        <w:t> </w:t>
      </w:r>
      <w:r>
        <w:rPr>
          <w:sz w:val="19"/>
          <w:vertAlign w:val="baseline"/>
        </w:rPr>
        <w:t>in</w:t>
      </w:r>
      <w:r>
        <w:rPr>
          <w:spacing w:val="-12"/>
          <w:sz w:val="19"/>
          <w:vertAlign w:val="baseline"/>
        </w:rPr>
        <w:t> </w:t>
      </w:r>
      <w:r>
        <w:rPr>
          <w:sz w:val="19"/>
          <w:vertAlign w:val="baseline"/>
        </w:rPr>
        <w:t>causa</w:t>
      </w:r>
      <w:r>
        <w:rPr>
          <w:spacing w:val="-12"/>
          <w:sz w:val="19"/>
          <w:vertAlign w:val="baseline"/>
        </w:rPr>
        <w:t> </w:t>
      </w:r>
      <w:r>
        <w:rPr>
          <w:sz w:val="19"/>
          <w:vertAlign w:val="baseline"/>
        </w:rPr>
        <w:t>n.</w:t>
      </w:r>
      <w:r>
        <w:rPr>
          <w:spacing w:val="-11"/>
          <w:sz w:val="19"/>
          <w:vertAlign w:val="baseline"/>
        </w:rPr>
        <w:t> </w:t>
      </w:r>
      <w:r>
        <w:rPr>
          <w:sz w:val="19"/>
          <w:vertAlign w:val="baseline"/>
        </w:rPr>
        <w:t>C-292/23</w:t>
      </w:r>
      <w:r>
        <w:rPr>
          <w:spacing w:val="-10"/>
          <w:sz w:val="19"/>
          <w:vertAlign w:val="baseline"/>
        </w:rPr>
        <w:t> </w:t>
      </w:r>
      <w:r>
        <w:rPr>
          <w:sz w:val="19"/>
          <w:vertAlign w:val="baseline"/>
        </w:rPr>
        <w:t>commentati</w:t>
      </w:r>
      <w:r>
        <w:rPr>
          <w:spacing w:val="-12"/>
          <w:sz w:val="19"/>
          <w:vertAlign w:val="baseline"/>
        </w:rPr>
        <w:t> </w:t>
      </w:r>
      <w:r>
        <w:rPr>
          <w:i/>
          <w:sz w:val="19"/>
          <w:vertAlign w:val="baseline"/>
        </w:rPr>
        <w:t>supra</w:t>
      </w:r>
      <w:r>
        <w:rPr>
          <w:sz w:val="19"/>
          <w:vertAlign w:val="baseline"/>
        </w:rPr>
        <w:t>,</w:t>
      </w:r>
      <w:r>
        <w:rPr>
          <w:spacing w:val="-10"/>
          <w:sz w:val="19"/>
          <w:vertAlign w:val="baseline"/>
        </w:rPr>
        <w:t> </w:t>
      </w:r>
      <w:r>
        <w:rPr>
          <w:sz w:val="19"/>
          <w:vertAlign w:val="baseline"/>
        </w:rPr>
        <w:t>par.</w:t>
      </w:r>
      <w:r>
        <w:rPr>
          <w:spacing w:val="-12"/>
          <w:sz w:val="19"/>
          <w:vertAlign w:val="baseline"/>
        </w:rPr>
        <w:t> </w:t>
      </w:r>
      <w:r>
        <w:rPr>
          <w:spacing w:val="-5"/>
          <w:sz w:val="19"/>
          <w:vertAlign w:val="baseline"/>
        </w:rPr>
        <w:t>3.</w:t>
      </w:r>
    </w:p>
    <w:p>
      <w:pPr>
        <w:spacing w:after="0"/>
        <w:jc w:val="both"/>
        <w:rPr>
          <w:sz w:val="19"/>
        </w:rPr>
        <w:sectPr>
          <w:pgSz w:w="11910" w:h="16840"/>
          <w:pgMar w:header="2182" w:footer="0" w:top="2480" w:bottom="280" w:left="1680" w:right="1680"/>
        </w:sectPr>
      </w:pPr>
    </w:p>
    <w:p>
      <w:pPr>
        <w:pStyle w:val="BodyText"/>
      </w:pPr>
    </w:p>
    <w:p>
      <w:pPr>
        <w:pStyle w:val="BodyText"/>
        <w:spacing w:before="14"/>
      </w:pPr>
    </w:p>
    <w:p>
      <w:pPr>
        <w:pStyle w:val="BodyText"/>
        <w:spacing w:line="228" w:lineRule="auto"/>
        <w:ind w:left="673" w:right="667"/>
        <w:jc w:val="both"/>
      </w:pPr>
      <w:r>
        <w:rPr/>
        <w:t>gli effetti giuridici vincolanti di un dato atto d’indagine si prospetta, per- tanto, difficile da conciliare con alcuni principi-cardine dell’ordinamento dell’Unione, quali il principio della parità di trattamento di situazioni giu- ridiche comparabili ed il principio del rispetto dei diritti della difesa (art. 48 della Carta dei diritti fondamentali) nella misura in cui due diversi giu- dici</w:t>
      </w:r>
      <w:r>
        <w:rPr>
          <w:spacing w:val="-2"/>
        </w:rPr>
        <w:t> </w:t>
      </w:r>
      <w:r>
        <w:rPr/>
        <w:t>penali</w:t>
      </w:r>
      <w:r>
        <w:rPr>
          <w:spacing w:val="-2"/>
        </w:rPr>
        <w:t> </w:t>
      </w:r>
      <w:r>
        <w:rPr/>
        <w:t>nazionali</w:t>
      </w:r>
      <w:r>
        <w:rPr>
          <w:spacing w:val="-2"/>
        </w:rPr>
        <w:t> </w:t>
      </w:r>
      <w:r>
        <w:rPr/>
        <w:t>potranno</w:t>
      </w:r>
      <w:r>
        <w:rPr>
          <w:spacing w:val="-3"/>
        </w:rPr>
        <w:t> </w:t>
      </w:r>
      <w:r>
        <w:rPr/>
        <w:t>pervenire</w:t>
      </w:r>
      <w:r>
        <w:rPr>
          <w:spacing w:val="-6"/>
        </w:rPr>
        <w:t> </w:t>
      </w:r>
      <w:r>
        <w:rPr/>
        <w:t>a</w:t>
      </w:r>
      <w:r>
        <w:rPr>
          <w:spacing w:val="-6"/>
        </w:rPr>
        <w:t> </w:t>
      </w:r>
      <w:r>
        <w:rPr/>
        <w:t>conclusioni</w:t>
      </w:r>
      <w:r>
        <w:rPr>
          <w:spacing w:val="-2"/>
        </w:rPr>
        <w:t> </w:t>
      </w:r>
      <w:r>
        <w:rPr/>
        <w:t>opposte</w:t>
      </w:r>
      <w:r>
        <w:rPr>
          <w:spacing w:val="-2"/>
        </w:rPr>
        <w:t> </w:t>
      </w:r>
      <w:r>
        <w:rPr/>
        <w:t>in</w:t>
      </w:r>
      <w:r>
        <w:rPr>
          <w:spacing w:val="-3"/>
        </w:rPr>
        <w:t> </w:t>
      </w:r>
      <w:r>
        <w:rPr/>
        <w:t>ordine</w:t>
      </w:r>
      <w:r>
        <w:rPr>
          <w:spacing w:val="-2"/>
        </w:rPr>
        <w:t> </w:t>
      </w:r>
      <w:r>
        <w:rPr/>
        <w:t>al- l’esistenza di effetti giuridici vincolanti rispetto a due identici atti d’inda- gine disposti da uno stesso procuratore delegato.</w:t>
      </w:r>
    </w:p>
    <w:p>
      <w:pPr>
        <w:pStyle w:val="BodyText"/>
        <w:spacing w:line="228" w:lineRule="auto"/>
        <w:ind w:left="673" w:right="667" w:firstLine="396"/>
        <w:jc w:val="both"/>
      </w:pPr>
      <w:r>
        <w:rPr/>
        <w:t>Non</w:t>
      </w:r>
      <w:r>
        <w:rPr>
          <w:spacing w:val="-2"/>
        </w:rPr>
        <w:t> </w:t>
      </w:r>
      <w:r>
        <w:rPr/>
        <w:t>è</w:t>
      </w:r>
      <w:r>
        <w:rPr>
          <w:spacing w:val="-1"/>
        </w:rPr>
        <w:t> </w:t>
      </w:r>
      <w:r>
        <w:rPr/>
        <w:t>la</w:t>
      </w:r>
      <w:r>
        <w:rPr>
          <w:spacing w:val="-1"/>
        </w:rPr>
        <w:t> </w:t>
      </w:r>
      <w:r>
        <w:rPr/>
        <w:t>prima</w:t>
      </w:r>
      <w:r>
        <w:rPr>
          <w:spacing w:val="-1"/>
        </w:rPr>
        <w:t> </w:t>
      </w:r>
      <w:r>
        <w:rPr/>
        <w:t>volta</w:t>
      </w:r>
      <w:r>
        <w:rPr>
          <w:spacing w:val="-1"/>
        </w:rPr>
        <w:t> </w:t>
      </w:r>
      <w:r>
        <w:rPr/>
        <w:t>che</w:t>
      </w:r>
      <w:r>
        <w:rPr>
          <w:spacing w:val="-1"/>
        </w:rPr>
        <w:t> </w:t>
      </w:r>
      <w:r>
        <w:rPr/>
        <w:t>la</w:t>
      </w:r>
      <w:r>
        <w:rPr>
          <w:spacing w:val="-1"/>
        </w:rPr>
        <w:t> </w:t>
      </w:r>
      <w:r>
        <w:rPr/>
        <w:t>Corte</w:t>
      </w:r>
      <w:r>
        <w:rPr>
          <w:spacing w:val="-1"/>
        </w:rPr>
        <w:t> </w:t>
      </w:r>
      <w:r>
        <w:rPr/>
        <w:t>di</w:t>
      </w:r>
      <w:r>
        <w:rPr>
          <w:spacing w:val="-1"/>
        </w:rPr>
        <w:t> </w:t>
      </w:r>
      <w:r>
        <w:rPr/>
        <w:t>giustizia</w:t>
      </w:r>
      <w:r>
        <w:rPr>
          <w:spacing w:val="-1"/>
        </w:rPr>
        <w:t> </w:t>
      </w:r>
      <w:r>
        <w:rPr/>
        <w:t>affida</w:t>
      </w:r>
      <w:r>
        <w:rPr>
          <w:spacing w:val="-1"/>
        </w:rPr>
        <w:t> </w:t>
      </w:r>
      <w:r>
        <w:rPr/>
        <w:t>ai</w:t>
      </w:r>
      <w:r>
        <w:rPr>
          <w:spacing w:val="-1"/>
        </w:rPr>
        <w:t> </w:t>
      </w:r>
      <w:r>
        <w:rPr/>
        <w:t>giudici</w:t>
      </w:r>
      <w:r>
        <w:rPr>
          <w:spacing w:val="-1"/>
        </w:rPr>
        <w:t> </w:t>
      </w:r>
      <w:r>
        <w:rPr/>
        <w:t>naziona- li</w:t>
      </w:r>
      <w:r>
        <w:rPr>
          <w:spacing w:val="-3"/>
        </w:rPr>
        <w:t> </w:t>
      </w:r>
      <w:r>
        <w:rPr/>
        <w:t>la</w:t>
      </w:r>
      <w:r>
        <w:rPr>
          <w:spacing w:val="-3"/>
        </w:rPr>
        <w:t> </w:t>
      </w:r>
      <w:r>
        <w:rPr/>
        <w:t>decisione</w:t>
      </w:r>
      <w:r>
        <w:rPr>
          <w:spacing w:val="-3"/>
        </w:rPr>
        <w:t> </w:t>
      </w:r>
      <w:r>
        <w:rPr/>
        <w:t>finale</w:t>
      </w:r>
      <w:r>
        <w:rPr>
          <w:spacing w:val="-3"/>
        </w:rPr>
        <w:t> </w:t>
      </w:r>
      <w:r>
        <w:rPr/>
        <w:t>circa</w:t>
      </w:r>
      <w:r>
        <w:rPr>
          <w:spacing w:val="-6"/>
        </w:rPr>
        <w:t> </w:t>
      </w:r>
      <w:r>
        <w:rPr/>
        <w:t>l’applicazione</w:t>
      </w:r>
      <w:r>
        <w:rPr>
          <w:spacing w:val="-3"/>
        </w:rPr>
        <w:t> </w:t>
      </w:r>
      <w:r>
        <w:rPr/>
        <w:t>di</w:t>
      </w:r>
      <w:r>
        <w:rPr>
          <w:spacing w:val="-3"/>
        </w:rPr>
        <w:t> </w:t>
      </w:r>
      <w:r>
        <w:rPr/>
        <w:t>un</w:t>
      </w:r>
      <w:r>
        <w:rPr>
          <w:spacing w:val="-4"/>
        </w:rPr>
        <w:t> </w:t>
      </w:r>
      <w:r>
        <w:rPr/>
        <w:t>principio</w:t>
      </w:r>
      <w:r>
        <w:rPr>
          <w:spacing w:val="-4"/>
        </w:rPr>
        <w:t> </w:t>
      </w:r>
      <w:r>
        <w:rPr/>
        <w:t>generale</w:t>
      </w:r>
      <w:r>
        <w:rPr>
          <w:spacing w:val="-3"/>
        </w:rPr>
        <w:t> </w:t>
      </w:r>
      <w:r>
        <w:rPr/>
        <w:t>dell’ordi- namento</w:t>
      </w:r>
      <w:r>
        <w:rPr>
          <w:spacing w:val="-3"/>
        </w:rPr>
        <w:t> </w:t>
      </w:r>
      <w:r>
        <w:rPr/>
        <w:t>dell’Unione</w:t>
      </w:r>
      <w:hyperlink w:history="true" w:anchor="_bookmark29">
        <w:r>
          <w:rPr>
            <w:position w:val="7"/>
            <w:sz w:val="13"/>
          </w:rPr>
          <w:t>30</w:t>
        </w:r>
      </w:hyperlink>
      <w:r>
        <w:rPr>
          <w:spacing w:val="26"/>
          <w:position w:val="7"/>
          <w:sz w:val="13"/>
        </w:rPr>
        <w:t> </w:t>
      </w:r>
      <w:r>
        <w:rPr/>
        <w:t>suscitando</w:t>
      </w:r>
      <w:r>
        <w:rPr>
          <w:spacing w:val="-3"/>
        </w:rPr>
        <w:t> </w:t>
      </w:r>
      <w:r>
        <w:rPr/>
        <w:t>analoghe</w:t>
      </w:r>
      <w:r>
        <w:rPr>
          <w:spacing w:val="-6"/>
        </w:rPr>
        <w:t> </w:t>
      </w:r>
      <w:r>
        <w:rPr/>
        <w:t>perplessità</w:t>
      </w:r>
      <w:r>
        <w:rPr>
          <w:spacing w:val="-2"/>
        </w:rPr>
        <w:t> </w:t>
      </w:r>
      <w:r>
        <w:rPr/>
        <w:t>della</w:t>
      </w:r>
      <w:r>
        <w:rPr>
          <w:spacing w:val="-2"/>
        </w:rPr>
        <w:t> </w:t>
      </w:r>
      <w:r>
        <w:rPr/>
        <w:t>dottrina</w:t>
      </w:r>
      <w:r>
        <w:rPr>
          <w:spacing w:val="-2"/>
        </w:rPr>
        <w:t> </w:t>
      </w:r>
      <w:r>
        <w:rPr/>
        <w:t>(nella precedente sentenza in causa n. C-205/20 si trattava del principio di pro- porzionalità</w:t>
      </w:r>
      <w:r>
        <w:rPr>
          <w:spacing w:val="-3"/>
        </w:rPr>
        <w:t> </w:t>
      </w:r>
      <w:r>
        <w:rPr/>
        <w:t>della</w:t>
      </w:r>
      <w:r>
        <w:rPr>
          <w:spacing w:val="-3"/>
        </w:rPr>
        <w:t> </w:t>
      </w:r>
      <w:r>
        <w:rPr/>
        <w:t>sanzione</w:t>
      </w:r>
      <w:r>
        <w:rPr>
          <w:spacing w:val="-3"/>
        </w:rPr>
        <w:t> </w:t>
      </w:r>
      <w:r>
        <w:rPr/>
        <w:t>rispetto</w:t>
      </w:r>
      <w:r>
        <w:rPr>
          <w:spacing w:val="-4"/>
        </w:rPr>
        <w:t> </w:t>
      </w:r>
      <w:r>
        <w:rPr/>
        <w:t>alla</w:t>
      </w:r>
      <w:r>
        <w:rPr>
          <w:spacing w:val="-3"/>
        </w:rPr>
        <w:t> </w:t>
      </w:r>
      <w:r>
        <w:rPr/>
        <w:t>gravità</w:t>
      </w:r>
      <w:r>
        <w:rPr>
          <w:spacing w:val="-3"/>
        </w:rPr>
        <w:t> </w:t>
      </w:r>
      <w:r>
        <w:rPr/>
        <w:t>dell’infrazione,</w:t>
      </w:r>
      <w:r>
        <w:rPr>
          <w:spacing w:val="-4"/>
        </w:rPr>
        <w:t> </w:t>
      </w:r>
      <w:r>
        <w:rPr/>
        <w:t>sancito</w:t>
      </w:r>
      <w:r>
        <w:rPr>
          <w:spacing w:val="-4"/>
        </w:rPr>
        <w:t> </w:t>
      </w:r>
      <w:r>
        <w:rPr/>
        <w:t>dal- l’art. 49,</w:t>
      </w:r>
      <w:r>
        <w:rPr>
          <w:spacing w:val="-4"/>
        </w:rPr>
        <w:t> </w:t>
      </w:r>
      <w:r>
        <w:rPr/>
        <w:t>par.</w:t>
      </w:r>
      <w:r>
        <w:rPr>
          <w:spacing w:val="-3"/>
        </w:rPr>
        <w:t> </w:t>
      </w:r>
      <w:r>
        <w:rPr/>
        <w:t>3, della</w:t>
      </w:r>
      <w:r>
        <w:rPr>
          <w:spacing w:val="-2"/>
        </w:rPr>
        <w:t> </w:t>
      </w:r>
      <w:r>
        <w:rPr/>
        <w:t>Carta dei diritti fondamentali).</w:t>
      </w:r>
      <w:r>
        <w:rPr>
          <w:spacing w:val="-3"/>
        </w:rPr>
        <w:t> </w:t>
      </w:r>
      <w:r>
        <w:rPr/>
        <w:t>Merita di essere,</w:t>
      </w:r>
      <w:r>
        <w:rPr>
          <w:spacing w:val="-3"/>
        </w:rPr>
        <w:t> </w:t>
      </w:r>
      <w:r>
        <w:rPr/>
        <w:t>d’al- tra parte, notato che l’estrema prudenza manifestata dai giudici europei nella sentenza in esame appare in antitesi rispetto alla grande determina- zione di cui la medesima Corte di giustizia ha dato prova nella prima sen- tenza in causa n. C-281/22, </w:t>
      </w:r>
      <w:r>
        <w:rPr>
          <w:i/>
        </w:rPr>
        <w:t>G. K.</w:t>
      </w:r>
      <w:r>
        <w:rPr/>
        <w:t>, riguardante l’interpretazione del Rego- lamento EPPO. Si ricorderà al riguardo che in quella pronuncia i giudici europei non</w:t>
      </w:r>
      <w:r>
        <w:rPr>
          <w:spacing w:val="-3"/>
        </w:rPr>
        <w:t> </w:t>
      </w:r>
      <w:r>
        <w:rPr/>
        <w:t>avevano</w:t>
      </w:r>
      <w:r>
        <w:rPr>
          <w:spacing w:val="-2"/>
        </w:rPr>
        <w:t> </w:t>
      </w:r>
      <w:r>
        <w:rPr/>
        <w:t>esitato, da</w:t>
      </w:r>
      <w:r>
        <w:rPr>
          <w:spacing w:val="-1"/>
        </w:rPr>
        <w:t> </w:t>
      </w:r>
      <w:r>
        <w:rPr/>
        <w:t>un lato,</w:t>
      </w:r>
      <w:r>
        <w:rPr>
          <w:spacing w:val="-3"/>
        </w:rPr>
        <w:t> </w:t>
      </w:r>
      <w:r>
        <w:rPr/>
        <w:t>ad integrare il</w:t>
      </w:r>
      <w:r>
        <w:rPr>
          <w:spacing w:val="-1"/>
        </w:rPr>
        <w:t> </w:t>
      </w:r>
      <w:r>
        <w:rPr/>
        <w:t>testo</w:t>
      </w:r>
      <w:r>
        <w:rPr>
          <w:spacing w:val="-3"/>
        </w:rPr>
        <w:t> </w:t>
      </w:r>
      <w:r>
        <w:rPr/>
        <w:t>degli artt. 31</w:t>
      </w:r>
      <w:r>
        <w:rPr>
          <w:spacing w:val="-3"/>
        </w:rPr>
        <w:t> </w:t>
      </w:r>
      <w:r>
        <w:rPr/>
        <w:t>e 32 del Regolamento EPPO limitando i poteri di controllo del giudice del PED «incaricato di prestare assistenza» alle sole modalità di esecuzione della</w:t>
      </w:r>
      <w:r>
        <w:rPr>
          <w:spacing w:val="40"/>
        </w:rPr>
        <w:t> </w:t>
      </w:r>
      <w:r>
        <w:rPr/>
        <w:t>misura</w:t>
      </w:r>
      <w:r>
        <w:rPr>
          <w:spacing w:val="41"/>
        </w:rPr>
        <w:t> </w:t>
      </w:r>
      <w:r>
        <w:rPr/>
        <w:t>investigativa</w:t>
      </w:r>
      <w:r>
        <w:rPr>
          <w:spacing w:val="40"/>
        </w:rPr>
        <w:t> </w:t>
      </w:r>
      <w:r>
        <w:rPr/>
        <w:t>assegnata</w:t>
      </w:r>
      <w:r>
        <w:rPr>
          <w:spacing w:val="41"/>
        </w:rPr>
        <w:t> </w:t>
      </w:r>
      <w:r>
        <w:rPr/>
        <w:t>dal</w:t>
      </w:r>
      <w:r>
        <w:rPr>
          <w:spacing w:val="37"/>
        </w:rPr>
        <w:t> </w:t>
      </w:r>
      <w:r>
        <w:rPr/>
        <w:t>PED</w:t>
      </w:r>
      <w:r>
        <w:rPr>
          <w:spacing w:val="41"/>
        </w:rPr>
        <w:t> </w:t>
      </w:r>
      <w:r>
        <w:rPr/>
        <w:t>di</w:t>
      </w:r>
      <w:r>
        <w:rPr>
          <w:spacing w:val="44"/>
        </w:rPr>
        <w:t> </w:t>
      </w:r>
      <w:r>
        <w:rPr/>
        <w:t>un</w:t>
      </w:r>
      <w:r>
        <w:rPr>
          <w:spacing w:val="42"/>
        </w:rPr>
        <w:t> </w:t>
      </w:r>
      <w:r>
        <w:rPr/>
        <w:t>altro</w:t>
      </w:r>
      <w:r>
        <w:rPr>
          <w:spacing w:val="43"/>
        </w:rPr>
        <w:t> </w:t>
      </w:r>
      <w:r>
        <w:rPr/>
        <w:t>Stato</w:t>
      </w:r>
      <w:r>
        <w:rPr>
          <w:spacing w:val="43"/>
        </w:rPr>
        <w:t> </w:t>
      </w:r>
      <w:r>
        <w:rPr>
          <w:spacing w:val="-2"/>
        </w:rPr>
        <w:t>membro</w:t>
      </w:r>
    </w:p>
    <w:p>
      <w:pPr>
        <w:pStyle w:val="BodyText"/>
        <w:spacing w:line="228" w:lineRule="auto" w:before="4"/>
        <w:ind w:left="673" w:right="671"/>
        <w:jc w:val="both"/>
      </w:pPr>
      <w:r>
        <w:rPr/>
        <w:t>«incaricato del caso». D’altro lato, gli stessi giudici dell’Unione non ave- vano esitato ad aggiungere agli stessi artt. 31 e 32, deducendolo dagli artt. 7 e 17 della Carta, un obbligo per i legislatori nazionali di introdurre nei rispettivi codici di procedura penale l’esigenza di un’autorizzazione del giudice per le perquisizioni di abitazioni private con sequestro di beni di- sposte</w:t>
      </w:r>
      <w:r>
        <w:rPr>
          <w:spacing w:val="-10"/>
        </w:rPr>
        <w:t> </w:t>
      </w:r>
      <w:r>
        <w:rPr/>
        <w:t>da</w:t>
      </w:r>
      <w:r>
        <w:rPr>
          <w:spacing w:val="-10"/>
        </w:rPr>
        <w:t> </w:t>
      </w:r>
      <w:r>
        <w:rPr/>
        <w:t>un</w:t>
      </w:r>
      <w:r>
        <w:rPr>
          <w:spacing w:val="-11"/>
        </w:rPr>
        <w:t> </w:t>
      </w:r>
      <w:r>
        <w:rPr/>
        <w:t>procuratore</w:t>
      </w:r>
      <w:r>
        <w:rPr>
          <w:spacing w:val="-11"/>
        </w:rPr>
        <w:t> </w:t>
      </w:r>
      <w:r>
        <w:rPr/>
        <w:t>delegato</w:t>
      </w:r>
      <w:hyperlink w:history="true" w:anchor="_bookmark30">
        <w:r>
          <w:rPr>
            <w:position w:val="7"/>
            <w:sz w:val="13"/>
          </w:rPr>
          <w:t>31</w:t>
        </w:r>
      </w:hyperlink>
      <w:r>
        <w:rPr/>
        <w:t>.</w:t>
      </w:r>
      <w:r>
        <w:rPr>
          <w:spacing w:val="-14"/>
        </w:rPr>
        <w:t> </w:t>
      </w:r>
      <w:r>
        <w:rPr/>
        <w:t>Applicando</w:t>
      </w:r>
      <w:r>
        <w:rPr>
          <w:spacing w:val="-11"/>
        </w:rPr>
        <w:t> </w:t>
      </w:r>
      <w:r>
        <w:rPr/>
        <w:t>la</w:t>
      </w:r>
      <w:r>
        <w:rPr>
          <w:spacing w:val="-13"/>
        </w:rPr>
        <w:t> </w:t>
      </w:r>
      <w:r>
        <w:rPr/>
        <w:t>medesima</w:t>
      </w:r>
      <w:r>
        <w:rPr>
          <w:spacing w:val="-13"/>
        </w:rPr>
        <w:t> </w:t>
      </w:r>
      <w:r>
        <w:rPr/>
        <w:t>determinazio- ne di cui alla sua prima sentenza appena menzionata (causa n. C-281/22), nel caso di specie la Corte di giustizia avrebbe ben potuto decidere diret- tamente,</w:t>
      </w:r>
      <w:r>
        <w:rPr>
          <w:spacing w:val="12"/>
        </w:rPr>
        <w:t> </w:t>
      </w:r>
      <w:r>
        <w:rPr/>
        <w:t>sulla</w:t>
      </w:r>
      <w:r>
        <w:rPr>
          <w:spacing w:val="14"/>
        </w:rPr>
        <w:t> </w:t>
      </w:r>
      <w:r>
        <w:rPr/>
        <w:t>base</w:t>
      </w:r>
      <w:r>
        <w:rPr>
          <w:spacing w:val="14"/>
        </w:rPr>
        <w:t> </w:t>
      </w:r>
      <w:r>
        <w:rPr/>
        <w:t>dei</w:t>
      </w:r>
      <w:r>
        <w:rPr>
          <w:spacing w:val="13"/>
        </w:rPr>
        <w:t> </w:t>
      </w:r>
      <w:r>
        <w:rPr/>
        <w:t>quattro</w:t>
      </w:r>
      <w:r>
        <w:rPr>
          <w:spacing w:val="8"/>
        </w:rPr>
        <w:t> </w:t>
      </w:r>
      <w:r>
        <w:rPr/>
        <w:t>criteri</w:t>
      </w:r>
      <w:r>
        <w:rPr>
          <w:spacing w:val="10"/>
        </w:rPr>
        <w:t> </w:t>
      </w:r>
      <w:r>
        <w:rPr/>
        <w:t>interpretativi</w:t>
      </w:r>
      <w:r>
        <w:rPr>
          <w:spacing w:val="13"/>
        </w:rPr>
        <w:t> </w:t>
      </w:r>
      <w:r>
        <w:rPr/>
        <w:t>da</w:t>
      </w:r>
      <w:r>
        <w:rPr>
          <w:spacing w:val="14"/>
        </w:rPr>
        <w:t> </w:t>
      </w:r>
      <w:r>
        <w:rPr/>
        <w:t>essa</w:t>
      </w:r>
      <w:r>
        <w:rPr>
          <w:spacing w:val="14"/>
        </w:rPr>
        <w:t> </w:t>
      </w:r>
      <w:r>
        <w:rPr/>
        <w:t>stessa</w:t>
      </w:r>
      <w:r>
        <w:rPr>
          <w:spacing w:val="15"/>
        </w:rPr>
        <w:t> </w:t>
      </w:r>
      <w:r>
        <w:rPr>
          <w:spacing w:val="-2"/>
        </w:rPr>
        <w:t>stabiliti,</w:t>
      </w:r>
    </w:p>
    <w:p>
      <w:pPr>
        <w:pStyle w:val="BodyText"/>
        <w:spacing w:before="203"/>
      </w:pPr>
    </w:p>
    <w:p>
      <w:pPr>
        <w:spacing w:line="192" w:lineRule="auto" w:before="1"/>
        <w:ind w:left="673" w:right="667" w:firstLine="284"/>
        <w:jc w:val="both"/>
        <w:rPr>
          <w:sz w:val="19"/>
        </w:rPr>
      </w:pPr>
      <w:bookmarkStart w:name="_bookmark29" w:id="30"/>
      <w:bookmarkEnd w:id="30"/>
      <w:r>
        <w:rPr/>
      </w:r>
      <w:r>
        <w:rPr>
          <w:sz w:val="19"/>
          <w:vertAlign w:val="superscript"/>
        </w:rPr>
        <w:t>30</w:t>
      </w:r>
      <w:r>
        <w:rPr>
          <w:sz w:val="19"/>
          <w:vertAlign w:val="baseline"/>
        </w:rPr>
        <w:t> Sentenza dell’8 marzo 2022 in causa n. C-205/20, </w:t>
      </w:r>
      <w:r>
        <w:rPr>
          <w:i/>
          <w:sz w:val="19"/>
          <w:vertAlign w:val="baseline"/>
        </w:rPr>
        <w:t>NE</w:t>
      </w:r>
      <w:r>
        <w:rPr>
          <w:sz w:val="19"/>
          <w:vertAlign w:val="baseline"/>
        </w:rPr>
        <w:t>, EU:C:2022:168. Critici rispetto alla parte finale della sentenza in causa n. C-205/20 sono stati i primi commenti a detta pro- nuncia della Corte di giustizia: F. V</w:t>
      </w:r>
      <w:r>
        <w:rPr>
          <w:sz w:val="15"/>
          <w:vertAlign w:val="baseline"/>
        </w:rPr>
        <w:t>IGANÒ</w:t>
      </w:r>
      <w:r>
        <w:rPr>
          <w:sz w:val="19"/>
          <w:vertAlign w:val="baseline"/>
        </w:rPr>
        <w:t>, </w:t>
      </w:r>
      <w:r>
        <w:rPr>
          <w:i/>
          <w:sz w:val="19"/>
          <w:vertAlign w:val="baseline"/>
        </w:rPr>
        <w:t>La proporzionalità della pena tra diritto costitu-</w:t>
      </w:r>
      <w:r>
        <w:rPr>
          <w:i/>
          <w:sz w:val="19"/>
          <w:vertAlign w:val="baseline"/>
        </w:rPr>
        <w:t> zionale italiano e diritto dell’Unione europea</w:t>
      </w:r>
      <w:r>
        <w:rPr>
          <w:sz w:val="19"/>
          <w:vertAlign w:val="baseline"/>
        </w:rPr>
        <w:t>, in </w:t>
      </w:r>
      <w:r>
        <w:rPr>
          <w:i/>
          <w:sz w:val="19"/>
          <w:vertAlign w:val="baseline"/>
        </w:rPr>
        <w:t>Sistema penale </w:t>
      </w:r>
      <w:r>
        <w:rPr>
          <w:sz w:val="19"/>
          <w:vertAlign w:val="baseline"/>
        </w:rPr>
        <w:t>del 26 aprile 2022, in parti- colare par. 5.3, e E. T</w:t>
      </w:r>
      <w:r>
        <w:rPr>
          <w:sz w:val="15"/>
          <w:vertAlign w:val="baseline"/>
        </w:rPr>
        <w:t>RAVERSA</w:t>
      </w:r>
      <w:r>
        <w:rPr>
          <w:sz w:val="19"/>
          <w:vertAlign w:val="baseline"/>
        </w:rPr>
        <w:t>, </w:t>
      </w:r>
      <w:r>
        <w:rPr>
          <w:i/>
          <w:sz w:val="19"/>
          <w:vertAlign w:val="baseline"/>
        </w:rPr>
        <w:t>La giurisprudenza della Corte di giustizia in materia di san-</w:t>
      </w:r>
      <w:r>
        <w:rPr>
          <w:i/>
          <w:sz w:val="19"/>
          <w:vertAlign w:val="baseline"/>
        </w:rPr>
        <w:t> zioni amministrative di diritto del lavoro</w:t>
      </w:r>
      <w:r>
        <w:rPr>
          <w:sz w:val="19"/>
          <w:vertAlign w:val="baseline"/>
        </w:rPr>
        <w:t>, in </w:t>
      </w:r>
      <w:r>
        <w:rPr>
          <w:i/>
          <w:sz w:val="19"/>
          <w:vertAlign w:val="baseline"/>
        </w:rPr>
        <w:t>Argomenti di diritto del lavoro</w:t>
      </w:r>
      <w:r>
        <w:rPr>
          <w:sz w:val="19"/>
          <w:vertAlign w:val="baseline"/>
        </w:rPr>
        <w:t>, n. 2/2023, pp. 289-318, in particolare pp. 306-307.</w:t>
      </w:r>
    </w:p>
    <w:p>
      <w:pPr>
        <w:spacing w:line="194" w:lineRule="auto" w:before="51"/>
        <w:ind w:left="673" w:right="668" w:firstLine="284"/>
        <w:jc w:val="both"/>
        <w:rPr>
          <w:sz w:val="19"/>
        </w:rPr>
      </w:pPr>
      <w:bookmarkStart w:name="_bookmark30" w:id="31"/>
      <w:bookmarkEnd w:id="31"/>
      <w:r>
        <w:rPr/>
      </w:r>
      <w:r>
        <w:rPr>
          <w:sz w:val="19"/>
          <w:vertAlign w:val="superscript"/>
        </w:rPr>
        <w:t>31</w:t>
      </w:r>
      <w:r>
        <w:rPr>
          <w:sz w:val="19"/>
          <w:vertAlign w:val="baseline"/>
        </w:rPr>
        <w:t> E. T</w:t>
      </w:r>
      <w:r>
        <w:rPr>
          <w:sz w:val="15"/>
          <w:vertAlign w:val="baseline"/>
        </w:rPr>
        <w:t>RAVERSA</w:t>
      </w:r>
      <w:r>
        <w:rPr>
          <w:sz w:val="19"/>
          <w:vertAlign w:val="baseline"/>
        </w:rPr>
        <w:t>, </w:t>
      </w:r>
      <w:r>
        <w:rPr>
          <w:i/>
          <w:sz w:val="19"/>
          <w:vertAlign w:val="baseline"/>
        </w:rPr>
        <w:t>Prima grande sentenza della Corte di giustizia UE (causa n. C-281/22)</w:t>
      </w:r>
      <w:r>
        <w:rPr>
          <w:i/>
          <w:sz w:val="19"/>
          <w:vertAlign w:val="baseline"/>
        </w:rPr>
        <w:t> avente ad oggetto l’interpretazione del regolamento istituivo della Procura europea (EPPO), </w:t>
      </w:r>
      <w:r>
        <w:rPr>
          <w:sz w:val="19"/>
          <w:vertAlign w:val="baseline"/>
        </w:rPr>
        <w:t>in questa </w:t>
      </w:r>
      <w:r>
        <w:rPr>
          <w:i/>
          <w:sz w:val="19"/>
          <w:vertAlign w:val="baseline"/>
        </w:rPr>
        <w:t>Rivista</w:t>
      </w:r>
      <w:r>
        <w:rPr>
          <w:sz w:val="19"/>
          <w:vertAlign w:val="baseline"/>
        </w:rPr>
        <w:t>, 2024, pp. 105-127, in particolare par. 5, </w:t>
      </w:r>
      <w:r>
        <w:rPr>
          <w:i/>
          <w:sz w:val="19"/>
          <w:vertAlign w:val="baseline"/>
        </w:rPr>
        <w:t>Considerazioni conclusive</w:t>
      </w:r>
      <w:r>
        <w:rPr>
          <w:sz w:val="19"/>
          <w:vertAlign w:val="baseline"/>
        </w:rPr>
        <w:t>.</w:t>
      </w:r>
    </w:p>
    <w:p>
      <w:pPr>
        <w:spacing w:after="0" w:line="194" w:lineRule="auto"/>
        <w:jc w:val="both"/>
        <w:rPr>
          <w:sz w:val="19"/>
        </w:rPr>
        <w:sectPr>
          <w:pgSz w:w="11910" w:h="16840"/>
          <w:pgMar w:header="2182" w:footer="0" w:top="2480" w:bottom="280" w:left="1680" w:right="1680"/>
        </w:sectPr>
      </w:pPr>
    </w:p>
    <w:p>
      <w:pPr>
        <w:pStyle w:val="BodyText"/>
      </w:pPr>
    </w:p>
    <w:p>
      <w:pPr>
        <w:pStyle w:val="BodyText"/>
        <w:spacing w:before="14"/>
      </w:pPr>
    </w:p>
    <w:p>
      <w:pPr>
        <w:pStyle w:val="BodyText"/>
        <w:spacing w:line="228" w:lineRule="auto"/>
        <w:ind w:left="673" w:right="668"/>
        <w:jc w:val="both"/>
        <w:rPr>
          <w:i/>
        </w:rPr>
      </w:pPr>
      <w:r>
        <w:rPr/>
        <w:t>che quantomeno nel contesto del diritto processuale penale spagnolo, così come descritto nell’ordinanza di rinvio, una citazione a comparire di te- stimoni costituiva senz’altro un atto destinato a produrre effetti giuridici vincolanti, in particolare nei confronti dell’imputato principale</w:t>
      </w:r>
      <w:r>
        <w:rPr>
          <w:i/>
        </w:rPr>
        <w:t>.</w:t>
      </w:r>
    </w:p>
    <w:p>
      <w:pPr>
        <w:pStyle w:val="BodyText"/>
        <w:spacing w:before="46"/>
        <w:rPr>
          <w:i/>
        </w:rPr>
      </w:pPr>
    </w:p>
    <w:p>
      <w:pPr>
        <w:pStyle w:val="ListParagraph"/>
        <w:numPr>
          <w:ilvl w:val="1"/>
          <w:numId w:val="1"/>
        </w:numPr>
        <w:tabs>
          <w:tab w:pos="1068" w:val="left" w:leader="none"/>
        </w:tabs>
        <w:spacing w:line="225" w:lineRule="auto" w:before="0" w:after="0"/>
        <w:ind w:left="1068" w:right="682" w:hanging="396"/>
        <w:jc w:val="left"/>
        <w:rPr>
          <w:i/>
          <w:sz w:val="24"/>
        </w:rPr>
      </w:pPr>
      <w:r>
        <w:rPr>
          <w:i/>
          <w:sz w:val="24"/>
        </w:rPr>
        <w:t>Modalità</w:t>
      </w:r>
      <w:r>
        <w:rPr>
          <w:i/>
          <w:spacing w:val="40"/>
          <w:sz w:val="24"/>
        </w:rPr>
        <w:t> </w:t>
      </w:r>
      <w:r>
        <w:rPr>
          <w:i/>
          <w:sz w:val="24"/>
        </w:rPr>
        <w:t>del</w:t>
      </w:r>
      <w:r>
        <w:rPr>
          <w:i/>
          <w:spacing w:val="40"/>
          <w:sz w:val="24"/>
        </w:rPr>
        <w:t> </w:t>
      </w:r>
      <w:r>
        <w:rPr>
          <w:i/>
          <w:sz w:val="24"/>
        </w:rPr>
        <w:t>controllo</w:t>
      </w:r>
      <w:r>
        <w:rPr>
          <w:i/>
          <w:spacing w:val="40"/>
          <w:sz w:val="24"/>
        </w:rPr>
        <w:t> </w:t>
      </w:r>
      <w:r>
        <w:rPr>
          <w:i/>
          <w:sz w:val="24"/>
        </w:rPr>
        <w:t>giurisdizionale</w:t>
      </w:r>
      <w:r>
        <w:rPr>
          <w:i/>
          <w:spacing w:val="40"/>
          <w:sz w:val="24"/>
        </w:rPr>
        <w:t> </w:t>
      </w:r>
      <w:r>
        <w:rPr>
          <w:i/>
          <w:sz w:val="24"/>
        </w:rPr>
        <w:t>sugli</w:t>
      </w:r>
      <w:r>
        <w:rPr>
          <w:i/>
          <w:spacing w:val="40"/>
          <w:sz w:val="24"/>
        </w:rPr>
        <w:t> </w:t>
      </w:r>
      <w:r>
        <w:rPr>
          <w:i/>
          <w:sz w:val="24"/>
        </w:rPr>
        <w:t>atti</w:t>
      </w:r>
      <w:r>
        <w:rPr>
          <w:i/>
          <w:spacing w:val="40"/>
          <w:sz w:val="24"/>
        </w:rPr>
        <w:t> </w:t>
      </w:r>
      <w:r>
        <w:rPr>
          <w:i/>
          <w:sz w:val="24"/>
        </w:rPr>
        <w:t>procedurali</w:t>
      </w:r>
      <w:r>
        <w:rPr>
          <w:i/>
          <w:spacing w:val="40"/>
          <w:sz w:val="24"/>
        </w:rPr>
        <w:t> </w:t>
      </w:r>
      <w:r>
        <w:rPr>
          <w:i/>
          <w:sz w:val="24"/>
        </w:rPr>
        <w:t>della</w:t>
      </w:r>
      <w:r>
        <w:rPr>
          <w:i/>
          <w:sz w:val="24"/>
        </w:rPr>
        <w:t> Procura europea: ricorso diretto o controllo incidentale</w:t>
      </w:r>
    </w:p>
    <w:p>
      <w:pPr>
        <w:pStyle w:val="BodyText"/>
        <w:spacing w:before="43"/>
        <w:rPr>
          <w:i/>
        </w:rPr>
      </w:pPr>
    </w:p>
    <w:p>
      <w:pPr>
        <w:pStyle w:val="BodyText"/>
        <w:spacing w:line="228" w:lineRule="auto"/>
        <w:ind w:left="673" w:right="667" w:firstLine="396"/>
        <w:jc w:val="both"/>
      </w:pPr>
      <w:r>
        <w:rPr/>
        <w:t>Del tutto condivisibile ed estremamente utile agli attori del processo penale</w:t>
      </w:r>
      <w:r>
        <w:rPr>
          <w:spacing w:val="-5"/>
        </w:rPr>
        <w:t> </w:t>
      </w:r>
      <w:r>
        <w:rPr/>
        <w:t>avente</w:t>
      </w:r>
      <w:r>
        <w:rPr>
          <w:spacing w:val="-1"/>
        </w:rPr>
        <w:t> </w:t>
      </w:r>
      <w:r>
        <w:rPr/>
        <w:t>ad</w:t>
      </w:r>
      <w:r>
        <w:rPr>
          <w:spacing w:val="-2"/>
        </w:rPr>
        <w:t> </w:t>
      </w:r>
      <w:r>
        <w:rPr/>
        <w:t>oggetto</w:t>
      </w:r>
      <w:r>
        <w:rPr>
          <w:spacing w:val="-2"/>
        </w:rPr>
        <w:t> </w:t>
      </w:r>
      <w:r>
        <w:rPr/>
        <w:t>i</w:t>
      </w:r>
      <w:r>
        <w:rPr>
          <w:spacing w:val="-1"/>
        </w:rPr>
        <w:t> </w:t>
      </w:r>
      <w:r>
        <w:rPr/>
        <w:t>reati</w:t>
      </w:r>
      <w:r>
        <w:rPr>
          <w:spacing w:val="-1"/>
        </w:rPr>
        <w:t> </w:t>
      </w:r>
      <w:r>
        <w:rPr/>
        <w:t>di</w:t>
      </w:r>
      <w:r>
        <w:rPr>
          <w:spacing w:val="-1"/>
        </w:rPr>
        <w:t> </w:t>
      </w:r>
      <w:r>
        <w:rPr/>
        <w:t>competenza</w:t>
      </w:r>
      <w:r>
        <w:rPr>
          <w:spacing w:val="-1"/>
        </w:rPr>
        <w:t> </w:t>
      </w:r>
      <w:r>
        <w:rPr/>
        <w:t>della</w:t>
      </w:r>
      <w:r>
        <w:rPr>
          <w:spacing w:val="-1"/>
        </w:rPr>
        <w:t> </w:t>
      </w:r>
      <w:r>
        <w:rPr/>
        <w:t>Procura</w:t>
      </w:r>
      <w:r>
        <w:rPr>
          <w:spacing w:val="-5"/>
        </w:rPr>
        <w:t> </w:t>
      </w:r>
      <w:r>
        <w:rPr/>
        <w:t>europea</w:t>
      </w:r>
      <w:r>
        <w:rPr>
          <w:spacing w:val="-1"/>
        </w:rPr>
        <w:t> </w:t>
      </w:r>
      <w:r>
        <w:rPr/>
        <w:t>appa- re, invece, l’interpretazione dell’art. 42, par. 1, del Regolamento EPPO elaborata dalla Corte di giustizia in ordine al tipo di «controllo degli orga- ni giurisdizionali competenti» sugli atti procedurali disposti dai procurato- ri europei delegati,</w:t>
      </w:r>
      <w:r>
        <w:rPr>
          <w:spacing w:val="-1"/>
        </w:rPr>
        <w:t> </w:t>
      </w:r>
      <w:r>
        <w:rPr/>
        <w:t>controllo che, in forza del rinvio</w:t>
      </w:r>
      <w:r>
        <w:rPr>
          <w:spacing w:val="-1"/>
        </w:rPr>
        <w:t> </w:t>
      </w:r>
      <w:r>
        <w:rPr/>
        <w:t>contenuto nello stesso art. 42, par. 1, «alle procedure e ai requisiti stabiliti dal diritto nazionale», consente ai legislatori degli Stati membri di optare, in relazione ad ogni categoria di atti d’indagine, per un ricorso diretto o per un controllo in via incidentale nel corso del giudizio di merito. La principale preoccupazione della Corte è il rispetto del diritto fondamentale ad una tutela giurisdizio- nale effettiva nei confronti degli atti procedurali disposti dai procuratori delegati, principio sancito in via generale dall’art. 19, par. 1, del Trattato sull’Unione europea (TUE) e dall’art. 47 della Carta dei diritti fondamen- tali. Tale preoccupazione risulta in modo esplicito dall’ultimo punto della motivazione</w:t>
      </w:r>
      <w:r>
        <w:rPr>
          <w:spacing w:val="-3"/>
        </w:rPr>
        <w:t> </w:t>
      </w:r>
      <w:r>
        <w:rPr/>
        <w:t>della sentenza,</w:t>
      </w:r>
      <w:r>
        <w:rPr>
          <w:spacing w:val="-1"/>
        </w:rPr>
        <w:t> </w:t>
      </w:r>
      <w:r>
        <w:rPr/>
        <w:t>laddove</w:t>
      </w:r>
      <w:r>
        <w:rPr>
          <w:spacing w:val="-3"/>
        </w:rPr>
        <w:t> </w:t>
      </w:r>
      <w:r>
        <w:rPr/>
        <w:t>i giudici dell’Unione hanno</w:t>
      </w:r>
      <w:r>
        <w:rPr>
          <w:spacing w:val="-5"/>
        </w:rPr>
        <w:t> </w:t>
      </w:r>
      <w:r>
        <w:rPr/>
        <w:t>affermato che le due precitate disposizioni di diritto primario dell’Unione «non osta- no all’assenza di un ricorso giurisdizionale diretto contro un atto della Procura europea di citazione a comparire come testimoni, purché siano ri- spettati i</w:t>
      </w:r>
      <w:r>
        <w:rPr>
          <w:spacing w:val="-2"/>
        </w:rPr>
        <w:t> </w:t>
      </w:r>
      <w:r>
        <w:rPr/>
        <w:t>requisiti</w:t>
      </w:r>
      <w:r>
        <w:rPr>
          <w:spacing w:val="-2"/>
        </w:rPr>
        <w:t> </w:t>
      </w:r>
      <w:r>
        <w:rPr/>
        <w:t>ricordati</w:t>
      </w:r>
      <w:r>
        <w:rPr>
          <w:spacing w:val="-2"/>
        </w:rPr>
        <w:t> </w:t>
      </w:r>
      <w:r>
        <w:rPr/>
        <w:t>ai punti 79</w:t>
      </w:r>
      <w:r>
        <w:rPr>
          <w:spacing w:val="-4"/>
        </w:rPr>
        <w:t> </w:t>
      </w:r>
      <w:r>
        <w:rPr/>
        <w:t>e 80 della presente</w:t>
      </w:r>
      <w:r>
        <w:rPr>
          <w:spacing w:val="-2"/>
        </w:rPr>
        <w:t> </w:t>
      </w:r>
      <w:r>
        <w:rPr/>
        <w:t>sentenza»,</w:t>
      </w:r>
      <w:r>
        <w:rPr>
          <w:spacing w:val="-4"/>
        </w:rPr>
        <w:t> </w:t>
      </w:r>
      <w:r>
        <w:rPr/>
        <w:t>vale</w:t>
      </w:r>
      <w:r>
        <w:rPr>
          <w:spacing w:val="-2"/>
        </w:rPr>
        <w:t> </w:t>
      </w:r>
      <w:r>
        <w:rPr/>
        <w:t>a dire purché la legislazione penale nazionale preveda espressamente un conferimento</w:t>
      </w:r>
      <w:r>
        <w:rPr>
          <w:spacing w:val="-4"/>
        </w:rPr>
        <w:t> </w:t>
      </w:r>
      <w:r>
        <w:rPr/>
        <w:t>al</w:t>
      </w:r>
      <w:r>
        <w:rPr>
          <w:spacing w:val="-3"/>
        </w:rPr>
        <w:t> </w:t>
      </w:r>
      <w:r>
        <w:rPr/>
        <w:t>giudice di merito</w:t>
      </w:r>
      <w:r>
        <w:rPr>
          <w:spacing w:val="-4"/>
        </w:rPr>
        <w:t> </w:t>
      </w:r>
      <w:r>
        <w:rPr/>
        <w:t>del potere di verificare che</w:t>
      </w:r>
      <w:r>
        <w:rPr>
          <w:spacing w:val="-3"/>
        </w:rPr>
        <w:t> </w:t>
      </w:r>
      <w:r>
        <w:rPr/>
        <w:t>tutte le prove addotte nel processo siano state ottenute nel rispetto dei diritti garantiti all’imputato dall’ordinamento dell’Unione europea</w:t>
      </w:r>
      <w:hyperlink w:history="true" w:anchor="_bookmark31">
        <w:r>
          <w:rPr>
            <w:position w:val="7"/>
            <w:sz w:val="13"/>
          </w:rPr>
          <w:t>32</w:t>
        </w:r>
      </w:hyperlink>
      <w:r>
        <w:rPr/>
        <w:t>.</w:t>
      </w:r>
    </w:p>
    <w:p>
      <w:pPr>
        <w:pStyle w:val="BodyText"/>
        <w:spacing w:before="39"/>
      </w:pPr>
    </w:p>
    <w:p>
      <w:pPr>
        <w:pStyle w:val="ListParagraph"/>
        <w:numPr>
          <w:ilvl w:val="1"/>
          <w:numId w:val="1"/>
        </w:numPr>
        <w:tabs>
          <w:tab w:pos="1068" w:val="left" w:leader="none"/>
        </w:tabs>
        <w:spacing w:line="230" w:lineRule="auto" w:before="0" w:after="0"/>
        <w:ind w:left="1068" w:right="665" w:hanging="396"/>
        <w:jc w:val="left"/>
        <w:rPr>
          <w:i/>
          <w:sz w:val="24"/>
        </w:rPr>
      </w:pPr>
      <w:r>
        <w:rPr>
          <w:i/>
          <w:sz w:val="24"/>
        </w:rPr>
        <w:t>Compatibilità della legislazione italiana con l’art. 42, par. 1, del Re-</w:t>
      </w:r>
      <w:r>
        <w:rPr>
          <w:i/>
          <w:sz w:val="24"/>
        </w:rPr>
        <w:t> golamento EPPO</w:t>
      </w:r>
    </w:p>
    <w:p>
      <w:pPr>
        <w:pStyle w:val="BodyText"/>
        <w:spacing w:line="230" w:lineRule="auto" w:before="207"/>
        <w:ind w:left="673" w:right="667" w:firstLine="396"/>
        <w:jc w:val="both"/>
      </w:pPr>
      <w:r>
        <w:rPr/>
        <w:t>Il legislatore italiano si è avvalso di tale ampio potere discrezionale ri- conosciuto</w:t>
      </w:r>
      <w:r>
        <w:rPr>
          <w:spacing w:val="31"/>
        </w:rPr>
        <w:t> </w:t>
      </w:r>
      <w:r>
        <w:rPr/>
        <w:t>dalla</w:t>
      </w:r>
      <w:r>
        <w:rPr>
          <w:spacing w:val="33"/>
        </w:rPr>
        <w:t> </w:t>
      </w:r>
      <w:r>
        <w:rPr/>
        <w:t>Corte</w:t>
      </w:r>
      <w:r>
        <w:rPr>
          <w:spacing w:val="33"/>
        </w:rPr>
        <w:t> </w:t>
      </w:r>
      <w:r>
        <w:rPr/>
        <w:t>giustizia</w:t>
      </w:r>
      <w:r>
        <w:rPr>
          <w:spacing w:val="34"/>
        </w:rPr>
        <w:t> </w:t>
      </w:r>
      <w:r>
        <w:rPr/>
        <w:t>agli</w:t>
      </w:r>
      <w:r>
        <w:rPr>
          <w:spacing w:val="32"/>
        </w:rPr>
        <w:t> </w:t>
      </w:r>
      <w:r>
        <w:rPr/>
        <w:t>Stati</w:t>
      </w:r>
      <w:r>
        <w:rPr>
          <w:spacing w:val="32"/>
        </w:rPr>
        <w:t> </w:t>
      </w:r>
      <w:r>
        <w:rPr/>
        <w:t>membri</w:t>
      </w:r>
      <w:r>
        <w:rPr>
          <w:spacing w:val="33"/>
        </w:rPr>
        <w:t> </w:t>
      </w:r>
      <w:r>
        <w:rPr/>
        <w:t>per</w:t>
      </w:r>
      <w:r>
        <w:rPr>
          <w:spacing w:val="32"/>
        </w:rPr>
        <w:t> </w:t>
      </w:r>
      <w:r>
        <w:rPr/>
        <w:t>quanto</w:t>
      </w:r>
      <w:r>
        <w:rPr>
          <w:spacing w:val="31"/>
        </w:rPr>
        <w:t> </w:t>
      </w:r>
      <w:r>
        <w:rPr/>
        <w:t>attiene</w:t>
      </w:r>
      <w:r>
        <w:rPr>
          <w:spacing w:val="29"/>
        </w:rPr>
        <w:t> </w:t>
      </w:r>
      <w:r>
        <w:rPr>
          <w:spacing w:val="-5"/>
        </w:rPr>
        <w:t>al-</w:t>
      </w:r>
    </w:p>
    <w:p>
      <w:pPr>
        <w:pStyle w:val="BodyText"/>
        <w:spacing w:before="104"/>
      </w:pPr>
    </w:p>
    <w:p>
      <w:pPr>
        <w:spacing w:before="0"/>
        <w:ind w:left="956" w:right="0" w:firstLine="0"/>
        <w:jc w:val="left"/>
        <w:rPr>
          <w:sz w:val="19"/>
        </w:rPr>
      </w:pPr>
      <w:bookmarkStart w:name="_bookmark31" w:id="32"/>
      <w:bookmarkEnd w:id="32"/>
      <w:r>
        <w:rPr/>
      </w:r>
      <w:r>
        <w:rPr>
          <w:sz w:val="19"/>
          <w:vertAlign w:val="superscript"/>
        </w:rPr>
        <w:t>32</w:t>
      </w:r>
      <w:r>
        <w:rPr>
          <w:spacing w:val="3"/>
          <w:sz w:val="19"/>
          <w:vertAlign w:val="baseline"/>
        </w:rPr>
        <w:t> </w:t>
      </w:r>
      <w:r>
        <w:rPr>
          <w:sz w:val="19"/>
          <w:vertAlign w:val="baseline"/>
        </w:rPr>
        <w:t>Sentenza</w:t>
      </w:r>
      <w:r>
        <w:rPr>
          <w:spacing w:val="1"/>
          <w:sz w:val="19"/>
          <w:vertAlign w:val="baseline"/>
        </w:rPr>
        <w:t> </w:t>
      </w:r>
      <w:r>
        <w:rPr>
          <w:sz w:val="19"/>
          <w:vertAlign w:val="baseline"/>
        </w:rPr>
        <w:t>in</w:t>
      </w:r>
      <w:r>
        <w:rPr>
          <w:spacing w:val="1"/>
          <w:sz w:val="19"/>
          <w:vertAlign w:val="baseline"/>
        </w:rPr>
        <w:t> </w:t>
      </w:r>
      <w:r>
        <w:rPr>
          <w:sz w:val="19"/>
          <w:vertAlign w:val="baseline"/>
        </w:rPr>
        <w:t>causa</w:t>
      </w:r>
      <w:r>
        <w:rPr>
          <w:spacing w:val="1"/>
          <w:sz w:val="19"/>
          <w:vertAlign w:val="baseline"/>
        </w:rPr>
        <w:t> </w:t>
      </w:r>
      <w:r>
        <w:rPr>
          <w:sz w:val="19"/>
          <w:vertAlign w:val="baseline"/>
        </w:rPr>
        <w:t>n.</w:t>
      </w:r>
      <w:r>
        <w:rPr>
          <w:spacing w:val="1"/>
          <w:sz w:val="19"/>
          <w:vertAlign w:val="baseline"/>
        </w:rPr>
        <w:t> </w:t>
      </w:r>
      <w:r>
        <w:rPr>
          <w:sz w:val="19"/>
          <w:vertAlign w:val="baseline"/>
        </w:rPr>
        <w:t>C-292/23,</w:t>
      </w:r>
      <w:r>
        <w:rPr>
          <w:spacing w:val="2"/>
          <w:sz w:val="19"/>
          <w:vertAlign w:val="baseline"/>
        </w:rPr>
        <w:t> </w:t>
      </w:r>
      <w:r>
        <w:rPr>
          <w:i/>
          <w:sz w:val="19"/>
          <w:vertAlign w:val="baseline"/>
        </w:rPr>
        <w:t>I.R.O.</w:t>
      </w:r>
      <w:r>
        <w:rPr>
          <w:sz w:val="19"/>
          <w:vertAlign w:val="baseline"/>
        </w:rPr>
        <w:t>,</w:t>
      </w:r>
      <w:r>
        <w:rPr>
          <w:spacing w:val="1"/>
          <w:sz w:val="19"/>
          <w:vertAlign w:val="baseline"/>
        </w:rPr>
        <w:t> </w:t>
      </w:r>
      <w:r>
        <w:rPr>
          <w:sz w:val="19"/>
          <w:vertAlign w:val="baseline"/>
        </w:rPr>
        <w:t>in</w:t>
      </w:r>
      <w:r>
        <w:rPr>
          <w:spacing w:val="-2"/>
          <w:sz w:val="19"/>
          <w:vertAlign w:val="baseline"/>
        </w:rPr>
        <w:t> </w:t>
      </w:r>
      <w:r>
        <w:rPr>
          <w:sz w:val="19"/>
          <w:vertAlign w:val="baseline"/>
        </w:rPr>
        <w:t>commento,</w:t>
      </w:r>
      <w:r>
        <w:rPr>
          <w:spacing w:val="-3"/>
          <w:sz w:val="19"/>
          <w:vertAlign w:val="baseline"/>
        </w:rPr>
        <w:t> </w:t>
      </w:r>
      <w:r>
        <w:rPr>
          <w:sz w:val="19"/>
          <w:vertAlign w:val="baseline"/>
        </w:rPr>
        <w:t>punto</w:t>
      </w:r>
      <w:r>
        <w:rPr>
          <w:spacing w:val="2"/>
          <w:sz w:val="19"/>
          <w:vertAlign w:val="baseline"/>
        </w:rPr>
        <w:t> </w:t>
      </w:r>
      <w:r>
        <w:rPr>
          <w:spacing w:val="-5"/>
          <w:sz w:val="19"/>
          <w:vertAlign w:val="baseline"/>
        </w:rPr>
        <w:t>75.</w:t>
      </w:r>
    </w:p>
    <w:p>
      <w:pPr>
        <w:spacing w:after="0"/>
        <w:jc w:val="left"/>
        <w:rPr>
          <w:sz w:val="19"/>
        </w:rPr>
        <w:sectPr>
          <w:pgSz w:w="11910" w:h="16840"/>
          <w:pgMar w:header="2182" w:footer="0" w:top="2480" w:bottom="280" w:left="1680" w:right="1680"/>
        </w:sectPr>
      </w:pPr>
    </w:p>
    <w:p>
      <w:pPr>
        <w:pStyle w:val="BodyText"/>
      </w:pPr>
    </w:p>
    <w:p>
      <w:pPr>
        <w:pStyle w:val="BodyText"/>
        <w:spacing w:before="14"/>
      </w:pPr>
    </w:p>
    <w:p>
      <w:pPr>
        <w:pStyle w:val="BodyText"/>
        <w:spacing w:line="228" w:lineRule="auto"/>
        <w:ind w:left="673" w:right="667"/>
        <w:jc w:val="both"/>
      </w:pPr>
      <w:r>
        <w:rPr/>
        <w:t>l’opzione</w:t>
      </w:r>
      <w:r>
        <w:rPr>
          <w:spacing w:val="-2"/>
        </w:rPr>
        <w:t> </w:t>
      </w:r>
      <w:r>
        <w:rPr/>
        <w:t>fra</w:t>
      </w:r>
      <w:r>
        <w:rPr>
          <w:spacing w:val="-2"/>
        </w:rPr>
        <w:t> </w:t>
      </w:r>
      <w:r>
        <w:rPr/>
        <w:t>ricorso</w:t>
      </w:r>
      <w:r>
        <w:rPr>
          <w:spacing w:val="-2"/>
        </w:rPr>
        <w:t> </w:t>
      </w:r>
      <w:r>
        <w:rPr/>
        <w:t>diretto</w:t>
      </w:r>
      <w:r>
        <w:rPr>
          <w:spacing w:val="-7"/>
        </w:rPr>
        <w:t> </w:t>
      </w:r>
      <w:r>
        <w:rPr/>
        <w:t>contro</w:t>
      </w:r>
      <w:r>
        <w:rPr>
          <w:spacing w:val="-2"/>
        </w:rPr>
        <w:t> </w:t>
      </w:r>
      <w:r>
        <w:rPr/>
        <w:t>gli</w:t>
      </w:r>
      <w:r>
        <w:rPr>
          <w:spacing w:val="-2"/>
        </w:rPr>
        <w:t> </w:t>
      </w:r>
      <w:r>
        <w:rPr/>
        <w:t>atti</w:t>
      </w:r>
      <w:r>
        <w:rPr>
          <w:spacing w:val="-6"/>
        </w:rPr>
        <w:t> </w:t>
      </w:r>
      <w:r>
        <w:rPr/>
        <w:t>d’indagine</w:t>
      </w:r>
      <w:r>
        <w:rPr>
          <w:spacing w:val="-5"/>
        </w:rPr>
        <w:t> </w:t>
      </w:r>
      <w:r>
        <w:rPr/>
        <w:t>e</w:t>
      </w:r>
      <w:r>
        <w:rPr>
          <w:spacing w:val="-2"/>
        </w:rPr>
        <w:t> </w:t>
      </w:r>
      <w:r>
        <w:rPr/>
        <w:t>controllo</w:t>
      </w:r>
      <w:r>
        <w:rPr>
          <w:spacing w:val="-2"/>
        </w:rPr>
        <w:t> </w:t>
      </w:r>
      <w:r>
        <w:rPr/>
        <w:t>incidenta- le degli stessi. Nel caso dell’esame di testimoni il codice di procedura pe- nale (c.p.p.) non prevede</w:t>
      </w:r>
      <w:r>
        <w:rPr>
          <w:spacing w:val="-2"/>
        </w:rPr>
        <w:t> </w:t>
      </w:r>
      <w:r>
        <w:rPr/>
        <w:t>alcun controllo </w:t>
      </w:r>
      <w:r>
        <w:rPr>
          <w:i/>
        </w:rPr>
        <w:t>ex ante</w:t>
      </w:r>
      <w:r>
        <w:rPr>
          <w:i/>
          <w:spacing w:val="-1"/>
        </w:rPr>
        <w:t> </w:t>
      </w:r>
      <w:r>
        <w:rPr/>
        <w:t>di una</w:t>
      </w:r>
      <w:r>
        <w:rPr>
          <w:spacing w:val="-2"/>
        </w:rPr>
        <w:t> </w:t>
      </w:r>
      <w:r>
        <w:rPr/>
        <w:t>citazione</w:t>
      </w:r>
      <w:r>
        <w:rPr>
          <w:spacing w:val="-2"/>
        </w:rPr>
        <w:t> </w:t>
      </w:r>
      <w:r>
        <w:rPr/>
        <w:t>a compa- rire come testimone in quanto è il giudice del dibattimento ad avere piena competenza a pronunciarsi</w:t>
      </w:r>
      <w:r>
        <w:rPr>
          <w:spacing w:val="-2"/>
        </w:rPr>
        <w:t> </w:t>
      </w:r>
      <w:r>
        <w:rPr/>
        <w:t>sulla</w:t>
      </w:r>
      <w:r>
        <w:rPr>
          <w:spacing w:val="-2"/>
        </w:rPr>
        <w:t> </w:t>
      </w:r>
      <w:r>
        <w:rPr/>
        <w:t>legittimità di tutti</w:t>
      </w:r>
      <w:r>
        <w:rPr>
          <w:spacing w:val="-2"/>
        </w:rPr>
        <w:t> </w:t>
      </w:r>
      <w:r>
        <w:rPr/>
        <w:t>i mezzi di</w:t>
      </w:r>
      <w:r>
        <w:rPr>
          <w:spacing w:val="-2"/>
        </w:rPr>
        <w:t> </w:t>
      </w:r>
      <w:r>
        <w:rPr/>
        <w:t>prova</w:t>
      </w:r>
      <w:r>
        <w:rPr>
          <w:spacing w:val="-2"/>
        </w:rPr>
        <w:t> </w:t>
      </w:r>
      <w:r>
        <w:rPr/>
        <w:t>addotti dinanzi ad esso ed a valutare la loro fondatezza ai fini dell’emanazione della sentenza</w:t>
      </w:r>
      <w:hyperlink w:history="true" w:anchor="_bookmark32">
        <w:r>
          <w:rPr>
            <w:position w:val="7"/>
            <w:sz w:val="13"/>
          </w:rPr>
          <w:t>33</w:t>
        </w:r>
      </w:hyperlink>
      <w:r>
        <w:rPr/>
        <w:t>. Lo stesso c.p.p. prevede anche la possibilità di impugnare per annullamento, sia le misure cautelari personali quali ad esempio i provvedimenti</w:t>
      </w:r>
      <w:r>
        <w:rPr>
          <w:spacing w:val="-1"/>
        </w:rPr>
        <w:t> </w:t>
      </w:r>
      <w:r>
        <w:rPr/>
        <w:t>di</w:t>
      </w:r>
      <w:r>
        <w:rPr>
          <w:spacing w:val="-1"/>
        </w:rPr>
        <w:t> </w:t>
      </w:r>
      <w:r>
        <w:rPr/>
        <w:t>custodia cautelare o</w:t>
      </w:r>
      <w:r>
        <w:rPr>
          <w:spacing w:val="-2"/>
        </w:rPr>
        <w:t> </w:t>
      </w:r>
      <w:r>
        <w:rPr/>
        <w:t>di</w:t>
      </w:r>
      <w:r>
        <w:rPr>
          <w:spacing w:val="-4"/>
        </w:rPr>
        <w:t> </w:t>
      </w:r>
      <w:r>
        <w:rPr/>
        <w:t>arresti</w:t>
      </w:r>
      <w:r>
        <w:rPr>
          <w:spacing w:val="-1"/>
        </w:rPr>
        <w:t> </w:t>
      </w:r>
      <w:r>
        <w:rPr/>
        <w:t>domiciliari</w:t>
      </w:r>
      <w:r>
        <w:rPr>
          <w:spacing w:val="-1"/>
        </w:rPr>
        <w:t> </w:t>
      </w:r>
      <w:r>
        <w:rPr/>
        <w:t>dell’imputato</w:t>
      </w:r>
      <w:hyperlink w:history="true" w:anchor="_bookmark33">
        <w:r>
          <w:rPr>
            <w:position w:val="7"/>
            <w:sz w:val="13"/>
          </w:rPr>
          <w:t>34</w:t>
        </w:r>
      </w:hyperlink>
      <w:r>
        <w:rPr/>
        <w:t>, sia le misure cautelari reali come i provvedimenti di sequestro conservati- vo</w:t>
      </w:r>
      <w:r>
        <w:rPr>
          <w:spacing w:val="-1"/>
        </w:rPr>
        <w:t> </w:t>
      </w:r>
      <w:r>
        <w:rPr/>
        <w:t>o</w:t>
      </w:r>
      <w:r>
        <w:rPr>
          <w:spacing w:val="-1"/>
        </w:rPr>
        <w:t> </w:t>
      </w:r>
      <w:r>
        <w:rPr/>
        <w:t>preventivo</w:t>
      </w:r>
      <w:hyperlink w:history="true" w:anchor="_bookmark34">
        <w:r>
          <w:rPr>
            <w:position w:val="7"/>
            <w:sz w:val="13"/>
          </w:rPr>
          <w:t>35</w:t>
        </w:r>
      </w:hyperlink>
      <w:r>
        <w:rPr/>
        <w:t>.</w:t>
      </w:r>
      <w:r>
        <w:rPr>
          <w:spacing w:val="-2"/>
        </w:rPr>
        <w:t> </w:t>
      </w:r>
      <w:r>
        <w:rPr/>
        <w:t>Entrambe queste forme</w:t>
      </w:r>
      <w:r>
        <w:rPr>
          <w:spacing w:val="-3"/>
        </w:rPr>
        <w:t> </w:t>
      </w:r>
      <w:r>
        <w:rPr/>
        <w:t>di</w:t>
      </w:r>
      <w:r>
        <w:rPr>
          <w:spacing w:val="-1"/>
        </w:rPr>
        <w:t> </w:t>
      </w:r>
      <w:r>
        <w:rPr/>
        <w:t>controllo</w:t>
      </w:r>
      <w:r>
        <w:rPr>
          <w:spacing w:val="-5"/>
        </w:rPr>
        <w:t> </w:t>
      </w:r>
      <w:r>
        <w:rPr/>
        <w:t>giurisdizionale</w:t>
      </w:r>
      <w:r>
        <w:rPr>
          <w:spacing w:val="-3"/>
        </w:rPr>
        <w:t> </w:t>
      </w:r>
      <w:r>
        <w:rPr/>
        <w:t>sugli atti procedurali disposti dai procuratori europei delegati operanti in Italia risultano, pertanto, sulla base dei precitati punti 79, 80 e 90 della sentenza in esame, ampiamente compatibili con il contenuto precettivo dell’art. 42, par. 1, del Regolamento EPPO.</w:t>
      </w:r>
    </w:p>
    <w:p>
      <w:pPr>
        <w:pStyle w:val="BodyText"/>
        <w:spacing w:line="228" w:lineRule="auto" w:before="1"/>
        <w:ind w:left="673" w:right="663" w:firstLine="396"/>
        <w:jc w:val="both"/>
      </w:pPr>
      <w:r>
        <w:rPr/>
        <w:t>Pure del tutto compatibile con il diritto dell’Unione appare la norma legislativa italiana che definisce le funzioni ed i poteri dei procuratori eu- ropei delegati</w:t>
      </w:r>
      <w:r>
        <w:rPr>
          <w:spacing w:val="-1"/>
        </w:rPr>
        <w:t> </w:t>
      </w:r>
      <w:r>
        <w:rPr/>
        <w:t>operanti</w:t>
      </w:r>
      <w:r>
        <w:rPr>
          <w:spacing w:val="-1"/>
        </w:rPr>
        <w:t> </w:t>
      </w:r>
      <w:r>
        <w:rPr/>
        <w:t>in Italia. Si</w:t>
      </w:r>
      <w:r>
        <w:rPr>
          <w:spacing w:val="-1"/>
        </w:rPr>
        <w:t> </w:t>
      </w:r>
      <w:r>
        <w:rPr/>
        <w:t>tratta dell’art. 9,</w:t>
      </w:r>
      <w:r>
        <w:rPr>
          <w:spacing w:val="-3"/>
        </w:rPr>
        <w:t> </w:t>
      </w:r>
      <w:r>
        <w:rPr/>
        <w:t>par. 1,</w:t>
      </w:r>
      <w:r>
        <w:rPr>
          <w:spacing w:val="-3"/>
        </w:rPr>
        <w:t> </w:t>
      </w:r>
      <w:r>
        <w:rPr/>
        <w:t>del decreto</w:t>
      </w:r>
      <w:r>
        <w:rPr>
          <w:spacing w:val="-3"/>
        </w:rPr>
        <w:t> </w:t>
      </w:r>
      <w:r>
        <w:rPr/>
        <w:t>legi- slativo del 2 febbraio 2021 n. 9/2021</w:t>
      </w:r>
      <w:hyperlink w:history="true" w:anchor="_bookmark35">
        <w:r>
          <w:rPr>
            <w:position w:val="7"/>
            <w:sz w:val="13"/>
          </w:rPr>
          <w:t>36</w:t>
        </w:r>
      </w:hyperlink>
      <w:r>
        <w:rPr>
          <w:spacing w:val="32"/>
          <w:position w:val="7"/>
          <w:sz w:val="13"/>
        </w:rPr>
        <w:t> </w:t>
      </w:r>
      <w:r>
        <w:rPr/>
        <w:t>che, contrariamente all’art. 90 della corrispondente legge della Spagna oggetto dei dubbi di conformità con il diritto dell’Unione sollevati dal giudice spagnolo di rinvio, equipara </w:t>
      </w:r>
      <w:r>
        <w:rPr>
          <w:i/>
        </w:rPr>
        <w:t>in to-</w:t>
      </w:r>
      <w:r>
        <w:rPr>
          <w:i/>
        </w:rPr>
        <w:t> to </w:t>
      </w:r>
      <w:r>
        <w:rPr/>
        <w:t>i poteri e</w:t>
      </w:r>
      <w:r>
        <w:rPr>
          <w:spacing w:val="-1"/>
        </w:rPr>
        <w:t> </w:t>
      </w:r>
      <w:r>
        <w:rPr/>
        <w:t>le funzioni spettanti ai procuratori europei delegati</w:t>
      </w:r>
      <w:r>
        <w:rPr>
          <w:spacing w:val="-1"/>
        </w:rPr>
        <w:t> </w:t>
      </w:r>
      <w:r>
        <w:rPr/>
        <w:t>a quelli dei pubblici ministeri italiani</w:t>
      </w:r>
      <w:hyperlink w:history="true" w:anchor="_bookmark36">
        <w:r>
          <w:rPr>
            <w:position w:val="7"/>
            <w:sz w:val="13"/>
          </w:rPr>
          <w:t>37</w:t>
        </w:r>
      </w:hyperlink>
      <w:r>
        <w:rPr/>
        <w:t>. La legislazione italiana non comporta, pertan- to, contrariamente alla legislazione spagnola oggetto del processo </w:t>
      </w:r>
      <w:r>
        <w:rPr>
          <w:i/>
        </w:rPr>
        <w:t>a quo,</w:t>
      </w:r>
      <w:r>
        <w:rPr>
          <w:i/>
        </w:rPr>
        <w:t> </w:t>
      </w:r>
      <w:r>
        <w:rPr/>
        <w:t>alcuna violazione del precitato principio generale di equivalenza dell’ordi- namento dell’Unione, in quanto le persone oggetto di un’indagine penale di un procuratore europeo delegato dispongono esattamente delle stesse facoltà di impugnare le suddette misure cautelari, rispetto alle facoltà di impugnazione accordate dal c.p.p. alle persone oggetto di un’indagine pe- nale avviata da un pubblico ministero italiano. Gli imputati in entrambi i tipi</w:t>
      </w:r>
      <w:r>
        <w:rPr>
          <w:spacing w:val="3"/>
        </w:rPr>
        <w:t> </w:t>
      </w:r>
      <w:r>
        <w:rPr/>
        <w:t>di</w:t>
      </w:r>
      <w:r>
        <w:rPr>
          <w:spacing w:val="4"/>
        </w:rPr>
        <w:t> </w:t>
      </w:r>
      <w:r>
        <w:rPr/>
        <w:t>indagine</w:t>
      </w:r>
      <w:r>
        <w:rPr>
          <w:spacing w:val="5"/>
        </w:rPr>
        <w:t> </w:t>
      </w:r>
      <w:r>
        <w:rPr/>
        <w:t>penale</w:t>
      </w:r>
      <w:r>
        <w:rPr>
          <w:spacing w:val="5"/>
        </w:rPr>
        <w:t> </w:t>
      </w:r>
      <w:r>
        <w:rPr/>
        <w:t>potranno</w:t>
      </w:r>
      <w:r>
        <w:rPr>
          <w:spacing w:val="3"/>
        </w:rPr>
        <w:t> </w:t>
      </w:r>
      <w:r>
        <w:rPr/>
        <w:t>poi,</w:t>
      </w:r>
      <w:r>
        <w:rPr>
          <w:spacing w:val="2"/>
        </w:rPr>
        <w:t> </w:t>
      </w:r>
      <w:r>
        <w:rPr/>
        <w:t>ad</w:t>
      </w:r>
      <w:r>
        <w:rPr>
          <w:spacing w:val="3"/>
        </w:rPr>
        <w:t> </w:t>
      </w:r>
      <w:r>
        <w:rPr/>
        <w:t>assoluta</w:t>
      </w:r>
      <w:r>
        <w:rPr>
          <w:spacing w:val="5"/>
        </w:rPr>
        <w:t> </w:t>
      </w:r>
      <w:r>
        <w:rPr/>
        <w:t>parità</w:t>
      </w:r>
      <w:r>
        <w:rPr>
          <w:spacing w:val="5"/>
        </w:rPr>
        <w:t> </w:t>
      </w:r>
      <w:r>
        <w:rPr/>
        <w:t>di</w:t>
      </w:r>
      <w:r>
        <w:rPr>
          <w:spacing w:val="4"/>
        </w:rPr>
        <w:t> </w:t>
      </w:r>
      <w:r>
        <w:rPr/>
        <w:t>condizioni,</w:t>
      </w:r>
      <w:r>
        <w:rPr>
          <w:spacing w:val="14"/>
        </w:rPr>
        <w:t> </w:t>
      </w:r>
      <w:r>
        <w:rPr>
          <w:spacing w:val="-2"/>
        </w:rPr>
        <w:t>invo-</w:t>
      </w:r>
    </w:p>
    <w:p>
      <w:pPr>
        <w:pStyle w:val="BodyText"/>
        <w:spacing w:before="105"/>
      </w:pPr>
    </w:p>
    <w:p>
      <w:pPr>
        <w:spacing w:before="0"/>
        <w:ind w:left="956" w:right="0" w:firstLine="0"/>
        <w:jc w:val="left"/>
        <w:rPr>
          <w:sz w:val="19"/>
        </w:rPr>
      </w:pPr>
      <w:bookmarkStart w:name="_bookmark32" w:id="33"/>
      <w:bookmarkEnd w:id="33"/>
      <w:r>
        <w:rPr/>
      </w:r>
      <w:r>
        <w:rPr>
          <w:sz w:val="19"/>
          <w:vertAlign w:val="superscript"/>
        </w:rPr>
        <w:t>33</w:t>
      </w:r>
      <w:r>
        <w:rPr>
          <w:spacing w:val="6"/>
          <w:sz w:val="19"/>
          <w:vertAlign w:val="baseline"/>
        </w:rPr>
        <w:t> </w:t>
      </w:r>
      <w:r>
        <w:rPr>
          <w:sz w:val="19"/>
          <w:vertAlign w:val="baseline"/>
        </w:rPr>
        <w:t>Artt.</w:t>
      </w:r>
      <w:r>
        <w:rPr>
          <w:spacing w:val="4"/>
          <w:sz w:val="19"/>
          <w:vertAlign w:val="baseline"/>
        </w:rPr>
        <w:t> </w:t>
      </w:r>
      <w:r>
        <w:rPr>
          <w:sz w:val="19"/>
          <w:vertAlign w:val="baseline"/>
        </w:rPr>
        <w:t>497-500</w:t>
      </w:r>
      <w:r>
        <w:rPr>
          <w:spacing w:val="4"/>
          <w:sz w:val="19"/>
          <w:vertAlign w:val="baseline"/>
        </w:rPr>
        <w:t> </w:t>
      </w:r>
      <w:r>
        <w:rPr>
          <w:spacing w:val="-2"/>
          <w:sz w:val="19"/>
          <w:vertAlign w:val="baseline"/>
        </w:rPr>
        <w:t>c.p.p.</w:t>
      </w:r>
    </w:p>
    <w:p>
      <w:pPr>
        <w:spacing w:before="10"/>
        <w:ind w:left="956" w:right="0" w:firstLine="0"/>
        <w:jc w:val="left"/>
        <w:rPr>
          <w:sz w:val="19"/>
        </w:rPr>
      </w:pPr>
      <w:bookmarkStart w:name="_bookmark33" w:id="34"/>
      <w:bookmarkEnd w:id="34"/>
      <w:r>
        <w:rPr/>
      </w:r>
      <w:r>
        <w:rPr>
          <w:sz w:val="19"/>
          <w:vertAlign w:val="superscript"/>
        </w:rPr>
        <w:t>34</w:t>
      </w:r>
      <w:r>
        <w:rPr>
          <w:spacing w:val="6"/>
          <w:sz w:val="19"/>
          <w:vertAlign w:val="baseline"/>
        </w:rPr>
        <w:t> </w:t>
      </w:r>
      <w:r>
        <w:rPr>
          <w:sz w:val="19"/>
          <w:vertAlign w:val="baseline"/>
        </w:rPr>
        <w:t>Artt.</w:t>
      </w:r>
      <w:r>
        <w:rPr>
          <w:spacing w:val="4"/>
          <w:sz w:val="19"/>
          <w:vertAlign w:val="baseline"/>
        </w:rPr>
        <w:t> </w:t>
      </w:r>
      <w:r>
        <w:rPr>
          <w:sz w:val="19"/>
          <w:vertAlign w:val="baseline"/>
        </w:rPr>
        <w:t>309-311</w:t>
      </w:r>
      <w:r>
        <w:rPr>
          <w:spacing w:val="4"/>
          <w:sz w:val="19"/>
          <w:vertAlign w:val="baseline"/>
        </w:rPr>
        <w:t> </w:t>
      </w:r>
      <w:r>
        <w:rPr>
          <w:spacing w:val="-2"/>
          <w:sz w:val="19"/>
          <w:vertAlign w:val="baseline"/>
        </w:rPr>
        <w:t>c.p.p.</w:t>
      </w:r>
    </w:p>
    <w:p>
      <w:pPr>
        <w:spacing w:before="6"/>
        <w:ind w:left="956" w:right="0" w:firstLine="0"/>
        <w:jc w:val="left"/>
        <w:rPr>
          <w:sz w:val="19"/>
        </w:rPr>
      </w:pPr>
      <w:bookmarkStart w:name="_bookmark34" w:id="35"/>
      <w:bookmarkEnd w:id="35"/>
      <w:r>
        <w:rPr/>
      </w:r>
      <w:r>
        <w:rPr>
          <w:sz w:val="19"/>
          <w:vertAlign w:val="superscript"/>
        </w:rPr>
        <w:t>35</w:t>
      </w:r>
      <w:r>
        <w:rPr>
          <w:spacing w:val="6"/>
          <w:sz w:val="19"/>
          <w:vertAlign w:val="baseline"/>
        </w:rPr>
        <w:t> </w:t>
      </w:r>
      <w:r>
        <w:rPr>
          <w:sz w:val="19"/>
          <w:vertAlign w:val="baseline"/>
        </w:rPr>
        <w:t>Artt.</w:t>
      </w:r>
      <w:r>
        <w:rPr>
          <w:spacing w:val="4"/>
          <w:sz w:val="19"/>
          <w:vertAlign w:val="baseline"/>
        </w:rPr>
        <w:t> </w:t>
      </w:r>
      <w:r>
        <w:rPr>
          <w:sz w:val="19"/>
          <w:vertAlign w:val="baseline"/>
        </w:rPr>
        <w:t>324-325</w:t>
      </w:r>
      <w:r>
        <w:rPr>
          <w:spacing w:val="4"/>
          <w:sz w:val="19"/>
          <w:vertAlign w:val="baseline"/>
        </w:rPr>
        <w:t> </w:t>
      </w:r>
      <w:r>
        <w:rPr>
          <w:spacing w:val="-2"/>
          <w:sz w:val="19"/>
          <w:vertAlign w:val="baseline"/>
        </w:rPr>
        <w:t>c.p.p.</w:t>
      </w:r>
    </w:p>
    <w:p>
      <w:pPr>
        <w:spacing w:line="194" w:lineRule="auto" w:before="39"/>
        <w:ind w:left="673" w:right="663" w:firstLine="284"/>
        <w:jc w:val="both"/>
        <w:rPr>
          <w:sz w:val="19"/>
        </w:rPr>
      </w:pPr>
      <w:bookmarkStart w:name="_bookmark35" w:id="36"/>
      <w:bookmarkEnd w:id="36"/>
      <w:r>
        <w:rPr/>
      </w:r>
      <w:r>
        <w:rPr>
          <w:sz w:val="19"/>
          <w:vertAlign w:val="superscript"/>
        </w:rPr>
        <w:t>36</w:t>
      </w:r>
      <w:r>
        <w:rPr>
          <w:sz w:val="19"/>
          <w:vertAlign w:val="baseline"/>
        </w:rPr>
        <w:t> Per un dettagliato commento del dlgvo n. 9/2021 v. L. S</w:t>
      </w:r>
      <w:r>
        <w:rPr>
          <w:sz w:val="15"/>
          <w:vertAlign w:val="baseline"/>
        </w:rPr>
        <w:t>ALAZAR</w:t>
      </w:r>
      <w:r>
        <w:rPr>
          <w:sz w:val="19"/>
          <w:vertAlign w:val="baseline"/>
        </w:rPr>
        <w:t>, </w:t>
      </w:r>
      <w:r>
        <w:rPr>
          <w:i/>
          <w:sz w:val="19"/>
          <w:vertAlign w:val="baseline"/>
        </w:rPr>
        <w:t>L’adeguamento inter-</w:t>
      </w:r>
      <w:r>
        <w:rPr>
          <w:i/>
          <w:sz w:val="19"/>
          <w:vertAlign w:val="baseline"/>
        </w:rPr>
        <w:t> no da parte italiana al regolamento EPPO alla vigilia dell’avvio delle prime indagini</w:t>
      </w:r>
      <w:r>
        <w:rPr>
          <w:sz w:val="19"/>
          <w:vertAlign w:val="baseline"/>
        </w:rPr>
        <w:t>, in </w:t>
      </w:r>
      <w:r>
        <w:rPr>
          <w:i/>
          <w:sz w:val="19"/>
          <w:vertAlign w:val="baseline"/>
        </w:rPr>
        <w:t>Si-</w:t>
      </w:r>
      <w:r>
        <w:rPr>
          <w:i/>
          <w:sz w:val="19"/>
          <w:vertAlign w:val="baseline"/>
        </w:rPr>
        <w:t> stema penale</w:t>
      </w:r>
      <w:r>
        <w:rPr>
          <w:sz w:val="19"/>
          <w:vertAlign w:val="baseline"/>
        </w:rPr>
        <w:t>, 4/2021, pp. 53-73.</w:t>
      </w:r>
    </w:p>
    <w:p>
      <w:pPr>
        <w:spacing w:line="194" w:lineRule="auto" w:before="45"/>
        <w:ind w:left="673" w:right="667" w:firstLine="284"/>
        <w:jc w:val="both"/>
        <w:rPr>
          <w:sz w:val="19"/>
        </w:rPr>
      </w:pPr>
      <w:bookmarkStart w:name="_bookmark36" w:id="37"/>
      <w:bookmarkEnd w:id="37"/>
      <w:r>
        <w:rPr/>
      </w:r>
      <w:r>
        <w:rPr>
          <w:sz w:val="19"/>
          <w:vertAlign w:val="superscript"/>
        </w:rPr>
        <w:t>37</w:t>
      </w:r>
      <w:r>
        <w:rPr>
          <w:sz w:val="19"/>
          <w:vertAlign w:val="baseline"/>
        </w:rPr>
        <w:t> L’art. 9, par. 1, del dlgvo n. 9/2021 - Disposizioni per l’adeguamento della normativa nazionale alle disposizioni del Regolamento (Ue) n. 2017/1939 relativo all’istituzione della Procura europea - prevede che: «(…) i procuratori europei delegati esercitano (…) nell’inte- resse della Procura europea e conformemente alle disposizioni del regolamento e del presente decreto, le funzioni e i poteri spettanti ai pubblici ministeri nazionali».</w:t>
      </w:r>
    </w:p>
    <w:p>
      <w:pPr>
        <w:spacing w:after="0" w:line="194" w:lineRule="auto"/>
        <w:jc w:val="both"/>
        <w:rPr>
          <w:sz w:val="19"/>
        </w:rPr>
        <w:sectPr>
          <w:pgSz w:w="11910" w:h="16840"/>
          <w:pgMar w:header="2182" w:footer="0" w:top="2480" w:bottom="280" w:left="1680" w:right="1680"/>
        </w:sectPr>
      </w:pPr>
    </w:p>
    <w:p>
      <w:pPr>
        <w:pStyle w:val="BodyText"/>
      </w:pPr>
    </w:p>
    <w:p>
      <w:pPr>
        <w:pStyle w:val="BodyText"/>
        <w:spacing w:before="14"/>
      </w:pPr>
    </w:p>
    <w:p>
      <w:pPr>
        <w:pStyle w:val="BodyText"/>
        <w:spacing w:line="228" w:lineRule="auto"/>
        <w:ind w:left="673" w:right="677"/>
        <w:jc w:val="both"/>
      </w:pPr>
      <w:r>
        <w:rPr/>
        <w:t>care</w:t>
      </w:r>
      <w:r>
        <w:rPr>
          <w:spacing w:val="-6"/>
        </w:rPr>
        <w:t> </w:t>
      </w:r>
      <w:r>
        <w:rPr/>
        <w:t>un</w:t>
      </w:r>
      <w:r>
        <w:rPr>
          <w:spacing w:val="-7"/>
        </w:rPr>
        <w:t> </w:t>
      </w:r>
      <w:r>
        <w:rPr/>
        <w:t>«controllo</w:t>
      </w:r>
      <w:r>
        <w:rPr>
          <w:spacing w:val="-8"/>
        </w:rPr>
        <w:t> </w:t>
      </w:r>
      <w:r>
        <w:rPr/>
        <w:t>incidentale»</w:t>
      </w:r>
      <w:r>
        <w:rPr>
          <w:spacing w:val="-7"/>
        </w:rPr>
        <w:t> </w:t>
      </w:r>
      <w:r>
        <w:rPr/>
        <w:t>del</w:t>
      </w:r>
      <w:r>
        <w:rPr>
          <w:spacing w:val="-6"/>
        </w:rPr>
        <w:t> </w:t>
      </w:r>
      <w:r>
        <w:rPr/>
        <w:t>giudice</w:t>
      </w:r>
      <w:r>
        <w:rPr>
          <w:spacing w:val="-3"/>
        </w:rPr>
        <w:t> </w:t>
      </w:r>
      <w:r>
        <w:rPr/>
        <w:t>del</w:t>
      </w:r>
      <w:r>
        <w:rPr>
          <w:spacing w:val="-6"/>
        </w:rPr>
        <w:t> </w:t>
      </w:r>
      <w:r>
        <w:rPr/>
        <w:t>dibattimento</w:t>
      </w:r>
      <w:r>
        <w:rPr>
          <w:spacing w:val="-4"/>
        </w:rPr>
        <w:t> </w:t>
      </w:r>
      <w:r>
        <w:rPr/>
        <w:t>sulle</w:t>
      </w:r>
      <w:r>
        <w:rPr>
          <w:spacing w:val="-3"/>
        </w:rPr>
        <w:t> </w:t>
      </w:r>
      <w:r>
        <w:rPr/>
        <w:t>prove</w:t>
      </w:r>
      <w:r>
        <w:rPr>
          <w:spacing w:val="-6"/>
        </w:rPr>
        <w:t> </w:t>
      </w:r>
      <w:r>
        <w:rPr/>
        <w:t>ad- dotte dall’una (europea) o dall’altra (italiana) autorità inquirente, quali per l’appunto</w:t>
      </w:r>
      <w:r>
        <w:rPr>
          <w:spacing w:val="-6"/>
        </w:rPr>
        <w:t> </w:t>
      </w:r>
      <w:r>
        <w:rPr/>
        <w:t>le</w:t>
      </w:r>
      <w:r>
        <w:rPr>
          <w:spacing w:val="-4"/>
        </w:rPr>
        <w:t> </w:t>
      </w:r>
      <w:r>
        <w:rPr/>
        <w:t>prove</w:t>
      </w:r>
      <w:r>
        <w:rPr>
          <w:spacing w:val="-4"/>
        </w:rPr>
        <w:t> </w:t>
      </w:r>
      <w:r>
        <w:rPr/>
        <w:t>testimoniali</w:t>
      </w:r>
      <w:r>
        <w:rPr>
          <w:spacing w:val="-4"/>
        </w:rPr>
        <w:t> </w:t>
      </w:r>
      <w:r>
        <w:rPr/>
        <w:t>oggetto</w:t>
      </w:r>
      <w:r>
        <w:rPr>
          <w:spacing w:val="-6"/>
        </w:rPr>
        <w:t> </w:t>
      </w:r>
      <w:r>
        <w:rPr/>
        <w:t>della</w:t>
      </w:r>
      <w:r>
        <w:rPr>
          <w:spacing w:val="-8"/>
        </w:rPr>
        <w:t> </w:t>
      </w:r>
      <w:r>
        <w:rPr/>
        <w:t>sentenza</w:t>
      </w:r>
      <w:r>
        <w:rPr>
          <w:spacing w:val="-4"/>
        </w:rPr>
        <w:t> </w:t>
      </w:r>
      <w:r>
        <w:rPr/>
        <w:t>della</w:t>
      </w:r>
      <w:r>
        <w:rPr>
          <w:spacing w:val="-4"/>
        </w:rPr>
        <w:t> </w:t>
      </w:r>
      <w:r>
        <w:rPr/>
        <w:t>Corte</w:t>
      </w:r>
      <w:r>
        <w:rPr>
          <w:spacing w:val="-4"/>
        </w:rPr>
        <w:t> </w:t>
      </w:r>
      <w:r>
        <w:rPr/>
        <w:t>giustizia.</w:t>
      </w:r>
    </w:p>
    <w:p>
      <w:pPr>
        <w:pStyle w:val="BodyText"/>
        <w:spacing w:before="31"/>
      </w:pPr>
    </w:p>
    <w:p>
      <w:pPr>
        <w:pStyle w:val="Heading1"/>
        <w:ind w:left="0" w:right="671" w:firstLine="0"/>
        <w:jc w:val="right"/>
      </w:pPr>
      <w:r>
        <w:rPr/>
        <w:t>Enrico </w:t>
      </w:r>
      <w:r>
        <w:rPr>
          <w:spacing w:val="-2"/>
        </w:rPr>
        <w:t>Traversa</w:t>
      </w:r>
      <w:hyperlink w:history="true" w:anchor="_bookmark37">
        <w:r>
          <w:rPr>
            <w:spacing w:val="-2"/>
          </w:rPr>
          <w:t>*</w:t>
        </w:r>
      </w:hyperlink>
    </w:p>
    <w:p>
      <w:pPr>
        <w:pStyle w:val="BodyText"/>
        <w:rPr>
          <w:b/>
        </w:rPr>
      </w:pPr>
    </w:p>
    <w:p>
      <w:pPr>
        <w:pStyle w:val="BodyText"/>
        <w:spacing w:before="155"/>
        <w:rPr>
          <w:b/>
        </w:rPr>
      </w:pPr>
    </w:p>
    <w:p>
      <w:pPr>
        <w:spacing w:before="0"/>
        <w:ind w:left="673" w:right="0" w:firstLine="0"/>
        <w:jc w:val="left"/>
        <w:rPr>
          <w:sz w:val="22"/>
        </w:rPr>
      </w:pPr>
      <w:r>
        <w:rPr>
          <w:smallCaps/>
          <w:spacing w:val="-2"/>
          <w:sz w:val="22"/>
        </w:rPr>
        <w:t>Sintesi</w:t>
      </w:r>
    </w:p>
    <w:p>
      <w:pPr>
        <w:pStyle w:val="BodyText"/>
        <w:spacing w:before="30"/>
        <w:rPr>
          <w:sz w:val="18"/>
        </w:rPr>
      </w:pPr>
    </w:p>
    <w:p>
      <w:pPr>
        <w:spacing w:line="228" w:lineRule="auto" w:before="1"/>
        <w:ind w:left="673" w:right="666" w:firstLine="396"/>
        <w:jc w:val="both"/>
        <w:rPr>
          <w:sz w:val="22"/>
        </w:rPr>
      </w:pPr>
      <w:r>
        <w:rPr>
          <w:sz w:val="22"/>
        </w:rPr>
        <w:t>La</w:t>
      </w:r>
      <w:r>
        <w:rPr>
          <w:spacing w:val="-1"/>
          <w:sz w:val="22"/>
        </w:rPr>
        <w:t> </w:t>
      </w:r>
      <w:r>
        <w:rPr>
          <w:sz w:val="22"/>
        </w:rPr>
        <w:t>seconda</w:t>
      </w:r>
      <w:r>
        <w:rPr>
          <w:spacing w:val="-1"/>
          <w:sz w:val="22"/>
        </w:rPr>
        <w:t> </w:t>
      </w:r>
      <w:r>
        <w:rPr>
          <w:sz w:val="22"/>
        </w:rPr>
        <w:t>sentenza</w:t>
      </w:r>
      <w:r>
        <w:rPr>
          <w:spacing w:val="-1"/>
          <w:sz w:val="22"/>
        </w:rPr>
        <w:t> </w:t>
      </w:r>
      <w:r>
        <w:rPr>
          <w:sz w:val="22"/>
        </w:rPr>
        <w:t>della</w:t>
      </w:r>
      <w:r>
        <w:rPr>
          <w:spacing w:val="-1"/>
          <w:sz w:val="22"/>
        </w:rPr>
        <w:t> </w:t>
      </w:r>
      <w:r>
        <w:rPr>
          <w:sz w:val="22"/>
        </w:rPr>
        <w:t>Corte</w:t>
      </w:r>
      <w:r>
        <w:rPr>
          <w:spacing w:val="-1"/>
          <w:sz w:val="22"/>
        </w:rPr>
        <w:t> </w:t>
      </w:r>
      <w:r>
        <w:rPr>
          <w:sz w:val="22"/>
        </w:rPr>
        <w:t>di</w:t>
      </w:r>
      <w:r>
        <w:rPr>
          <w:spacing w:val="-5"/>
          <w:sz w:val="22"/>
        </w:rPr>
        <w:t> </w:t>
      </w:r>
      <w:r>
        <w:rPr>
          <w:sz w:val="22"/>
        </w:rPr>
        <w:t>giustizia</w:t>
      </w:r>
      <w:r>
        <w:rPr>
          <w:spacing w:val="-1"/>
          <w:sz w:val="22"/>
        </w:rPr>
        <w:t> </w:t>
      </w:r>
      <w:r>
        <w:rPr>
          <w:sz w:val="22"/>
        </w:rPr>
        <w:t>avente</w:t>
      </w:r>
      <w:r>
        <w:rPr>
          <w:spacing w:val="-1"/>
          <w:sz w:val="22"/>
        </w:rPr>
        <w:t> </w:t>
      </w:r>
      <w:r>
        <w:rPr>
          <w:sz w:val="22"/>
        </w:rPr>
        <w:t>ad</w:t>
      </w:r>
      <w:r>
        <w:rPr>
          <w:spacing w:val="-2"/>
          <w:sz w:val="22"/>
        </w:rPr>
        <w:t> </w:t>
      </w:r>
      <w:r>
        <w:rPr>
          <w:sz w:val="22"/>
        </w:rPr>
        <w:t>oggetto il Regolamen- to (Ue) n. 2017/1939 istitutivo della Procura europea (EPPO) riguarda specifica- mente l’importantissimo art. 42 dello stesso che disciplina il controllo giurisdi- zionale sugli «atti procedurali destinati a produrre effetti giuridici nei confronti dei terzi».</w:t>
      </w:r>
      <w:r>
        <w:rPr>
          <w:spacing w:val="40"/>
          <w:sz w:val="22"/>
        </w:rPr>
        <w:t> </w:t>
      </w:r>
      <w:r>
        <w:rPr>
          <w:sz w:val="22"/>
        </w:rPr>
        <w:t>Si tratta, per i giudici europei, di un concetto giuridico di puro diritto dell’Unione che comprende tutti gli atti disposti dai procuratori europei delegati (PED) «nel corso delle indagini» relative ad un reato lesivo degli interessi finan- ziari dell’Unione. Applicando all’art. 42, par. 1, del Regolamento EPPO la pro- pria giurisprudenza relativa all’identico art. 263 TFUE, la Corte di giustizia ha chiarito che sono soggetti al controllo delle giurisdizioni penali degli Stati mem- bri quegli atti d’indagine della Procura europea che si presentano idonei «a pro- durre effetti giuridici vincolanti tali da incidere sugli interessi dei terzi, modifi- cando in</w:t>
      </w:r>
      <w:r>
        <w:rPr>
          <w:spacing w:val="-1"/>
          <w:sz w:val="22"/>
        </w:rPr>
        <w:t> </w:t>
      </w:r>
      <w:r>
        <w:rPr>
          <w:sz w:val="22"/>
        </w:rPr>
        <w:t>misura rilevante la loro situazione giuridica» come una citazione a com- parire come</w:t>
      </w:r>
      <w:r>
        <w:rPr>
          <w:spacing w:val="-3"/>
          <w:sz w:val="22"/>
        </w:rPr>
        <w:t> </w:t>
      </w:r>
      <w:r>
        <w:rPr>
          <w:sz w:val="22"/>
        </w:rPr>
        <w:t>testimoni</w:t>
      </w:r>
      <w:r>
        <w:rPr>
          <w:spacing w:val="-3"/>
          <w:sz w:val="22"/>
        </w:rPr>
        <w:t> </w:t>
      </w:r>
      <w:r>
        <w:rPr>
          <w:sz w:val="22"/>
        </w:rPr>
        <w:t>oggetto</w:t>
      </w:r>
      <w:r>
        <w:rPr>
          <w:spacing w:val="-1"/>
          <w:sz w:val="22"/>
        </w:rPr>
        <w:t> </w:t>
      </w:r>
      <w:r>
        <w:rPr>
          <w:sz w:val="22"/>
        </w:rPr>
        <w:t>del</w:t>
      </w:r>
      <w:r>
        <w:rPr>
          <w:spacing w:val="-3"/>
          <w:sz w:val="22"/>
        </w:rPr>
        <w:t> </w:t>
      </w:r>
      <w:r>
        <w:rPr>
          <w:sz w:val="22"/>
        </w:rPr>
        <w:t>processo </w:t>
      </w:r>
      <w:r>
        <w:rPr>
          <w:i/>
          <w:sz w:val="22"/>
        </w:rPr>
        <w:t>a quo</w:t>
      </w:r>
      <w:r>
        <w:rPr>
          <w:i/>
          <w:spacing w:val="-3"/>
          <w:sz w:val="22"/>
        </w:rPr>
        <w:t> </w:t>
      </w:r>
      <w:r>
        <w:rPr>
          <w:sz w:val="22"/>
        </w:rPr>
        <w:t>dinanzi</w:t>
      </w:r>
      <w:r>
        <w:rPr>
          <w:spacing w:val="-3"/>
          <w:sz w:val="22"/>
        </w:rPr>
        <w:t> </w:t>
      </w:r>
      <w:r>
        <w:rPr>
          <w:sz w:val="22"/>
        </w:rPr>
        <w:t>ad</w:t>
      </w:r>
      <w:r>
        <w:rPr>
          <w:spacing w:val="-1"/>
          <w:sz w:val="22"/>
        </w:rPr>
        <w:t> </w:t>
      </w:r>
      <w:r>
        <w:rPr>
          <w:sz w:val="22"/>
        </w:rPr>
        <w:t>un</w:t>
      </w:r>
      <w:r>
        <w:rPr>
          <w:spacing w:val="-1"/>
          <w:sz w:val="22"/>
        </w:rPr>
        <w:t> </w:t>
      </w:r>
      <w:r>
        <w:rPr>
          <w:sz w:val="22"/>
        </w:rPr>
        <w:t>giudice</w:t>
      </w:r>
      <w:r>
        <w:rPr>
          <w:spacing w:val="-3"/>
          <w:sz w:val="22"/>
        </w:rPr>
        <w:t> </w:t>
      </w:r>
      <w:r>
        <w:rPr>
          <w:sz w:val="22"/>
        </w:rPr>
        <w:t>spagnolo</w:t>
      </w:r>
      <w:r>
        <w:rPr>
          <w:i/>
          <w:sz w:val="22"/>
        </w:rPr>
        <w:t>.</w:t>
      </w:r>
      <w:r>
        <w:rPr>
          <w:i/>
          <w:sz w:val="22"/>
        </w:rPr>
        <w:t> </w:t>
      </w:r>
      <w:r>
        <w:rPr>
          <w:sz w:val="22"/>
        </w:rPr>
        <w:t>Tali effetti giuridici vincolanti devono essere valutati in concreto e caso per caso dal giudice nazionale sulla base di alcuni criteri interpretativi elaborati dalla Cor- te stessa quali: la posizione del soggetto che contesta l’atto d’indagine, il conte- nuto dell’atto medesimo e il contesto nel quale esso è stato adottato. L’autore esprime al riguardo serie perplessità su tale delega conferita dalla Corte di giusti- zia ai giudici penali degli Stati membri in quanto la valutazione “caso per caso” degli effetti giuridici vincolanti di una data categoria di atti d’indagine dei PED può portare a decisioni divergenti dei giudici nazionali con il conseguente rischio di violazione del principio della parità di trattamento di situazioni giuridiche comparabili e del rispetto dei diritti della difesa di cui all’art. 48 della Carta dei diritti fondamentali. L’esplicito rinvio contenuto nel testo stesso dell’art. 42, par. 1, del Regolamento EPPO «alle procedure e ai requisiti stabiliti dal diritto nazio- nale» consente inoltre agli Stati membri di prevedere nelle loro legislazioni che il controllo giurisdizionale sugli atti d’indagine disposti dai PED possa consistere, sia in un ricorso diretto contro l’atto stesso, sia in un controllo effettuato</w:t>
      </w:r>
      <w:r>
        <w:rPr>
          <w:spacing w:val="20"/>
          <w:sz w:val="22"/>
        </w:rPr>
        <w:t> </w:t>
      </w:r>
      <w:r>
        <w:rPr>
          <w:sz w:val="22"/>
        </w:rPr>
        <w:t>«in via</w:t>
      </w:r>
    </w:p>
    <w:p>
      <w:pPr>
        <w:pStyle w:val="BodyText"/>
        <w:spacing w:before="176"/>
        <w:rPr>
          <w:sz w:val="22"/>
        </w:rPr>
      </w:pPr>
    </w:p>
    <w:p>
      <w:pPr>
        <w:spacing w:line="192" w:lineRule="auto" w:before="0"/>
        <w:ind w:left="673" w:right="667" w:firstLine="284"/>
        <w:jc w:val="both"/>
        <w:rPr>
          <w:sz w:val="19"/>
        </w:rPr>
      </w:pPr>
      <w:bookmarkStart w:name="_bookmark37" w:id="38"/>
      <w:bookmarkEnd w:id="38"/>
      <w:r>
        <w:rPr/>
      </w:r>
      <w:r>
        <w:rPr>
          <w:sz w:val="20"/>
        </w:rPr>
        <w:t>* </w:t>
      </w:r>
      <w:r>
        <w:rPr>
          <w:sz w:val="19"/>
        </w:rPr>
        <w:t>Già avvocato e Direttore della Sezione </w:t>
      </w:r>
      <w:r>
        <w:rPr>
          <w:i/>
          <w:sz w:val="19"/>
        </w:rPr>
        <w:t>«Giustizia e</w:t>
      </w:r>
      <w:r>
        <w:rPr>
          <w:i/>
          <w:spacing w:val="-2"/>
          <w:sz w:val="19"/>
        </w:rPr>
        <w:t> </w:t>
      </w:r>
      <w:r>
        <w:rPr>
          <w:i/>
          <w:sz w:val="19"/>
        </w:rPr>
        <w:t>affari interni» </w:t>
      </w:r>
      <w:r>
        <w:rPr>
          <w:sz w:val="19"/>
        </w:rPr>
        <w:t>del</w:t>
      </w:r>
      <w:r>
        <w:rPr>
          <w:spacing w:val="-2"/>
          <w:sz w:val="19"/>
        </w:rPr>
        <w:t> </w:t>
      </w:r>
      <w:r>
        <w:rPr>
          <w:sz w:val="19"/>
        </w:rPr>
        <w:t>Servizio giuridico della Commissione europea. Professore a contratto di</w:t>
      </w:r>
      <w:r>
        <w:rPr>
          <w:spacing w:val="-3"/>
          <w:sz w:val="19"/>
        </w:rPr>
        <w:t> </w:t>
      </w:r>
      <w:r>
        <w:rPr>
          <w:sz w:val="19"/>
        </w:rPr>
        <w:t>diritto dell’Unione europea nell’Univer- sità di Bologna </w:t>
      </w:r>
      <w:r>
        <w:rPr>
          <w:i/>
          <w:sz w:val="19"/>
        </w:rPr>
        <w:t>Alma Mater Studiorum </w:t>
      </w:r>
      <w:r>
        <w:rPr>
          <w:sz w:val="19"/>
        </w:rPr>
        <w:t>- Dipartimento di Scienze politiche e Relazioni inter- </w:t>
      </w:r>
      <w:r>
        <w:rPr>
          <w:spacing w:val="-2"/>
          <w:sz w:val="19"/>
        </w:rPr>
        <w:t>nazionali</w:t>
      </w:r>
    </w:p>
    <w:p>
      <w:pPr>
        <w:spacing w:after="0" w:line="192" w:lineRule="auto"/>
        <w:jc w:val="both"/>
        <w:rPr>
          <w:sz w:val="19"/>
        </w:rPr>
        <w:sectPr>
          <w:pgSz w:w="11910" w:h="16840"/>
          <w:pgMar w:header="2182" w:footer="0" w:top="2480" w:bottom="280" w:left="1680" w:right="1680"/>
        </w:sectPr>
      </w:pPr>
    </w:p>
    <w:p>
      <w:pPr>
        <w:pStyle w:val="BodyText"/>
        <w:rPr>
          <w:sz w:val="22"/>
        </w:rPr>
      </w:pPr>
    </w:p>
    <w:p>
      <w:pPr>
        <w:pStyle w:val="BodyText"/>
        <w:spacing w:before="62"/>
        <w:rPr>
          <w:sz w:val="22"/>
        </w:rPr>
      </w:pPr>
    </w:p>
    <w:p>
      <w:pPr>
        <w:spacing w:line="228" w:lineRule="auto" w:before="0"/>
        <w:ind w:left="673" w:right="671" w:firstLine="0"/>
        <w:jc w:val="both"/>
        <w:rPr>
          <w:sz w:val="22"/>
        </w:rPr>
      </w:pPr>
      <w:r>
        <w:rPr>
          <w:sz w:val="22"/>
        </w:rPr>
        <w:t>incidentale» dal giudice penale dinanzi al quale si svolge il processo di merito.</w:t>
      </w:r>
      <w:r>
        <w:rPr>
          <w:spacing w:val="40"/>
          <w:sz w:val="22"/>
        </w:rPr>
        <w:t> </w:t>
      </w:r>
      <w:r>
        <w:rPr>
          <w:sz w:val="22"/>
        </w:rPr>
        <w:t>La legislazione spagnola, oggetto dell’ordinanza di rinvio, è stata infine dichiara- ta dalla Corte di giustizia incompatibile con il principio generale «di equivalen- za» dell’ordinamento dell’Unione. Infatti, in base alla legge spagnola le persone oggetto di un’indagine di un PED operante in Spagna si trovavano in una situa- zione meno favorevole rispetto alle persone oggetto di un’indagine condotta da</w:t>
      </w:r>
      <w:r>
        <w:rPr>
          <w:spacing w:val="40"/>
          <w:sz w:val="22"/>
        </w:rPr>
        <w:t> </w:t>
      </w:r>
      <w:r>
        <w:rPr>
          <w:sz w:val="22"/>
        </w:rPr>
        <w:t>un</w:t>
      </w:r>
      <w:r>
        <w:rPr>
          <w:spacing w:val="-1"/>
          <w:sz w:val="22"/>
        </w:rPr>
        <w:t> </w:t>
      </w:r>
      <w:r>
        <w:rPr>
          <w:sz w:val="22"/>
        </w:rPr>
        <w:t>giudice istruttore spagnolo in</w:t>
      </w:r>
      <w:r>
        <w:rPr>
          <w:spacing w:val="-1"/>
          <w:sz w:val="22"/>
        </w:rPr>
        <w:t> </w:t>
      </w:r>
      <w:r>
        <w:rPr>
          <w:sz w:val="22"/>
        </w:rPr>
        <w:t>quanto</w:t>
      </w:r>
      <w:r>
        <w:rPr>
          <w:spacing w:val="-1"/>
          <w:sz w:val="22"/>
        </w:rPr>
        <w:t> </w:t>
      </w:r>
      <w:r>
        <w:rPr>
          <w:sz w:val="22"/>
        </w:rPr>
        <w:t>queste ultime, contrariamente alle prime, potevano impugnare con un ricorso diretto una decisione contenente una citazio- ne a comparire di testimoni.</w:t>
      </w:r>
    </w:p>
    <w:p>
      <w:pPr>
        <w:pStyle w:val="BodyText"/>
        <w:rPr>
          <w:sz w:val="22"/>
        </w:rPr>
      </w:pPr>
    </w:p>
    <w:p>
      <w:pPr>
        <w:pStyle w:val="BodyText"/>
        <w:rPr>
          <w:sz w:val="22"/>
        </w:rPr>
      </w:pPr>
    </w:p>
    <w:p>
      <w:pPr>
        <w:pStyle w:val="BodyText"/>
        <w:spacing w:before="45"/>
        <w:rPr>
          <w:sz w:val="22"/>
        </w:rPr>
      </w:pPr>
    </w:p>
    <w:p>
      <w:pPr>
        <w:spacing w:before="0"/>
        <w:ind w:left="673" w:right="0" w:firstLine="0"/>
        <w:jc w:val="left"/>
        <w:rPr>
          <w:i/>
          <w:sz w:val="22"/>
        </w:rPr>
      </w:pPr>
      <w:r>
        <w:rPr>
          <w:i/>
          <w:smallCaps/>
          <w:spacing w:val="-2"/>
          <w:sz w:val="22"/>
        </w:rPr>
        <w:t>Abstract</w:t>
      </w:r>
    </w:p>
    <w:p>
      <w:pPr>
        <w:pStyle w:val="BodyText"/>
        <w:spacing w:before="78"/>
        <w:rPr>
          <w:i/>
          <w:sz w:val="18"/>
        </w:rPr>
      </w:pPr>
    </w:p>
    <w:p>
      <w:pPr>
        <w:spacing w:line="228" w:lineRule="auto" w:before="0"/>
        <w:ind w:left="673" w:right="679" w:firstLine="396"/>
        <w:jc w:val="both"/>
        <w:rPr>
          <w:i/>
          <w:sz w:val="22"/>
        </w:rPr>
      </w:pPr>
      <w:r>
        <w:rPr>
          <w:i/>
          <w:sz w:val="22"/>
        </w:rPr>
        <w:t>The second judgement of the EU Court of Justice concerning Regulation n.</w:t>
      </w:r>
      <w:r>
        <w:rPr>
          <w:i/>
          <w:sz w:val="22"/>
        </w:rPr>
        <w:t> 2017/1939 on the establishment of the European Public Prosecutor’s Office (EPPO)</w:t>
      </w:r>
      <w:r>
        <w:rPr>
          <w:i/>
          <w:spacing w:val="-4"/>
          <w:sz w:val="22"/>
        </w:rPr>
        <w:t> </w:t>
      </w:r>
      <w:r>
        <w:rPr>
          <w:i/>
          <w:sz w:val="22"/>
        </w:rPr>
        <w:t>deals</w:t>
      </w:r>
      <w:r>
        <w:rPr>
          <w:i/>
          <w:spacing w:val="-4"/>
          <w:sz w:val="22"/>
        </w:rPr>
        <w:t> </w:t>
      </w:r>
      <w:r>
        <w:rPr>
          <w:i/>
          <w:sz w:val="22"/>
        </w:rPr>
        <w:t>specifically</w:t>
      </w:r>
      <w:r>
        <w:rPr>
          <w:i/>
          <w:spacing w:val="-4"/>
          <w:sz w:val="22"/>
        </w:rPr>
        <w:t> </w:t>
      </w:r>
      <w:r>
        <w:rPr>
          <w:i/>
          <w:sz w:val="22"/>
        </w:rPr>
        <w:t>with</w:t>
      </w:r>
      <w:r>
        <w:rPr>
          <w:i/>
          <w:spacing w:val="-2"/>
          <w:sz w:val="22"/>
        </w:rPr>
        <w:t> </w:t>
      </w:r>
      <w:r>
        <w:rPr>
          <w:i/>
          <w:sz w:val="22"/>
        </w:rPr>
        <w:t>the</w:t>
      </w:r>
      <w:r>
        <w:rPr>
          <w:i/>
          <w:spacing w:val="-4"/>
          <w:sz w:val="22"/>
        </w:rPr>
        <w:t> </w:t>
      </w:r>
      <w:r>
        <w:rPr>
          <w:i/>
          <w:sz w:val="22"/>
        </w:rPr>
        <w:t>crucial</w:t>
      </w:r>
      <w:r>
        <w:rPr>
          <w:i/>
          <w:spacing w:val="-4"/>
          <w:sz w:val="22"/>
        </w:rPr>
        <w:t> </w:t>
      </w:r>
      <w:r>
        <w:rPr>
          <w:i/>
          <w:sz w:val="22"/>
        </w:rPr>
        <w:t>Article</w:t>
      </w:r>
      <w:r>
        <w:rPr>
          <w:i/>
          <w:spacing w:val="-4"/>
          <w:sz w:val="22"/>
        </w:rPr>
        <w:t> </w:t>
      </w:r>
      <w:r>
        <w:rPr>
          <w:i/>
          <w:sz w:val="22"/>
        </w:rPr>
        <w:t>42</w:t>
      </w:r>
      <w:r>
        <w:rPr>
          <w:i/>
          <w:spacing w:val="-2"/>
          <w:sz w:val="22"/>
        </w:rPr>
        <w:t> </w:t>
      </w:r>
      <w:r>
        <w:rPr>
          <w:i/>
          <w:sz w:val="22"/>
        </w:rPr>
        <w:t>governing</w:t>
      </w:r>
      <w:r>
        <w:rPr>
          <w:i/>
          <w:spacing w:val="-2"/>
          <w:sz w:val="22"/>
        </w:rPr>
        <w:t> </w:t>
      </w:r>
      <w:r>
        <w:rPr>
          <w:i/>
          <w:sz w:val="22"/>
        </w:rPr>
        <w:t>judicial</w:t>
      </w:r>
      <w:r>
        <w:rPr>
          <w:i/>
          <w:spacing w:val="-4"/>
          <w:sz w:val="22"/>
        </w:rPr>
        <w:t> </w:t>
      </w:r>
      <w:r>
        <w:rPr>
          <w:i/>
          <w:sz w:val="22"/>
        </w:rPr>
        <w:t>review</w:t>
      </w:r>
      <w:r>
        <w:rPr>
          <w:i/>
          <w:spacing w:val="-3"/>
          <w:sz w:val="22"/>
        </w:rPr>
        <w:t> </w:t>
      </w:r>
      <w:r>
        <w:rPr>
          <w:i/>
          <w:sz w:val="22"/>
        </w:rPr>
        <w:t>of</w:t>
      </w:r>
    </w:p>
    <w:p>
      <w:pPr>
        <w:spacing w:line="228" w:lineRule="auto" w:before="0"/>
        <w:ind w:left="673" w:right="668" w:firstLine="0"/>
        <w:jc w:val="both"/>
        <w:rPr>
          <w:i/>
          <w:sz w:val="22"/>
        </w:rPr>
      </w:pPr>
      <w:r>
        <w:rPr>
          <w:sz w:val="22"/>
        </w:rPr>
        <w:t>«</w:t>
      </w:r>
      <w:r>
        <w:rPr>
          <w:i/>
          <w:sz w:val="22"/>
        </w:rPr>
        <w:t>procedural</w:t>
      </w:r>
      <w:r>
        <w:rPr>
          <w:i/>
          <w:spacing w:val="-2"/>
          <w:sz w:val="22"/>
        </w:rPr>
        <w:t> </w:t>
      </w:r>
      <w:r>
        <w:rPr>
          <w:i/>
          <w:sz w:val="22"/>
        </w:rPr>
        <w:t>acts of the EPPO that are intended to produce legal effects vis-à-vis</w:t>
      </w:r>
      <w:r>
        <w:rPr>
          <w:i/>
          <w:sz w:val="22"/>
        </w:rPr>
        <w:t> third parties</w:t>
      </w:r>
      <w:r>
        <w:rPr>
          <w:sz w:val="22"/>
        </w:rPr>
        <w:t>»</w:t>
      </w:r>
      <w:r>
        <w:rPr>
          <w:i/>
          <w:sz w:val="22"/>
        </w:rPr>
        <w:t>. Pursuant to EU judges this is a pure EU Law legal concept which</w:t>
      </w:r>
      <w:r>
        <w:rPr>
          <w:i/>
          <w:sz w:val="22"/>
        </w:rPr>
        <w:t> includes all the acts undertaken by European Delegated Prosecutors (EPD) </w:t>
      </w:r>
      <w:r>
        <w:rPr>
          <w:sz w:val="22"/>
        </w:rPr>
        <w:t>«</w:t>
      </w:r>
      <w:r>
        <w:rPr>
          <w:i/>
          <w:sz w:val="22"/>
        </w:rPr>
        <w:t>in</w:t>
      </w:r>
      <w:r>
        <w:rPr>
          <w:i/>
          <w:sz w:val="22"/>
        </w:rPr>
        <w:t> the course of (their) investigations</w:t>
      </w:r>
      <w:r>
        <w:rPr>
          <w:sz w:val="22"/>
        </w:rPr>
        <w:t>» </w:t>
      </w:r>
      <w:r>
        <w:rPr>
          <w:i/>
          <w:sz w:val="22"/>
        </w:rPr>
        <w:t>related to offences affecting the Union’s fi-</w:t>
      </w:r>
      <w:r>
        <w:rPr>
          <w:i/>
          <w:sz w:val="22"/>
        </w:rPr>
        <w:t> nancial interests. For the purpose of interpreting Art. 42 (1) of the EPPO Regu- lation the EU Court applied its case law on the interpretation of the identically worded Art. 263 TFEU and declared that are subject to judicial review of Mem- ber States criminal jurisdictions all EPPO acts of a procedural nature </w:t>
      </w:r>
      <w:r>
        <w:rPr>
          <w:sz w:val="22"/>
        </w:rPr>
        <w:t>«</w:t>
      </w:r>
      <w:r>
        <w:rPr>
          <w:i/>
          <w:sz w:val="22"/>
        </w:rPr>
        <w:t>intended</w:t>
      </w:r>
      <w:r>
        <w:rPr>
          <w:i/>
          <w:sz w:val="22"/>
        </w:rPr>
        <w:t> to produce binding legal effects capable of affecting the interests of third parties by bringing about a distinct change in their legal position</w:t>
      </w:r>
      <w:r>
        <w:rPr>
          <w:sz w:val="22"/>
        </w:rPr>
        <w:t>» </w:t>
      </w:r>
      <w:r>
        <w:rPr>
          <w:i/>
          <w:sz w:val="22"/>
        </w:rPr>
        <w:t>such as the decision</w:t>
      </w:r>
      <w:r>
        <w:rPr>
          <w:i/>
          <w:spacing w:val="40"/>
          <w:sz w:val="22"/>
        </w:rPr>
        <w:t> </w:t>
      </w:r>
      <w:r>
        <w:rPr>
          <w:i/>
          <w:sz w:val="22"/>
        </w:rPr>
        <w:t>to summon a person to appear as a witness challenged in the main proceedings before a Spanish jurisdiction. It is to for the competent national courts to assess </w:t>
      </w:r>
      <w:r>
        <w:rPr>
          <w:sz w:val="22"/>
        </w:rPr>
        <w:t>“in concreto” </w:t>
      </w:r>
      <w:r>
        <w:rPr>
          <w:i/>
          <w:sz w:val="22"/>
        </w:rPr>
        <w:t>and on a case by case basis whether an EPD procedural act is in-</w:t>
      </w:r>
      <w:r>
        <w:rPr>
          <w:i/>
          <w:sz w:val="22"/>
        </w:rPr>
        <w:t> tended to produce</w:t>
      </w:r>
      <w:r>
        <w:rPr>
          <w:i/>
          <w:spacing w:val="40"/>
          <w:sz w:val="22"/>
        </w:rPr>
        <w:t> </w:t>
      </w:r>
      <w:r>
        <w:rPr>
          <w:i/>
          <w:sz w:val="22"/>
        </w:rPr>
        <w:t>binding legal effects on the basis of the interpretative criteria established by the same EU</w:t>
      </w:r>
      <w:r>
        <w:rPr>
          <w:i/>
          <w:spacing w:val="-2"/>
          <w:sz w:val="22"/>
        </w:rPr>
        <w:t> </w:t>
      </w:r>
      <w:r>
        <w:rPr>
          <w:i/>
          <w:sz w:val="22"/>
        </w:rPr>
        <w:t>Court: the situation</w:t>
      </w:r>
      <w:r>
        <w:rPr>
          <w:i/>
          <w:spacing w:val="-1"/>
          <w:sz w:val="22"/>
        </w:rPr>
        <w:t> </w:t>
      </w:r>
      <w:r>
        <w:rPr>
          <w:i/>
          <w:sz w:val="22"/>
        </w:rPr>
        <w:t>of the person</w:t>
      </w:r>
      <w:r>
        <w:rPr>
          <w:i/>
          <w:spacing w:val="-1"/>
          <w:sz w:val="22"/>
        </w:rPr>
        <w:t> </w:t>
      </w:r>
      <w:r>
        <w:rPr>
          <w:i/>
          <w:sz w:val="22"/>
        </w:rPr>
        <w:t>who</w:t>
      </w:r>
      <w:r>
        <w:rPr>
          <w:i/>
          <w:spacing w:val="-1"/>
          <w:sz w:val="22"/>
        </w:rPr>
        <w:t> </w:t>
      </w:r>
      <w:r>
        <w:rPr>
          <w:i/>
          <w:sz w:val="22"/>
        </w:rPr>
        <w:t>challenges the investigative measure, the content of the act in question and the context in which it was adopted. The Author has serious doubts on such a delegation of assessing powers conferred by the EU Court upon Member States criminal jurisdictions since</w:t>
      </w:r>
      <w:r>
        <w:rPr>
          <w:i/>
          <w:spacing w:val="-4"/>
          <w:sz w:val="22"/>
        </w:rPr>
        <w:t> </w:t>
      </w:r>
      <w:r>
        <w:rPr>
          <w:i/>
          <w:sz w:val="22"/>
        </w:rPr>
        <w:t>such</w:t>
      </w:r>
      <w:r>
        <w:rPr>
          <w:i/>
          <w:spacing w:val="-1"/>
          <w:sz w:val="22"/>
        </w:rPr>
        <w:t> </w:t>
      </w:r>
      <w:r>
        <w:rPr>
          <w:i/>
          <w:sz w:val="22"/>
        </w:rPr>
        <w:t>an</w:t>
      </w:r>
      <w:r>
        <w:rPr>
          <w:i/>
          <w:spacing w:val="-1"/>
          <w:sz w:val="22"/>
        </w:rPr>
        <w:t> </w:t>
      </w:r>
      <w:r>
        <w:rPr>
          <w:i/>
          <w:sz w:val="22"/>
        </w:rPr>
        <w:t>assessment</w:t>
      </w:r>
      <w:r>
        <w:rPr>
          <w:i/>
          <w:spacing w:val="-4"/>
          <w:sz w:val="22"/>
        </w:rPr>
        <w:t> </w:t>
      </w:r>
      <w:r>
        <w:rPr>
          <w:i/>
          <w:sz w:val="22"/>
        </w:rPr>
        <w:t>on</w:t>
      </w:r>
      <w:r>
        <w:rPr>
          <w:i/>
          <w:spacing w:val="-1"/>
          <w:sz w:val="22"/>
        </w:rPr>
        <w:t> </w:t>
      </w:r>
      <w:r>
        <w:rPr>
          <w:i/>
          <w:sz w:val="22"/>
        </w:rPr>
        <w:t>a case-by-case</w:t>
      </w:r>
      <w:r>
        <w:rPr>
          <w:i/>
          <w:spacing w:val="-4"/>
          <w:sz w:val="22"/>
        </w:rPr>
        <w:t> </w:t>
      </w:r>
      <w:r>
        <w:rPr>
          <w:i/>
          <w:sz w:val="22"/>
        </w:rPr>
        <w:t>basis</w:t>
      </w:r>
      <w:r>
        <w:rPr>
          <w:i/>
          <w:spacing w:val="-4"/>
          <w:sz w:val="22"/>
        </w:rPr>
        <w:t> </w:t>
      </w:r>
      <w:r>
        <w:rPr>
          <w:i/>
          <w:sz w:val="22"/>
        </w:rPr>
        <w:t>may</w:t>
      </w:r>
      <w:r>
        <w:rPr>
          <w:i/>
          <w:spacing w:val="-4"/>
          <w:sz w:val="22"/>
        </w:rPr>
        <w:t> </w:t>
      </w:r>
      <w:r>
        <w:rPr>
          <w:i/>
          <w:sz w:val="22"/>
        </w:rPr>
        <w:t>lead</w:t>
      </w:r>
      <w:r>
        <w:rPr>
          <w:i/>
          <w:spacing w:val="-1"/>
          <w:sz w:val="22"/>
        </w:rPr>
        <w:t> </w:t>
      </w:r>
      <w:r>
        <w:rPr>
          <w:i/>
          <w:sz w:val="22"/>
        </w:rPr>
        <w:t>to</w:t>
      </w:r>
      <w:r>
        <w:rPr>
          <w:i/>
          <w:spacing w:val="-5"/>
          <w:sz w:val="22"/>
        </w:rPr>
        <w:t> </w:t>
      </w:r>
      <w:r>
        <w:rPr>
          <w:i/>
          <w:sz w:val="22"/>
        </w:rPr>
        <w:t>divergent</w:t>
      </w:r>
      <w:r>
        <w:rPr>
          <w:i/>
          <w:spacing w:val="-4"/>
          <w:sz w:val="22"/>
        </w:rPr>
        <w:t> </w:t>
      </w:r>
      <w:r>
        <w:rPr>
          <w:i/>
          <w:sz w:val="22"/>
        </w:rPr>
        <w:t>decisions as to the existence of binding legal effects of a given category of EPD investiga- tive measures. Such possible divergent decisions of criminal jurisdictions of the same Member State may entail the risk of a breach of the principle of equality of treatment of comparable legal situations and of the fundamental right of defence enshrined in Art. 48 of the Charter of Fundamental Rights (CFR). The express referral to </w:t>
      </w:r>
      <w:r>
        <w:rPr>
          <w:sz w:val="22"/>
        </w:rPr>
        <w:t>«</w:t>
      </w:r>
      <w:r>
        <w:rPr>
          <w:i/>
          <w:sz w:val="22"/>
        </w:rPr>
        <w:t>the requirements and procedures laid down by national law</w:t>
      </w:r>
      <w:r>
        <w:rPr>
          <w:sz w:val="22"/>
        </w:rPr>
        <w:t>» </w:t>
      </w:r>
      <w:r>
        <w:rPr>
          <w:i/>
          <w:sz w:val="22"/>
        </w:rPr>
        <w:t>con-</w:t>
      </w:r>
      <w:r>
        <w:rPr>
          <w:i/>
          <w:sz w:val="22"/>
        </w:rPr>
        <w:t> tained in Article 42 (1) of the EPPO regulation allows Member States to provide in</w:t>
      </w:r>
      <w:r>
        <w:rPr>
          <w:i/>
          <w:spacing w:val="24"/>
          <w:sz w:val="22"/>
        </w:rPr>
        <w:t> </w:t>
      </w:r>
      <w:r>
        <w:rPr>
          <w:i/>
          <w:sz w:val="22"/>
        </w:rPr>
        <w:t>their</w:t>
      </w:r>
      <w:r>
        <w:rPr>
          <w:i/>
          <w:spacing w:val="21"/>
          <w:sz w:val="22"/>
        </w:rPr>
        <w:t> </w:t>
      </w:r>
      <w:r>
        <w:rPr>
          <w:i/>
          <w:sz w:val="22"/>
        </w:rPr>
        <w:t>legislations</w:t>
      </w:r>
      <w:r>
        <w:rPr>
          <w:i/>
          <w:spacing w:val="21"/>
          <w:sz w:val="22"/>
        </w:rPr>
        <w:t> </w:t>
      </w:r>
      <w:r>
        <w:rPr>
          <w:i/>
          <w:sz w:val="22"/>
        </w:rPr>
        <w:t>that</w:t>
      </w:r>
      <w:r>
        <w:rPr>
          <w:i/>
          <w:spacing w:val="21"/>
          <w:sz w:val="22"/>
        </w:rPr>
        <w:t> </w:t>
      </w:r>
      <w:r>
        <w:rPr>
          <w:i/>
          <w:sz w:val="22"/>
        </w:rPr>
        <w:t>judicial</w:t>
      </w:r>
      <w:r>
        <w:rPr>
          <w:i/>
          <w:spacing w:val="21"/>
          <w:sz w:val="22"/>
        </w:rPr>
        <w:t> </w:t>
      </w:r>
      <w:r>
        <w:rPr>
          <w:i/>
          <w:sz w:val="22"/>
        </w:rPr>
        <w:t>review</w:t>
      </w:r>
      <w:r>
        <w:rPr>
          <w:i/>
          <w:spacing w:val="23"/>
          <w:sz w:val="22"/>
        </w:rPr>
        <w:t> </w:t>
      </w:r>
      <w:r>
        <w:rPr>
          <w:i/>
          <w:sz w:val="22"/>
        </w:rPr>
        <w:t>of</w:t>
      </w:r>
      <w:r>
        <w:rPr>
          <w:i/>
          <w:spacing w:val="21"/>
          <w:sz w:val="22"/>
        </w:rPr>
        <w:t> </w:t>
      </w:r>
      <w:r>
        <w:rPr>
          <w:i/>
          <w:sz w:val="22"/>
        </w:rPr>
        <w:t>an</w:t>
      </w:r>
      <w:r>
        <w:rPr>
          <w:i/>
          <w:spacing w:val="24"/>
          <w:sz w:val="22"/>
        </w:rPr>
        <w:t> </w:t>
      </w:r>
      <w:r>
        <w:rPr>
          <w:i/>
          <w:sz w:val="22"/>
        </w:rPr>
        <w:t>EPD</w:t>
      </w:r>
      <w:r>
        <w:rPr>
          <w:i/>
          <w:spacing w:val="23"/>
          <w:sz w:val="22"/>
        </w:rPr>
        <w:t> </w:t>
      </w:r>
      <w:r>
        <w:rPr>
          <w:i/>
          <w:sz w:val="22"/>
        </w:rPr>
        <w:t>procedural</w:t>
      </w:r>
      <w:r>
        <w:rPr>
          <w:i/>
          <w:spacing w:val="21"/>
          <w:sz w:val="22"/>
        </w:rPr>
        <w:t> </w:t>
      </w:r>
      <w:r>
        <w:rPr>
          <w:i/>
          <w:sz w:val="22"/>
        </w:rPr>
        <w:t>act</w:t>
      </w:r>
      <w:r>
        <w:rPr>
          <w:i/>
          <w:spacing w:val="21"/>
          <w:sz w:val="22"/>
        </w:rPr>
        <w:t> </w:t>
      </w:r>
      <w:r>
        <w:rPr>
          <w:i/>
          <w:sz w:val="22"/>
        </w:rPr>
        <w:t>may</w:t>
      </w:r>
      <w:r>
        <w:rPr>
          <w:i/>
          <w:spacing w:val="21"/>
          <w:sz w:val="22"/>
        </w:rPr>
        <w:t> </w:t>
      </w:r>
      <w:r>
        <w:rPr>
          <w:i/>
          <w:sz w:val="22"/>
        </w:rPr>
        <w:t>consist</w:t>
      </w:r>
    </w:p>
    <w:p>
      <w:pPr>
        <w:spacing w:after="0" w:line="228" w:lineRule="auto"/>
        <w:jc w:val="both"/>
        <w:rPr>
          <w:sz w:val="22"/>
        </w:rPr>
        <w:sectPr>
          <w:pgSz w:w="11910" w:h="16840"/>
          <w:pgMar w:header="2182" w:footer="0" w:top="2480" w:bottom="280" w:left="1680" w:right="1680"/>
        </w:sectPr>
      </w:pPr>
    </w:p>
    <w:p>
      <w:pPr>
        <w:pStyle w:val="BodyText"/>
        <w:rPr>
          <w:i/>
          <w:sz w:val="22"/>
        </w:rPr>
      </w:pPr>
    </w:p>
    <w:p>
      <w:pPr>
        <w:pStyle w:val="BodyText"/>
        <w:spacing w:before="62"/>
        <w:rPr>
          <w:i/>
          <w:sz w:val="22"/>
        </w:rPr>
      </w:pPr>
    </w:p>
    <w:p>
      <w:pPr>
        <w:spacing w:line="228" w:lineRule="auto" w:before="0"/>
        <w:ind w:left="673" w:right="671" w:firstLine="0"/>
        <w:jc w:val="both"/>
        <w:rPr>
          <w:i/>
          <w:sz w:val="22"/>
        </w:rPr>
      </w:pPr>
      <w:r>
        <w:rPr>
          <w:i/>
          <w:sz w:val="22"/>
        </w:rPr>
        <w:t>either in a direct challenge of such an act, or</w:t>
      </w:r>
      <w:r>
        <w:rPr>
          <w:i/>
          <w:spacing w:val="-3"/>
          <w:sz w:val="22"/>
        </w:rPr>
        <w:t> </w:t>
      </w:r>
      <w:r>
        <w:rPr>
          <w:i/>
          <w:sz w:val="22"/>
        </w:rPr>
        <w:t>in an incidental question dealt with</w:t>
      </w:r>
      <w:r>
        <w:rPr>
          <w:i/>
          <w:sz w:val="22"/>
        </w:rPr>
        <w:t> by the criminal trial court. Finally the EU Court has declared the Spanish legis- lation challenged in the main proceedings incompatible with the general princi- ple </w:t>
      </w:r>
      <w:r>
        <w:rPr>
          <w:sz w:val="22"/>
        </w:rPr>
        <w:t>«</w:t>
      </w:r>
      <w:r>
        <w:rPr>
          <w:i/>
          <w:sz w:val="22"/>
        </w:rPr>
        <w:t>of equivalence</w:t>
      </w:r>
      <w:r>
        <w:rPr>
          <w:sz w:val="22"/>
        </w:rPr>
        <w:t>» </w:t>
      </w:r>
      <w:r>
        <w:rPr>
          <w:i/>
          <w:sz w:val="22"/>
        </w:rPr>
        <w:t>of the EU legal order. Indeed pursuant to Spanish legisla-</w:t>
      </w:r>
      <w:r>
        <w:rPr>
          <w:i/>
          <w:sz w:val="22"/>
        </w:rPr>
        <w:t> tion the persons who are the subjects of an investigation of a European Delegat- ed Prosecutor operating in Spain were in a less favourable situation than the persons who were the subjects of an investigation by a Spanish investigating judge given that only the latter persons – and not the formers – could bring a di- rect appeal against a decision summoning witnesses to appear.</w:t>
      </w:r>
    </w:p>
    <w:sectPr>
      <w:pgSz w:w="11910" w:h="16840"/>
      <w:pgMar w:header="2182" w:footer="0" w:top="2480" w:bottom="280" w:left="16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371776">
              <wp:simplePos x="0" y="0"/>
              <wp:positionH relativeFrom="page">
                <wp:posOffset>1494155</wp:posOffset>
              </wp:positionH>
              <wp:positionV relativeFrom="page">
                <wp:posOffset>1581784</wp:posOffset>
              </wp:positionV>
              <wp:extent cx="4572635" cy="127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4572635" cy="1270"/>
                      </a:xfrm>
                      <a:custGeom>
                        <a:avLst/>
                        <a:gdLst/>
                        <a:ahLst/>
                        <a:cxnLst/>
                        <a:rect l="l" t="t" r="r" b="b"/>
                        <a:pathLst>
                          <a:path w="4572635" h="635">
                            <a:moveTo>
                              <a:pt x="0" y="0"/>
                            </a:moveTo>
                            <a:lnTo>
                              <a:pt x="4572634" y="634"/>
                            </a:lnTo>
                          </a:path>
                        </a:pathLst>
                      </a:custGeom>
                      <a:ln w="6349">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44704" from="117.650002pt,124.549988pt" to="477.700002pt,124.599988pt" stroked="true" strokeweight=".5pt" strokecolor="#000000">
              <v:stroke dashstyle="solid"/>
              <w10:wrap type="none"/>
            </v:line>
          </w:pict>
        </mc:Fallback>
      </mc:AlternateContent>
    </w:r>
    <w:r>
      <w:rPr/>
      <mc:AlternateContent>
        <mc:Choice Requires="wps">
          <w:drawing>
            <wp:anchor distT="0" distB="0" distL="0" distR="0" allowOverlap="1" layoutInCell="1" locked="0" behindDoc="1" simplePos="0" relativeHeight="487372288">
              <wp:simplePos x="0" y="0"/>
              <wp:positionH relativeFrom="page">
                <wp:posOffset>1456055</wp:posOffset>
              </wp:positionH>
              <wp:positionV relativeFrom="page">
                <wp:posOffset>1373109</wp:posOffset>
              </wp:positionV>
              <wp:extent cx="279400" cy="16637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79400" cy="166370"/>
                      </a:xfrm>
                      <a:prstGeom prst="rect">
                        <a:avLst/>
                      </a:prstGeom>
                    </wps:spPr>
                    <wps:txbx>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116</w:t>
                          </w:r>
                          <w:r>
                            <w:rPr>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14.650002pt;margin-top:108.118858pt;width:22pt;height:13.1pt;mso-position-horizontal-relative:page;mso-position-vertical-relative:page;z-index:-15944192" type="#_x0000_t202" id="docshape4" filled="false" stroked="false">
              <v:textbox inset="0,0,0,0">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116</w:t>
                    </w:r>
                    <w:r>
                      <w:rPr>
                        <w:spacing w:val="-5"/>
                        <w:sz w:val="20"/>
                      </w:rPr>
                      <w:fldChar w:fldCharType="end"/>
                    </w:r>
                  </w:p>
                </w:txbxContent>
              </v:textbox>
              <w10:wrap type="none"/>
            </v:shape>
          </w:pict>
        </mc:Fallback>
      </mc:AlternateContent>
    </w:r>
    <w:r>
      <w:rPr/>
      <mc:AlternateContent>
        <mc:Choice Requires="wps">
          <w:drawing>
            <wp:anchor distT="0" distB="0" distL="0" distR="0" allowOverlap="1" layoutInCell="1" locked="0" behindDoc="1" simplePos="0" relativeHeight="487372800">
              <wp:simplePos x="0" y="0"/>
              <wp:positionH relativeFrom="page">
                <wp:posOffset>5272151</wp:posOffset>
              </wp:positionH>
              <wp:positionV relativeFrom="page">
                <wp:posOffset>1373109</wp:posOffset>
              </wp:positionV>
              <wp:extent cx="808355" cy="16637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808355" cy="166370"/>
                      </a:xfrm>
                      <a:prstGeom prst="rect">
                        <a:avLst/>
                      </a:prstGeom>
                    </wps:spPr>
                    <wps:txbx>
                      <w:txbxContent>
                        <w:p>
                          <w:pPr>
                            <w:spacing w:before="11"/>
                            <w:ind w:left="20" w:right="0" w:firstLine="0"/>
                            <w:jc w:val="left"/>
                            <w:rPr>
                              <w:sz w:val="20"/>
                            </w:rPr>
                          </w:pPr>
                          <w:r>
                            <w:rPr>
                              <w:spacing w:val="-2"/>
                              <w:sz w:val="20"/>
                            </w:rPr>
                            <w:t>Giurisprudenza</w:t>
                          </w:r>
                        </w:p>
                      </w:txbxContent>
                    </wps:txbx>
                    <wps:bodyPr wrap="square" lIns="0" tIns="0" rIns="0" bIns="0" rtlCol="0">
                      <a:noAutofit/>
                    </wps:bodyPr>
                  </wps:wsp>
                </a:graphicData>
              </a:graphic>
            </wp:anchor>
          </w:drawing>
        </mc:Choice>
        <mc:Fallback>
          <w:pict>
            <v:shape style="position:absolute;margin-left:415.130005pt;margin-top:108.118858pt;width:63.65pt;height:13.1pt;mso-position-horizontal-relative:page;mso-position-vertical-relative:page;z-index:-15943680" type="#_x0000_t202" id="docshape5" filled="false" stroked="false">
              <v:textbox inset="0,0,0,0">
                <w:txbxContent>
                  <w:p>
                    <w:pPr>
                      <w:spacing w:before="11"/>
                      <w:ind w:left="20" w:right="0" w:firstLine="0"/>
                      <w:jc w:val="left"/>
                      <w:rPr>
                        <w:sz w:val="20"/>
                      </w:rPr>
                    </w:pPr>
                    <w:r>
                      <w:rPr>
                        <w:spacing w:val="-2"/>
                        <w:sz w:val="20"/>
                      </w:rPr>
                      <w:t>Giurisprudenza</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373312">
              <wp:simplePos x="0" y="0"/>
              <wp:positionH relativeFrom="page">
                <wp:posOffset>1494155</wp:posOffset>
              </wp:positionH>
              <wp:positionV relativeFrom="page">
                <wp:posOffset>1581784</wp:posOffset>
              </wp:positionV>
              <wp:extent cx="4572635" cy="1270"/>
              <wp:effectExtent l="0" t="0" r="0" b="0"/>
              <wp:wrapNone/>
              <wp:docPr id="8" name="Graphic 8"/>
              <wp:cNvGraphicFramePr>
                <a:graphicFrameLocks/>
              </wp:cNvGraphicFramePr>
              <a:graphic>
                <a:graphicData uri="http://schemas.microsoft.com/office/word/2010/wordprocessingShape">
                  <wps:wsp>
                    <wps:cNvPr id="8" name="Graphic 8"/>
                    <wps:cNvSpPr/>
                    <wps:spPr>
                      <a:xfrm>
                        <a:off x="0" y="0"/>
                        <a:ext cx="4572635" cy="1270"/>
                      </a:xfrm>
                      <a:custGeom>
                        <a:avLst/>
                        <a:gdLst/>
                        <a:ahLst/>
                        <a:cxnLst/>
                        <a:rect l="l" t="t" r="r" b="b"/>
                        <a:pathLst>
                          <a:path w="4572635" h="635">
                            <a:moveTo>
                              <a:pt x="0" y="0"/>
                            </a:moveTo>
                            <a:lnTo>
                              <a:pt x="4572634" y="634"/>
                            </a:lnTo>
                          </a:path>
                        </a:pathLst>
                      </a:custGeom>
                      <a:ln w="6349">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943168" from="117.650002pt,124.549988pt" to="477.700002pt,124.599988pt" stroked="true" strokeweight=".5pt" strokecolor="#000000">
              <v:stroke dashstyle="solid"/>
              <w10:wrap type="none"/>
            </v:line>
          </w:pict>
        </mc:Fallback>
      </mc:AlternateContent>
    </w:r>
    <w:r>
      <w:rPr/>
      <mc:AlternateContent>
        <mc:Choice Requires="wps">
          <w:drawing>
            <wp:anchor distT="0" distB="0" distL="0" distR="0" allowOverlap="1" layoutInCell="1" locked="0" behindDoc="1" simplePos="0" relativeHeight="487373824">
              <wp:simplePos x="0" y="0"/>
              <wp:positionH relativeFrom="page">
                <wp:posOffset>1481455</wp:posOffset>
              </wp:positionH>
              <wp:positionV relativeFrom="page">
                <wp:posOffset>1373109</wp:posOffset>
              </wp:positionV>
              <wp:extent cx="633095" cy="16637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633095" cy="166370"/>
                      </a:xfrm>
                      <a:prstGeom prst="rect">
                        <a:avLst/>
                      </a:prstGeom>
                    </wps:spPr>
                    <wps:txbx>
                      <w:txbxContent>
                        <w:p>
                          <w:pPr>
                            <w:spacing w:before="11"/>
                            <w:ind w:left="20" w:right="0" w:firstLine="0"/>
                            <w:jc w:val="left"/>
                            <w:rPr>
                              <w:sz w:val="20"/>
                            </w:rPr>
                          </w:pPr>
                          <w:r>
                            <w:rPr>
                              <w:spacing w:val="-2"/>
                              <w:sz w:val="20"/>
                            </w:rPr>
                            <w:t>comunitaria</w:t>
                          </w:r>
                        </w:p>
                      </w:txbxContent>
                    </wps:txbx>
                    <wps:bodyPr wrap="square" lIns="0" tIns="0" rIns="0" bIns="0" rtlCol="0">
                      <a:noAutofit/>
                    </wps:bodyPr>
                  </wps:wsp>
                </a:graphicData>
              </a:graphic>
            </wp:anchor>
          </w:drawing>
        </mc:Choice>
        <mc:Fallback>
          <w:pict>
            <v:shape style="position:absolute;margin-left:116.650002pt;margin-top:108.118858pt;width:49.85pt;height:13.1pt;mso-position-horizontal-relative:page;mso-position-vertical-relative:page;z-index:-15942656" type="#_x0000_t202" id="docshape6" filled="false" stroked="false">
              <v:textbox inset="0,0,0,0">
                <w:txbxContent>
                  <w:p>
                    <w:pPr>
                      <w:spacing w:before="11"/>
                      <w:ind w:left="20" w:right="0" w:firstLine="0"/>
                      <w:jc w:val="left"/>
                      <w:rPr>
                        <w:sz w:val="20"/>
                      </w:rPr>
                    </w:pPr>
                    <w:r>
                      <w:rPr>
                        <w:spacing w:val="-2"/>
                        <w:sz w:val="20"/>
                      </w:rPr>
                      <w:t>comunitaria</w:t>
                    </w:r>
                  </w:p>
                </w:txbxContent>
              </v:textbox>
              <w10:wrap type="none"/>
            </v:shape>
          </w:pict>
        </mc:Fallback>
      </mc:AlternateContent>
    </w:r>
    <w:r>
      <w:rPr/>
      <mc:AlternateContent>
        <mc:Choice Requires="wps">
          <w:drawing>
            <wp:anchor distT="0" distB="0" distL="0" distR="0" allowOverlap="1" layoutInCell="1" locked="0" behindDoc="1" simplePos="0" relativeHeight="487374336">
              <wp:simplePos x="0" y="0"/>
              <wp:positionH relativeFrom="page">
                <wp:posOffset>5838825</wp:posOffset>
              </wp:positionH>
              <wp:positionV relativeFrom="page">
                <wp:posOffset>1373109</wp:posOffset>
              </wp:positionV>
              <wp:extent cx="279400" cy="16637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279400" cy="166370"/>
                      </a:xfrm>
                      <a:prstGeom prst="rect">
                        <a:avLst/>
                      </a:prstGeom>
                    </wps:spPr>
                    <wps:txbx>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117</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459.75pt;margin-top:108.118858pt;width:22pt;height:13.1pt;mso-position-horizontal-relative:page;mso-position-vertical-relative:page;z-index:-15942144" type="#_x0000_t202" id="docshape7" filled="false" stroked="false">
              <v:textbox inset="0,0,0,0">
                <w:txbxContent>
                  <w:p>
                    <w:pPr>
                      <w:spacing w:before="11"/>
                      <w:ind w:left="60" w:right="0" w:firstLine="0"/>
                      <w:jc w:val="left"/>
                      <w:rPr>
                        <w:sz w:val="20"/>
                      </w:rPr>
                    </w:pPr>
                    <w:r>
                      <w:rPr>
                        <w:spacing w:val="-5"/>
                        <w:sz w:val="20"/>
                      </w:rPr>
                      <w:fldChar w:fldCharType="begin"/>
                    </w:r>
                    <w:r>
                      <w:rPr>
                        <w:spacing w:val="-5"/>
                        <w:sz w:val="20"/>
                      </w:rPr>
                      <w:instrText> PAGE </w:instrText>
                    </w:r>
                    <w:r>
                      <w:rPr>
                        <w:spacing w:val="-5"/>
                        <w:sz w:val="20"/>
                      </w:rPr>
                      <w:fldChar w:fldCharType="separate"/>
                    </w:r>
                    <w:r>
                      <w:rPr>
                        <w:spacing w:val="-5"/>
                        <w:sz w:val="20"/>
                      </w:rPr>
                      <w:t>117</w:t>
                    </w:r>
                    <w:r>
                      <w:rPr>
                        <w:spacing w:val="-5"/>
                        <w:sz w:val="20"/>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069" w:hanging="396"/>
        <w:jc w:val="left"/>
      </w:pPr>
      <w:rPr>
        <w:rFonts w:hint="default" w:ascii="Times New Roman" w:hAnsi="Times New Roman" w:eastAsia="Times New Roman" w:cs="Times New Roman"/>
        <w:b/>
        <w:bCs/>
        <w:i w:val="0"/>
        <w:iCs w:val="0"/>
        <w:spacing w:val="0"/>
        <w:w w:val="100"/>
        <w:sz w:val="24"/>
        <w:szCs w:val="24"/>
        <w:lang w:val="it-IT" w:eastAsia="en-US" w:bidi="ar-SA"/>
      </w:rPr>
    </w:lvl>
    <w:lvl w:ilvl="1">
      <w:start w:val="1"/>
      <w:numFmt w:val="decimal"/>
      <w:lvlText w:val="%1.%2"/>
      <w:lvlJc w:val="left"/>
      <w:pPr>
        <w:ind w:left="1069" w:hanging="396"/>
        <w:jc w:val="left"/>
      </w:pPr>
      <w:rPr>
        <w:rFonts w:hint="default" w:ascii="Times New Roman" w:hAnsi="Times New Roman" w:eastAsia="Times New Roman" w:cs="Times New Roman"/>
        <w:b w:val="0"/>
        <w:bCs w:val="0"/>
        <w:i w:val="0"/>
        <w:iCs w:val="0"/>
        <w:spacing w:val="0"/>
        <w:w w:val="100"/>
        <w:sz w:val="24"/>
        <w:szCs w:val="24"/>
        <w:lang w:val="it-IT" w:eastAsia="en-US" w:bidi="ar-SA"/>
      </w:rPr>
    </w:lvl>
    <w:lvl w:ilvl="2">
      <w:start w:val="0"/>
      <w:numFmt w:val="bullet"/>
      <w:lvlText w:val="•"/>
      <w:lvlJc w:val="left"/>
      <w:pPr>
        <w:ind w:left="2557" w:hanging="396"/>
      </w:pPr>
      <w:rPr>
        <w:rFonts w:hint="default"/>
        <w:lang w:val="it-IT" w:eastAsia="en-US" w:bidi="ar-SA"/>
      </w:rPr>
    </w:lvl>
    <w:lvl w:ilvl="3">
      <w:start w:val="0"/>
      <w:numFmt w:val="bullet"/>
      <w:lvlText w:val="•"/>
      <w:lvlJc w:val="left"/>
      <w:pPr>
        <w:ind w:left="3306" w:hanging="396"/>
      </w:pPr>
      <w:rPr>
        <w:rFonts w:hint="default"/>
        <w:lang w:val="it-IT" w:eastAsia="en-US" w:bidi="ar-SA"/>
      </w:rPr>
    </w:lvl>
    <w:lvl w:ilvl="4">
      <w:start w:val="0"/>
      <w:numFmt w:val="bullet"/>
      <w:lvlText w:val="•"/>
      <w:lvlJc w:val="left"/>
      <w:pPr>
        <w:ind w:left="4055" w:hanging="396"/>
      </w:pPr>
      <w:rPr>
        <w:rFonts w:hint="default"/>
        <w:lang w:val="it-IT" w:eastAsia="en-US" w:bidi="ar-SA"/>
      </w:rPr>
    </w:lvl>
    <w:lvl w:ilvl="5">
      <w:start w:val="0"/>
      <w:numFmt w:val="bullet"/>
      <w:lvlText w:val="•"/>
      <w:lvlJc w:val="left"/>
      <w:pPr>
        <w:ind w:left="4804" w:hanging="396"/>
      </w:pPr>
      <w:rPr>
        <w:rFonts w:hint="default"/>
        <w:lang w:val="it-IT" w:eastAsia="en-US" w:bidi="ar-SA"/>
      </w:rPr>
    </w:lvl>
    <w:lvl w:ilvl="6">
      <w:start w:val="0"/>
      <w:numFmt w:val="bullet"/>
      <w:lvlText w:val="•"/>
      <w:lvlJc w:val="left"/>
      <w:pPr>
        <w:ind w:left="5552" w:hanging="396"/>
      </w:pPr>
      <w:rPr>
        <w:rFonts w:hint="default"/>
        <w:lang w:val="it-IT" w:eastAsia="en-US" w:bidi="ar-SA"/>
      </w:rPr>
    </w:lvl>
    <w:lvl w:ilvl="7">
      <w:start w:val="0"/>
      <w:numFmt w:val="bullet"/>
      <w:lvlText w:val="•"/>
      <w:lvlJc w:val="left"/>
      <w:pPr>
        <w:ind w:left="6301" w:hanging="396"/>
      </w:pPr>
      <w:rPr>
        <w:rFonts w:hint="default"/>
        <w:lang w:val="it-IT" w:eastAsia="en-US" w:bidi="ar-SA"/>
      </w:rPr>
    </w:lvl>
    <w:lvl w:ilvl="8">
      <w:start w:val="0"/>
      <w:numFmt w:val="bullet"/>
      <w:lvlText w:val="•"/>
      <w:lvlJc w:val="left"/>
      <w:pPr>
        <w:ind w:left="7050" w:hanging="396"/>
      </w:pPr>
      <w:rPr>
        <w:rFonts w:hint="default"/>
        <w:lang w:val="it-I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t-IT"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t-IT" w:eastAsia="en-US" w:bidi="ar-SA"/>
    </w:rPr>
  </w:style>
  <w:style w:styleId="Heading1" w:type="paragraph">
    <w:name w:val="Heading 1"/>
    <w:basedOn w:val="Normal"/>
    <w:uiPriority w:val="1"/>
    <w:qFormat/>
    <w:pPr>
      <w:ind w:left="1068" w:hanging="396"/>
      <w:outlineLvl w:val="1"/>
    </w:pPr>
    <w:rPr>
      <w:rFonts w:ascii="Times New Roman" w:hAnsi="Times New Roman" w:eastAsia="Times New Roman" w:cs="Times New Roman"/>
      <w:b/>
      <w:bCs/>
      <w:sz w:val="24"/>
      <w:szCs w:val="24"/>
      <w:lang w:val="it-IT" w:eastAsia="en-US" w:bidi="ar-SA"/>
    </w:rPr>
  </w:style>
  <w:style w:styleId="Title" w:type="paragraph">
    <w:name w:val="Title"/>
    <w:basedOn w:val="Normal"/>
    <w:uiPriority w:val="1"/>
    <w:qFormat/>
    <w:pPr>
      <w:ind w:left="2" w:right="5"/>
      <w:jc w:val="center"/>
    </w:pPr>
    <w:rPr>
      <w:rFonts w:ascii="Times New Roman" w:hAnsi="Times New Roman" w:eastAsia="Times New Roman" w:cs="Times New Roman"/>
      <w:b/>
      <w:bCs/>
      <w:sz w:val="28"/>
      <w:szCs w:val="28"/>
      <w:lang w:val="it-IT" w:eastAsia="en-US" w:bidi="ar-SA"/>
    </w:rPr>
  </w:style>
  <w:style w:styleId="ListParagraph" w:type="paragraph">
    <w:name w:val="List Paragraph"/>
    <w:basedOn w:val="Normal"/>
    <w:uiPriority w:val="1"/>
    <w:qFormat/>
    <w:pPr>
      <w:ind w:left="1068" w:hanging="396"/>
    </w:pPr>
    <w:rPr>
      <w:rFonts w:ascii="Times New Roman" w:hAnsi="Times New Roman" w:eastAsia="Times New Roman" w:cs="Times New Roman"/>
      <w:lang w:val="it-IT" w:eastAsia="en-US" w:bidi="ar-SA"/>
    </w:rPr>
  </w:style>
  <w:style w:styleId="TableParagraph" w:type="paragraph">
    <w:name w:val="Table Paragraph"/>
    <w:basedOn w:val="Normal"/>
    <w:uiPriority w:val="1"/>
    <w:qFormat/>
    <w:pPr/>
    <w:rPr>
      <w:lang w:val="it-I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hyperlink" Target="http://www.editorialescientifica.com/"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ENRICO TRAVERSA</dc:creator>
  <dc:title>SECONDA IMPORTANTE SENTENZA DELLA CORTE DI GIUSTIZIA UE (CAUSA N. C-292/23) ...</dc:title>
  <dcterms:created xsi:type="dcterms:W3CDTF">2025-10-22T21:02:12Z</dcterms:created>
  <dcterms:modified xsi:type="dcterms:W3CDTF">2025-10-22T21:02:12Z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2025-10-18T00:00:00Z</vt:filetime>
  </property>
  <property fmtid="{D5CDD505-2E9C-101B-9397-08002B2CF9AE}" pid="3" name="Creator">
    <vt:lpwstr>PDF Architect</vt:lpwstr>
  </property>
  <property fmtid="{D5CDD505-2E9C-101B-9397-08002B2CF9AE}" pid="4" name="LastSaved">
    <vt:filetime>2025-10-22T00:00:00Z</vt:filetime>
  </property>
  <property fmtid="{D5CDD505-2E9C-101B-9397-08002B2CF9AE}" pid="5" name="Producer">
    <vt:lpwstr>Microsoft® Word per Microsoft 365</vt:lpwstr>
  </property>
</Properties>
</file>