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rPr>
          <w:rFonts w:ascii="Times New Roman"/>
          <w:sz w:val="32"/>
        </w:rPr>
      </w:pPr>
    </w:p>
    <w:p>
      <w:pPr>
        <w:pStyle w:val="BodyText"/>
        <w:rPr>
          <w:rFonts w:ascii="Times New Roman"/>
          <w:sz w:val="32"/>
        </w:rPr>
      </w:pPr>
    </w:p>
    <w:p>
      <w:pPr>
        <w:pStyle w:val="BodyText"/>
        <w:rPr>
          <w:rFonts w:ascii="Times New Roman"/>
          <w:sz w:val="32"/>
        </w:rPr>
      </w:pPr>
    </w:p>
    <w:p>
      <w:pPr>
        <w:pStyle w:val="BodyText"/>
        <w:rPr>
          <w:rFonts w:ascii="Times New Roman"/>
          <w:sz w:val="32"/>
        </w:rPr>
      </w:pPr>
    </w:p>
    <w:p>
      <w:pPr>
        <w:pStyle w:val="BodyText"/>
        <w:rPr>
          <w:rFonts w:ascii="Times New Roman"/>
          <w:sz w:val="32"/>
        </w:rPr>
      </w:pPr>
    </w:p>
    <w:p>
      <w:pPr>
        <w:pStyle w:val="BodyText"/>
        <w:rPr>
          <w:rFonts w:ascii="Times New Roman"/>
          <w:sz w:val="32"/>
        </w:rPr>
      </w:pPr>
    </w:p>
    <w:p>
      <w:pPr>
        <w:pStyle w:val="BodyText"/>
        <w:rPr>
          <w:rFonts w:ascii="Times New Roman"/>
          <w:sz w:val="32"/>
        </w:rPr>
      </w:pPr>
    </w:p>
    <w:p>
      <w:pPr>
        <w:pStyle w:val="BodyText"/>
        <w:rPr>
          <w:rFonts w:ascii="Times New Roman"/>
          <w:sz w:val="32"/>
        </w:rPr>
      </w:pPr>
    </w:p>
    <w:p>
      <w:pPr>
        <w:pStyle w:val="BodyText"/>
        <w:rPr>
          <w:rFonts w:ascii="Times New Roman"/>
          <w:sz w:val="32"/>
        </w:rPr>
      </w:pPr>
    </w:p>
    <w:p>
      <w:pPr>
        <w:pStyle w:val="BodyText"/>
        <w:spacing w:before="77"/>
        <w:rPr>
          <w:rFonts w:ascii="Times New Roman"/>
          <w:sz w:val="32"/>
        </w:rPr>
      </w:pPr>
    </w:p>
    <w:p>
      <w:pPr>
        <w:pStyle w:val="Heading2"/>
        <w:spacing w:before="0"/>
        <w:ind w:left="42" w:right="6"/>
        <w:jc w:val="center"/>
        <w:rPr>
          <w:rFonts w:ascii="Adobe Garamond Pro"/>
        </w:rPr>
      </w:pPr>
      <w:r>
        <w:rPr>
          <w:rFonts w:ascii="Adobe Garamond Pro"/>
          <w:color w:val="231F20"/>
          <w:w w:val="110"/>
        </w:rPr>
        <w:t>Sezione</w:t>
      </w:r>
      <w:r>
        <w:rPr>
          <w:rFonts w:ascii="Adobe Garamond Pro"/>
          <w:color w:val="231F20"/>
          <w:spacing w:val="34"/>
          <w:w w:val="110"/>
        </w:rPr>
        <w:t> </w:t>
      </w:r>
      <w:r>
        <w:rPr>
          <w:rFonts w:ascii="Adobe Garamond Pro"/>
          <w:color w:val="231F20"/>
          <w:spacing w:val="-5"/>
          <w:w w:val="110"/>
        </w:rPr>
        <w:t>II</w:t>
      </w:r>
    </w:p>
    <w:p>
      <w:pPr>
        <w:pStyle w:val="Title"/>
      </w:pPr>
      <w:r>
        <w:rPr>
          <w:color w:val="231F20"/>
        </w:rPr>
        <w:t>DOCUMENTI</w:t>
      </w:r>
      <w:r>
        <w:rPr>
          <w:color w:val="231F20"/>
          <w:spacing w:val="18"/>
        </w:rPr>
        <w:t> </w:t>
      </w:r>
      <w:r>
        <w:rPr>
          <w:color w:val="231F20"/>
          <w:spacing w:val="-2"/>
        </w:rPr>
        <w:t>COMMENTATI</w:t>
      </w:r>
    </w:p>
    <w:p>
      <w:pPr>
        <w:pStyle w:val="BodyText"/>
        <w:spacing w:before="307"/>
        <w:rPr>
          <w:sz w:val="42"/>
        </w:rPr>
      </w:pPr>
    </w:p>
    <w:p>
      <w:pPr>
        <w:spacing w:before="0"/>
        <w:ind w:left="42" w:right="6" w:firstLine="0"/>
        <w:jc w:val="center"/>
        <w:rPr>
          <w:i/>
          <w:sz w:val="32"/>
        </w:rPr>
      </w:pPr>
      <w:r>
        <w:rPr>
          <w:i/>
          <w:color w:val="231F20"/>
          <w:w w:val="145"/>
          <w:sz w:val="32"/>
        </w:rPr>
        <w:t>S</w:t>
      </w:r>
      <w:r>
        <w:rPr>
          <w:i/>
          <w:color w:val="231F20"/>
          <w:w w:val="145"/>
          <w:sz w:val="23"/>
        </w:rPr>
        <w:t>ection</w:t>
      </w:r>
      <w:r>
        <w:rPr>
          <w:i/>
          <w:color w:val="231F20"/>
          <w:spacing w:val="47"/>
          <w:w w:val="145"/>
          <w:sz w:val="23"/>
        </w:rPr>
        <w:t> </w:t>
      </w:r>
      <w:r>
        <w:rPr>
          <w:i/>
          <w:color w:val="231F20"/>
          <w:spacing w:val="-5"/>
          <w:w w:val="145"/>
          <w:sz w:val="32"/>
        </w:rPr>
        <w:t>ii</w:t>
      </w:r>
    </w:p>
    <w:p>
      <w:pPr>
        <w:spacing w:before="120"/>
        <w:ind w:left="42" w:right="6" w:firstLine="0"/>
        <w:jc w:val="center"/>
        <w:rPr>
          <w:i/>
          <w:sz w:val="42"/>
        </w:rPr>
      </w:pPr>
      <w:r>
        <w:rPr>
          <w:i/>
          <w:color w:val="231F20"/>
          <w:sz w:val="42"/>
        </w:rPr>
        <w:t>Commented</w:t>
      </w:r>
      <w:r>
        <w:rPr>
          <w:i/>
          <w:color w:val="231F20"/>
          <w:spacing w:val="-20"/>
          <w:sz w:val="42"/>
        </w:rPr>
        <w:t> </w:t>
      </w:r>
      <w:r>
        <w:rPr>
          <w:i/>
          <w:color w:val="231F20"/>
          <w:spacing w:val="-2"/>
          <w:sz w:val="42"/>
        </w:rPr>
        <w:t>documents</w:t>
      </w:r>
    </w:p>
    <w:p>
      <w:pPr>
        <w:spacing w:after="0"/>
        <w:jc w:val="center"/>
        <w:rPr>
          <w:sz w:val="42"/>
        </w:rPr>
        <w:sectPr>
          <w:footerReference w:type="default" r:id="rId5"/>
          <w:type w:val="continuous"/>
          <w:pgSz w:w="9640" w:h="13610"/>
          <w:pgMar w:header="0" w:footer="0" w:top="1540" w:bottom="280" w:left="1260" w:right="1240"/>
          <w:pgNumType w:start="137"/>
        </w:sectPr>
      </w:pPr>
    </w:p>
    <w:p>
      <w:pPr>
        <w:pStyle w:val="BodyText"/>
        <w:spacing w:before="11"/>
        <w:rPr>
          <w:i/>
          <w:sz w:val="15"/>
        </w:rPr>
      </w:pPr>
    </w:p>
    <w:p>
      <w:pPr>
        <w:spacing w:after="0"/>
        <w:rPr>
          <w:sz w:val="15"/>
        </w:rPr>
        <w:sectPr>
          <w:pgSz w:w="9640" w:h="13610"/>
          <w:pgMar w:header="0" w:footer="0" w:top="1540" w:bottom="280" w:left="1260" w:right="1240"/>
        </w:sectPr>
      </w:pPr>
    </w:p>
    <w:p>
      <w:pPr>
        <w:pStyle w:val="BodyText"/>
        <w:spacing w:before="209"/>
        <w:rPr>
          <w:i/>
          <w:sz w:val="36"/>
        </w:rPr>
      </w:pPr>
      <w:r>
        <w:rPr/>
        <mc:AlternateContent>
          <mc:Choice Requires="wps">
            <w:drawing>
              <wp:anchor distT="0" distB="0" distL="0" distR="0" allowOverlap="1" layoutInCell="1" locked="0" behindDoc="0" simplePos="0" relativeHeight="15728640">
                <wp:simplePos x="0" y="0"/>
                <wp:positionH relativeFrom="page">
                  <wp:posOffset>5608609</wp:posOffset>
                </wp:positionH>
                <wp:positionV relativeFrom="page">
                  <wp:posOffset>2376001</wp:posOffset>
                </wp:positionV>
                <wp:extent cx="511809" cy="2412365"/>
                <wp:effectExtent l="0" t="0" r="0" b="0"/>
                <wp:wrapNone/>
                <wp:docPr id="3" name="Group 3"/>
                <wp:cNvGraphicFramePr>
                  <a:graphicFrameLocks/>
                </wp:cNvGraphicFramePr>
                <a:graphic>
                  <a:graphicData uri="http://schemas.microsoft.com/office/word/2010/wordprocessingGroup">
                    <wpg:wgp>
                      <wpg:cNvPr id="3" name="Group 3"/>
                      <wpg:cNvGrpSpPr/>
                      <wpg:grpSpPr>
                        <a:xfrm>
                          <a:off x="0" y="0"/>
                          <a:ext cx="511809" cy="2412365"/>
                          <a:chExt cx="511809" cy="2412365"/>
                        </a:xfrm>
                      </wpg:grpSpPr>
                      <wps:wsp>
                        <wps:cNvPr id="4" name="Graphic 4"/>
                        <wps:cNvSpPr/>
                        <wps:spPr>
                          <a:xfrm>
                            <a:off x="7393" y="3"/>
                            <a:ext cx="504190" cy="360045"/>
                          </a:xfrm>
                          <a:custGeom>
                            <a:avLst/>
                            <a:gdLst/>
                            <a:ahLst/>
                            <a:cxnLst/>
                            <a:rect l="l" t="t" r="r" b="b"/>
                            <a:pathLst>
                              <a:path w="504190" h="360045">
                                <a:moveTo>
                                  <a:pt x="503999" y="0"/>
                                </a:moveTo>
                                <a:lnTo>
                                  <a:pt x="0" y="0"/>
                                </a:lnTo>
                                <a:lnTo>
                                  <a:pt x="0" y="359994"/>
                                </a:lnTo>
                                <a:lnTo>
                                  <a:pt x="503999" y="359994"/>
                                </a:lnTo>
                                <a:lnTo>
                                  <a:pt x="503999" y="0"/>
                                </a:lnTo>
                                <a:close/>
                              </a:path>
                            </a:pathLst>
                          </a:custGeom>
                          <a:solidFill>
                            <a:srgbClr val="939598"/>
                          </a:solidFill>
                        </wps:spPr>
                        <wps:bodyPr wrap="square" lIns="0" tIns="0" rIns="0" bIns="0" rtlCol="0">
                          <a:prstTxWarp prst="textNoShape">
                            <a:avLst/>
                          </a:prstTxWarp>
                          <a:noAutofit/>
                        </wps:bodyPr>
                      </wps:wsp>
                      <wps:wsp>
                        <wps:cNvPr id="5" name="Graphic 5"/>
                        <wps:cNvSpPr/>
                        <wps:spPr>
                          <a:xfrm>
                            <a:off x="6350" y="0"/>
                            <a:ext cx="1270" cy="2412365"/>
                          </a:xfrm>
                          <a:custGeom>
                            <a:avLst/>
                            <a:gdLst/>
                            <a:ahLst/>
                            <a:cxnLst/>
                            <a:rect l="l" t="t" r="r" b="b"/>
                            <a:pathLst>
                              <a:path w="0" h="2412365">
                                <a:moveTo>
                                  <a:pt x="0" y="0"/>
                                </a:moveTo>
                                <a:lnTo>
                                  <a:pt x="0" y="2411996"/>
                                </a:lnTo>
                              </a:path>
                            </a:pathLst>
                          </a:custGeom>
                          <a:ln w="12700">
                            <a:solidFill>
                              <a:srgbClr val="939598"/>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441.622803pt;margin-top:187.0867pt;width:40.3pt;height:189.95pt;mso-position-horizontal-relative:page;mso-position-vertical-relative:page;z-index:15728640" id="docshapegroup3" coordorigin="8832,3742" coordsize="806,3799">
                <v:rect style="position:absolute;left:8844;top:3741;width:794;height:567" id="docshape4" filled="true" fillcolor="#939598" stroked="false">
                  <v:fill type="solid"/>
                </v:rect>
                <v:line style="position:absolute" from="8842,3742" to="8842,7540" stroked="true" strokeweight="1pt" strokecolor="#939598">
                  <v:stroke dashstyle="solid"/>
                </v:line>
                <w10:wrap type="none"/>
              </v:group>
            </w:pict>
          </mc:Fallback>
        </mc:AlternateContent>
      </w:r>
      <w:r>
        <w:rPr/>
        <mc:AlternateContent>
          <mc:Choice Requires="wps">
            <w:drawing>
              <wp:anchor distT="0" distB="0" distL="0" distR="0" allowOverlap="1" layoutInCell="1" locked="0" behindDoc="0" simplePos="0" relativeHeight="15729152">
                <wp:simplePos x="0" y="0"/>
                <wp:positionH relativeFrom="page">
                  <wp:posOffset>5635147</wp:posOffset>
                </wp:positionH>
                <wp:positionV relativeFrom="page">
                  <wp:posOffset>2795300</wp:posOffset>
                </wp:positionV>
                <wp:extent cx="299720" cy="1995805"/>
                <wp:effectExtent l="0" t="0" r="0" b="0"/>
                <wp:wrapNone/>
                <wp:docPr id="6" name="Textbox 6"/>
                <wp:cNvGraphicFramePr>
                  <a:graphicFrameLocks/>
                </wp:cNvGraphicFramePr>
                <a:graphic>
                  <a:graphicData uri="http://schemas.microsoft.com/office/word/2010/wordprocessingShape">
                    <wps:wsp>
                      <wps:cNvPr id="6" name="Textbox 6"/>
                      <wps:cNvSpPr txBox="1"/>
                      <wps:spPr>
                        <a:xfrm>
                          <a:off x="0" y="0"/>
                          <a:ext cx="299720" cy="1995805"/>
                        </a:xfrm>
                        <a:prstGeom prst="rect">
                          <a:avLst/>
                        </a:prstGeom>
                      </wps:spPr>
                      <wps:txbx>
                        <w:txbxContent>
                          <w:p>
                            <w:pPr>
                              <w:spacing w:before="20"/>
                              <w:ind w:left="20" w:right="0" w:firstLine="0"/>
                              <w:jc w:val="left"/>
                              <w:rPr>
                                <w:rFonts w:ascii="Minion Pro"/>
                                <w:sz w:val="32"/>
                              </w:rPr>
                            </w:pPr>
                            <w:r>
                              <w:rPr>
                                <w:rFonts w:ascii="Minion Pro"/>
                                <w:color w:val="231F20"/>
                                <w:sz w:val="32"/>
                              </w:rPr>
                              <w:t>Commented</w:t>
                            </w:r>
                            <w:r>
                              <w:rPr>
                                <w:rFonts w:ascii="Minion Pro"/>
                                <w:color w:val="231F20"/>
                                <w:spacing w:val="-10"/>
                                <w:sz w:val="32"/>
                              </w:rPr>
                              <w:t> </w:t>
                            </w:r>
                            <w:r>
                              <w:rPr>
                                <w:rFonts w:ascii="Minion Pro"/>
                                <w:color w:val="231F20"/>
                                <w:spacing w:val="-2"/>
                                <w:sz w:val="32"/>
                              </w:rPr>
                              <w:t>documents</w:t>
                            </w:r>
                          </w:p>
                        </w:txbxContent>
                      </wps:txbx>
                      <wps:bodyPr wrap="square" lIns="0" tIns="0" rIns="0" bIns="0" rtlCol="0" vert="vert">
                        <a:noAutofit/>
                      </wps:bodyPr>
                    </wps:wsp>
                  </a:graphicData>
                </a:graphic>
              </wp:anchor>
            </w:drawing>
          </mc:Choice>
          <mc:Fallback>
            <w:pict>
              <v:shape style="position:absolute;margin-left:443.712402pt;margin-top:220.102402pt;width:23.6pt;height:157.15pt;mso-position-horizontal-relative:page;mso-position-vertical-relative:page;z-index:15729152" type="#_x0000_t202" id="docshape5" filled="false" stroked="false">
                <v:textbox inset="0,0,0,0" style="layout-flow:vertical">
                  <w:txbxContent>
                    <w:p>
                      <w:pPr>
                        <w:spacing w:before="20"/>
                        <w:ind w:left="20" w:right="0" w:firstLine="0"/>
                        <w:jc w:val="left"/>
                        <w:rPr>
                          <w:rFonts w:ascii="Minion Pro"/>
                          <w:sz w:val="32"/>
                        </w:rPr>
                      </w:pPr>
                      <w:r>
                        <w:rPr>
                          <w:rFonts w:ascii="Minion Pro"/>
                          <w:color w:val="231F20"/>
                          <w:sz w:val="32"/>
                        </w:rPr>
                        <w:t>Commented</w:t>
                      </w:r>
                      <w:r>
                        <w:rPr>
                          <w:rFonts w:ascii="Minion Pro"/>
                          <w:color w:val="231F20"/>
                          <w:spacing w:val="-10"/>
                          <w:sz w:val="32"/>
                        </w:rPr>
                        <w:t> </w:t>
                      </w:r>
                      <w:r>
                        <w:rPr>
                          <w:rFonts w:ascii="Minion Pro"/>
                          <w:color w:val="231F20"/>
                          <w:spacing w:val="-2"/>
                          <w:sz w:val="32"/>
                        </w:rPr>
                        <w:t>documents</w:t>
                      </w:r>
                    </w:p>
                  </w:txbxContent>
                </v:textbox>
                <w10:wrap type="none"/>
              </v:shape>
            </w:pict>
          </mc:Fallback>
        </mc:AlternateContent>
      </w:r>
    </w:p>
    <w:p>
      <w:pPr>
        <w:pStyle w:val="Heading1"/>
        <w:spacing w:line="244" w:lineRule="auto"/>
        <w:rPr>
          <w:b/>
        </w:rPr>
      </w:pPr>
      <w:r>
        <w:rPr>
          <w:b/>
          <w:color w:val="231F20"/>
        </w:rPr>
        <w:t>Court of Justice Case-law on Cooperation Between Tax</w:t>
      </w:r>
      <w:r>
        <w:rPr>
          <w:b/>
          <w:color w:val="231F20"/>
          <w:spacing w:val="-4"/>
        </w:rPr>
        <w:t> </w:t>
      </w:r>
      <w:r>
        <w:rPr>
          <w:b/>
          <w:color w:val="231F20"/>
        </w:rPr>
        <w:t>Administrations</w:t>
      </w:r>
      <w:r>
        <w:rPr>
          <w:b/>
          <w:color w:val="231F20"/>
          <w:spacing w:val="-4"/>
        </w:rPr>
        <w:t> </w:t>
      </w:r>
      <w:r>
        <w:rPr>
          <w:b/>
          <w:color w:val="231F20"/>
        </w:rPr>
        <w:t>of</w:t>
      </w:r>
      <w:r>
        <w:rPr>
          <w:b/>
          <w:color w:val="231F20"/>
          <w:spacing w:val="-4"/>
        </w:rPr>
        <w:t> </w:t>
      </w:r>
      <w:r>
        <w:rPr>
          <w:b/>
          <w:color w:val="231F20"/>
        </w:rPr>
        <w:t>EU</w:t>
      </w:r>
      <w:r>
        <w:rPr>
          <w:b/>
          <w:color w:val="231F20"/>
          <w:spacing w:val="-4"/>
        </w:rPr>
        <w:t> </w:t>
      </w:r>
      <w:r>
        <w:rPr>
          <w:b/>
          <w:color w:val="231F20"/>
        </w:rPr>
        <w:t>Member States</w:t>
      </w:r>
      <w:r>
        <w:rPr>
          <w:b/>
          <w:color w:val="231F20"/>
          <w:spacing w:val="-19"/>
        </w:rPr>
        <w:t> </w:t>
      </w:r>
      <w:r>
        <w:rPr>
          <w:b/>
          <w:color w:val="231F20"/>
        </w:rPr>
        <w:t>(Information</w:t>
      </w:r>
      <w:r>
        <w:rPr>
          <w:b/>
          <w:color w:val="231F20"/>
          <w:spacing w:val="-19"/>
        </w:rPr>
        <w:t> </w:t>
      </w:r>
      <w:r>
        <w:rPr>
          <w:b/>
          <w:color w:val="231F20"/>
        </w:rPr>
        <w:t>Exchange</w:t>
      </w:r>
      <w:r>
        <w:rPr>
          <w:b/>
          <w:color w:val="231F20"/>
          <w:spacing w:val="-19"/>
        </w:rPr>
        <w:t> </w:t>
      </w:r>
      <w:r>
        <w:rPr>
          <w:b/>
          <w:color w:val="231F20"/>
        </w:rPr>
        <w:t>and</w:t>
      </w:r>
      <w:r>
        <w:rPr>
          <w:b/>
          <w:color w:val="231F20"/>
          <w:spacing w:val="-9"/>
        </w:rPr>
        <w:t> </w:t>
      </w:r>
      <w:r>
        <w:rPr>
          <w:b/>
          <w:color w:val="231F20"/>
        </w:rPr>
        <w:t>Tax</w:t>
      </w:r>
      <w:r>
        <w:rPr>
          <w:b/>
          <w:color w:val="231F20"/>
          <w:spacing w:val="-19"/>
        </w:rPr>
        <w:t> </w:t>
      </w:r>
      <w:r>
        <w:rPr>
          <w:b/>
          <w:color w:val="231F20"/>
        </w:rPr>
        <w:t>Claims </w:t>
      </w:r>
      <w:r>
        <w:rPr>
          <w:b/>
          <w:color w:val="231F20"/>
          <w:spacing w:val="-2"/>
        </w:rPr>
        <w:t>Recovery)*</w:t>
      </w:r>
    </w:p>
    <w:p>
      <w:pPr>
        <w:pStyle w:val="BodyText"/>
        <w:spacing w:before="129"/>
        <w:ind w:left="157"/>
        <w:jc w:val="both"/>
      </w:pPr>
      <w:r>
        <w:rPr>
          <w:color w:val="231F20"/>
        </w:rPr>
        <w:t>Enrico</w:t>
      </w:r>
      <w:r>
        <w:rPr>
          <w:color w:val="231F20"/>
          <w:spacing w:val="-13"/>
        </w:rPr>
        <w:t> </w:t>
      </w:r>
      <w:r>
        <w:rPr>
          <w:color w:val="231F20"/>
          <w:spacing w:val="-2"/>
        </w:rPr>
        <w:t>Traversa**</w:t>
      </w:r>
    </w:p>
    <w:p>
      <w:pPr>
        <w:pStyle w:val="BodyText"/>
      </w:pPr>
    </w:p>
    <w:p>
      <w:pPr>
        <w:pStyle w:val="BodyText"/>
        <w:spacing w:before="106"/>
      </w:pPr>
    </w:p>
    <w:p>
      <w:pPr>
        <w:spacing w:line="225" w:lineRule="auto" w:before="1"/>
        <w:ind w:left="157" w:right="119" w:firstLine="0"/>
        <w:jc w:val="both"/>
        <w:rPr>
          <w:sz w:val="19"/>
        </w:rPr>
      </w:pPr>
      <w:r>
        <w:rPr>
          <w:color w:val="231F20"/>
          <w:sz w:val="19"/>
        </w:rPr>
        <w:t>* This article has been submitted for evaluation through the blind peer review process, in full compliance</w:t>
      </w:r>
      <w:r>
        <w:rPr>
          <w:color w:val="231F20"/>
          <w:spacing w:val="-1"/>
          <w:sz w:val="19"/>
        </w:rPr>
        <w:t> </w:t>
      </w:r>
      <w:r>
        <w:rPr>
          <w:color w:val="231F20"/>
          <w:sz w:val="19"/>
        </w:rPr>
        <w:t>with</w:t>
      </w:r>
      <w:r>
        <w:rPr>
          <w:color w:val="231F20"/>
          <w:spacing w:val="-1"/>
          <w:sz w:val="19"/>
        </w:rPr>
        <w:t> </w:t>
      </w:r>
      <w:r>
        <w:rPr>
          <w:color w:val="231F20"/>
          <w:sz w:val="19"/>
        </w:rPr>
        <w:t>the</w:t>
      </w:r>
      <w:r>
        <w:rPr>
          <w:color w:val="231F20"/>
          <w:spacing w:val="-1"/>
          <w:sz w:val="19"/>
        </w:rPr>
        <w:t> </w:t>
      </w:r>
      <w:r>
        <w:rPr>
          <w:color w:val="231F20"/>
          <w:sz w:val="19"/>
        </w:rPr>
        <w:t>specific</w:t>
      </w:r>
      <w:r>
        <w:rPr>
          <w:color w:val="231F20"/>
          <w:spacing w:val="-1"/>
          <w:sz w:val="19"/>
        </w:rPr>
        <w:t> </w:t>
      </w:r>
      <w:r>
        <w:rPr>
          <w:color w:val="231F20"/>
          <w:sz w:val="19"/>
        </w:rPr>
        <w:t>editorial</w:t>
      </w:r>
      <w:r>
        <w:rPr>
          <w:color w:val="231F20"/>
          <w:spacing w:val="-1"/>
          <w:sz w:val="19"/>
        </w:rPr>
        <w:t> </w:t>
      </w:r>
      <w:r>
        <w:rPr>
          <w:color w:val="231F20"/>
          <w:sz w:val="19"/>
        </w:rPr>
        <w:t>guidelines</w:t>
      </w:r>
      <w:r>
        <w:rPr>
          <w:color w:val="231F20"/>
          <w:spacing w:val="-1"/>
          <w:sz w:val="19"/>
        </w:rPr>
        <w:t> </w:t>
      </w:r>
      <w:r>
        <w:rPr>
          <w:color w:val="231F20"/>
          <w:sz w:val="19"/>
        </w:rPr>
        <w:t>established</w:t>
      </w:r>
      <w:r>
        <w:rPr>
          <w:color w:val="231F20"/>
          <w:spacing w:val="-1"/>
          <w:sz w:val="19"/>
        </w:rPr>
        <w:t> </w:t>
      </w:r>
      <w:r>
        <w:rPr>
          <w:color w:val="231F20"/>
          <w:sz w:val="19"/>
        </w:rPr>
        <w:t>by</w:t>
      </w:r>
      <w:r>
        <w:rPr>
          <w:color w:val="231F20"/>
          <w:spacing w:val="-1"/>
          <w:sz w:val="19"/>
        </w:rPr>
        <w:t> </w:t>
      </w:r>
      <w:r>
        <w:rPr>
          <w:color w:val="231F20"/>
          <w:sz w:val="19"/>
        </w:rPr>
        <w:t>this</w:t>
      </w:r>
      <w:r>
        <w:rPr>
          <w:color w:val="231F20"/>
          <w:spacing w:val="-1"/>
          <w:sz w:val="19"/>
        </w:rPr>
        <w:t> </w:t>
      </w:r>
      <w:r>
        <w:rPr>
          <w:color w:val="231F20"/>
          <w:sz w:val="19"/>
        </w:rPr>
        <w:t>Journal.</w:t>
      </w:r>
    </w:p>
    <w:p>
      <w:pPr>
        <w:spacing w:line="225" w:lineRule="auto" w:before="115"/>
        <w:ind w:left="157" w:right="120" w:firstLine="0"/>
        <w:jc w:val="both"/>
        <w:rPr>
          <w:sz w:val="19"/>
        </w:rPr>
      </w:pPr>
      <w:r>
        <w:rPr>
          <w:color w:val="231F20"/>
          <w:sz w:val="19"/>
        </w:rPr>
        <w:t>** Adjunct Professor of European Union Law at the University of Bologna – Department of </w:t>
      </w:r>
      <w:r>
        <w:rPr>
          <w:color w:val="231F20"/>
          <w:spacing w:val="-2"/>
          <w:sz w:val="19"/>
        </w:rPr>
        <w:t>Political</w:t>
      </w:r>
      <w:r>
        <w:rPr>
          <w:color w:val="231F20"/>
          <w:spacing w:val="-8"/>
          <w:sz w:val="19"/>
        </w:rPr>
        <w:t> </w:t>
      </w:r>
      <w:r>
        <w:rPr>
          <w:color w:val="231F20"/>
          <w:spacing w:val="-2"/>
          <w:sz w:val="19"/>
        </w:rPr>
        <w:t>and</w:t>
      </w:r>
      <w:r>
        <w:rPr>
          <w:color w:val="231F20"/>
          <w:spacing w:val="-8"/>
          <w:sz w:val="19"/>
        </w:rPr>
        <w:t> </w:t>
      </w:r>
      <w:r>
        <w:rPr>
          <w:color w:val="231F20"/>
          <w:spacing w:val="-2"/>
          <w:sz w:val="19"/>
        </w:rPr>
        <w:t>Social</w:t>
      </w:r>
      <w:r>
        <w:rPr>
          <w:color w:val="231F20"/>
          <w:spacing w:val="-8"/>
          <w:sz w:val="19"/>
        </w:rPr>
        <w:t> </w:t>
      </w:r>
      <w:r>
        <w:rPr>
          <w:color w:val="231F20"/>
          <w:spacing w:val="-2"/>
          <w:sz w:val="19"/>
        </w:rPr>
        <w:t>Sciences</w:t>
      </w:r>
      <w:r>
        <w:rPr>
          <w:color w:val="231F20"/>
          <w:spacing w:val="-8"/>
          <w:sz w:val="19"/>
        </w:rPr>
        <w:t> </w:t>
      </w:r>
      <w:r>
        <w:rPr>
          <w:color w:val="231F20"/>
          <w:spacing w:val="-2"/>
          <w:sz w:val="19"/>
        </w:rPr>
        <w:t>and</w:t>
      </w:r>
      <w:r>
        <w:rPr>
          <w:color w:val="231F20"/>
          <w:spacing w:val="-8"/>
          <w:sz w:val="19"/>
        </w:rPr>
        <w:t> </w:t>
      </w:r>
      <w:r>
        <w:rPr>
          <w:color w:val="231F20"/>
          <w:spacing w:val="-2"/>
          <w:sz w:val="19"/>
        </w:rPr>
        <w:t>International</w:t>
      </w:r>
      <w:r>
        <w:rPr>
          <w:color w:val="231F20"/>
          <w:spacing w:val="-8"/>
          <w:sz w:val="19"/>
        </w:rPr>
        <w:t> </w:t>
      </w:r>
      <w:r>
        <w:rPr>
          <w:color w:val="231F20"/>
          <w:spacing w:val="-2"/>
          <w:sz w:val="19"/>
        </w:rPr>
        <w:t>Relations.</w:t>
      </w:r>
      <w:r>
        <w:rPr>
          <w:color w:val="231F20"/>
          <w:spacing w:val="-8"/>
          <w:sz w:val="19"/>
        </w:rPr>
        <w:t> </w:t>
      </w:r>
      <w:r>
        <w:rPr>
          <w:color w:val="231F20"/>
          <w:spacing w:val="-2"/>
          <w:sz w:val="19"/>
        </w:rPr>
        <w:t>Former</w:t>
      </w:r>
      <w:r>
        <w:rPr>
          <w:color w:val="231F20"/>
          <w:spacing w:val="-8"/>
          <w:sz w:val="19"/>
        </w:rPr>
        <w:t> </w:t>
      </w:r>
      <w:r>
        <w:rPr>
          <w:color w:val="231F20"/>
          <w:spacing w:val="-2"/>
          <w:sz w:val="19"/>
        </w:rPr>
        <w:t>Director</w:t>
      </w:r>
      <w:r>
        <w:rPr>
          <w:color w:val="231F20"/>
          <w:spacing w:val="-8"/>
          <w:sz w:val="19"/>
        </w:rPr>
        <w:t> </w:t>
      </w:r>
      <w:r>
        <w:rPr>
          <w:color w:val="231F20"/>
          <w:spacing w:val="-2"/>
          <w:sz w:val="19"/>
        </w:rPr>
        <w:t>of</w:t>
      </w:r>
      <w:r>
        <w:rPr>
          <w:color w:val="231F20"/>
          <w:spacing w:val="-8"/>
          <w:sz w:val="19"/>
        </w:rPr>
        <w:t> </w:t>
      </w:r>
      <w:r>
        <w:rPr>
          <w:color w:val="231F20"/>
          <w:spacing w:val="-2"/>
          <w:sz w:val="19"/>
        </w:rPr>
        <w:t>the</w:t>
      </w:r>
      <w:r>
        <w:rPr>
          <w:color w:val="231F20"/>
          <w:spacing w:val="-8"/>
          <w:sz w:val="19"/>
        </w:rPr>
        <w:t> </w:t>
      </w:r>
      <w:r>
        <w:rPr>
          <w:color w:val="231F20"/>
          <w:spacing w:val="-2"/>
          <w:sz w:val="19"/>
        </w:rPr>
        <w:t>Legal</w:t>
      </w:r>
      <w:r>
        <w:rPr>
          <w:color w:val="231F20"/>
          <w:spacing w:val="-8"/>
          <w:sz w:val="19"/>
        </w:rPr>
        <w:t> </w:t>
      </w:r>
      <w:r>
        <w:rPr>
          <w:color w:val="231F20"/>
          <w:spacing w:val="-2"/>
          <w:sz w:val="19"/>
        </w:rPr>
        <w:t>Service</w:t>
      </w:r>
      <w:r>
        <w:rPr>
          <w:color w:val="231F20"/>
          <w:spacing w:val="-8"/>
          <w:sz w:val="19"/>
        </w:rPr>
        <w:t> </w:t>
      </w:r>
      <w:r>
        <w:rPr>
          <w:color w:val="231F20"/>
          <w:spacing w:val="-2"/>
          <w:sz w:val="19"/>
        </w:rPr>
        <w:t>of </w:t>
      </w:r>
      <w:r>
        <w:rPr>
          <w:color w:val="231F20"/>
          <w:sz w:val="19"/>
        </w:rPr>
        <w:t>the European Commission – Brussels.</w:t>
      </w:r>
    </w:p>
    <w:p>
      <w:pPr>
        <w:pStyle w:val="BodyText"/>
        <w:spacing w:before="120"/>
        <w:rPr>
          <w:sz w:val="19"/>
        </w:rPr>
      </w:pPr>
    </w:p>
    <w:p>
      <w:pPr>
        <w:pStyle w:val="BodyText"/>
        <w:spacing w:line="225" w:lineRule="auto"/>
        <w:ind w:left="157" w:right="118"/>
        <w:jc w:val="both"/>
      </w:pPr>
      <w:r>
        <w:rPr>
          <w:color w:val="231F20"/>
        </w:rPr>
        <w:t>Keywords:</w:t>
      </w:r>
      <w:r>
        <w:rPr>
          <w:color w:val="231F20"/>
          <w:spacing w:val="-6"/>
        </w:rPr>
        <w:t> </w:t>
      </w:r>
      <w:r>
        <w:rPr>
          <w:color w:val="231F20"/>
        </w:rPr>
        <w:t>information</w:t>
      </w:r>
      <w:r>
        <w:rPr>
          <w:color w:val="231F20"/>
          <w:spacing w:val="-6"/>
        </w:rPr>
        <w:t> </w:t>
      </w:r>
      <w:r>
        <w:rPr>
          <w:color w:val="231F20"/>
        </w:rPr>
        <w:t>exchange</w:t>
      </w:r>
      <w:r>
        <w:rPr>
          <w:color w:val="231F20"/>
          <w:spacing w:val="-6"/>
        </w:rPr>
        <w:t> </w:t>
      </w:r>
      <w:r>
        <w:rPr>
          <w:color w:val="231F20"/>
        </w:rPr>
        <w:t>between</w:t>
      </w:r>
      <w:r>
        <w:rPr>
          <w:color w:val="231F20"/>
          <w:spacing w:val="-6"/>
        </w:rPr>
        <w:t> </w:t>
      </w:r>
      <w:r>
        <w:rPr>
          <w:color w:val="231F20"/>
        </w:rPr>
        <w:t>tax</w:t>
      </w:r>
      <w:r>
        <w:rPr>
          <w:color w:val="231F20"/>
          <w:spacing w:val="-6"/>
        </w:rPr>
        <w:t> </w:t>
      </w:r>
      <w:r>
        <w:rPr>
          <w:color w:val="231F20"/>
        </w:rPr>
        <w:t>administrations;</w:t>
      </w:r>
      <w:r>
        <w:rPr>
          <w:color w:val="231F20"/>
          <w:spacing w:val="-6"/>
        </w:rPr>
        <w:t> </w:t>
      </w:r>
      <w:r>
        <w:rPr>
          <w:color w:val="231F20"/>
        </w:rPr>
        <w:t>fundamen- tal rights; right to an effective judicial remedy; right to respect for private communications between tax lawyers and taxpayers; double taxation also in the area of harmonised taxes (VAT and excise duties).</w:t>
      </w:r>
    </w:p>
    <w:p>
      <w:pPr>
        <w:pStyle w:val="BodyText"/>
      </w:pPr>
    </w:p>
    <w:p>
      <w:pPr>
        <w:pStyle w:val="BodyText"/>
        <w:spacing w:before="127"/>
      </w:pPr>
    </w:p>
    <w:p>
      <w:pPr>
        <w:spacing w:line="230" w:lineRule="auto" w:before="0"/>
        <w:ind w:left="157" w:right="117" w:firstLine="340"/>
        <w:jc w:val="both"/>
        <w:rPr>
          <w:i/>
          <w:sz w:val="24"/>
        </w:rPr>
      </w:pPr>
      <w:r>
        <w:rPr>
          <w:color w:val="231F20"/>
          <w:sz w:val="24"/>
        </w:rPr>
        <w:t>Summary:</w:t>
      </w:r>
      <w:r>
        <w:rPr>
          <w:color w:val="231F20"/>
          <w:spacing w:val="-11"/>
          <w:sz w:val="24"/>
        </w:rPr>
        <w:t> </w:t>
      </w:r>
      <w:r>
        <w:rPr>
          <w:i/>
          <w:color w:val="231F20"/>
          <w:sz w:val="24"/>
        </w:rPr>
        <w:t>1.</w:t>
      </w:r>
      <w:r>
        <w:rPr>
          <w:i/>
          <w:color w:val="231F20"/>
          <w:spacing w:val="-11"/>
          <w:sz w:val="24"/>
        </w:rPr>
        <w:t> </w:t>
      </w:r>
      <w:r>
        <w:rPr>
          <w:i/>
          <w:color w:val="231F20"/>
          <w:sz w:val="24"/>
        </w:rPr>
        <w:t>Introduction;</w:t>
      </w:r>
      <w:r>
        <w:rPr>
          <w:i/>
          <w:color w:val="231F20"/>
          <w:spacing w:val="-11"/>
          <w:sz w:val="24"/>
        </w:rPr>
        <w:t> </w:t>
      </w:r>
      <w:r>
        <w:rPr>
          <w:i/>
          <w:color w:val="231F20"/>
          <w:sz w:val="24"/>
        </w:rPr>
        <w:t>2.</w:t>
      </w:r>
      <w:r>
        <w:rPr>
          <w:i/>
          <w:color w:val="231F20"/>
          <w:spacing w:val="-11"/>
          <w:sz w:val="24"/>
        </w:rPr>
        <w:t> </w:t>
      </w:r>
      <w:r>
        <w:rPr>
          <w:i/>
          <w:color w:val="231F20"/>
          <w:sz w:val="24"/>
        </w:rPr>
        <w:t>Case</w:t>
      </w:r>
      <w:r>
        <w:rPr>
          <w:i/>
          <w:color w:val="231F20"/>
          <w:spacing w:val="-11"/>
          <w:sz w:val="24"/>
        </w:rPr>
        <w:t> </w:t>
      </w:r>
      <w:r>
        <w:rPr>
          <w:i/>
          <w:color w:val="231F20"/>
          <w:sz w:val="24"/>
        </w:rPr>
        <w:t>Law</w:t>
      </w:r>
      <w:r>
        <w:rPr>
          <w:i/>
          <w:color w:val="231F20"/>
          <w:spacing w:val="-11"/>
          <w:sz w:val="24"/>
        </w:rPr>
        <w:t> </w:t>
      </w:r>
      <w:r>
        <w:rPr>
          <w:i/>
          <w:color w:val="231F20"/>
          <w:sz w:val="24"/>
        </w:rPr>
        <w:t>on</w:t>
      </w:r>
      <w:r>
        <w:rPr>
          <w:i/>
          <w:color w:val="231F20"/>
          <w:spacing w:val="-11"/>
          <w:sz w:val="24"/>
        </w:rPr>
        <w:t> </w:t>
      </w:r>
      <w:r>
        <w:rPr>
          <w:i/>
          <w:color w:val="231F20"/>
          <w:sz w:val="24"/>
        </w:rPr>
        <w:t>the</w:t>
      </w:r>
      <w:r>
        <w:rPr>
          <w:i/>
          <w:color w:val="231F20"/>
          <w:spacing w:val="-11"/>
          <w:sz w:val="24"/>
        </w:rPr>
        <w:t> </w:t>
      </w:r>
      <w:r>
        <w:rPr>
          <w:i/>
          <w:color w:val="231F20"/>
          <w:sz w:val="24"/>
        </w:rPr>
        <w:t>Interpretation</w:t>
      </w:r>
      <w:r>
        <w:rPr>
          <w:i/>
          <w:color w:val="231F20"/>
          <w:spacing w:val="-11"/>
          <w:sz w:val="24"/>
        </w:rPr>
        <w:t> </w:t>
      </w:r>
      <w:r>
        <w:rPr>
          <w:i/>
          <w:color w:val="231F20"/>
          <w:sz w:val="24"/>
        </w:rPr>
        <w:t>of</w:t>
      </w:r>
      <w:r>
        <w:rPr>
          <w:i/>
          <w:color w:val="231F20"/>
          <w:spacing w:val="-11"/>
          <w:sz w:val="24"/>
        </w:rPr>
        <w:t> </w:t>
      </w:r>
      <w:r>
        <w:rPr>
          <w:i/>
          <w:color w:val="231F20"/>
          <w:sz w:val="24"/>
        </w:rPr>
        <w:t>Directive</w:t>
      </w:r>
      <w:r>
        <w:rPr>
          <w:i/>
          <w:color w:val="231F20"/>
          <w:sz w:val="24"/>
        </w:rPr>
        <w:t> 2011/16/EU «on administrative Cooperation in the Field of</w:t>
      </w:r>
      <w:r>
        <w:rPr>
          <w:i/>
          <w:color w:val="231F20"/>
          <w:spacing w:val="-4"/>
          <w:sz w:val="24"/>
        </w:rPr>
        <w:t> </w:t>
      </w:r>
      <w:r>
        <w:rPr>
          <w:i/>
          <w:color w:val="231F20"/>
          <w:sz w:val="24"/>
        </w:rPr>
        <w:t>Taxation»; 2.1. </w:t>
      </w:r>
      <w:r>
        <w:rPr>
          <w:i/>
          <w:color w:val="231F20"/>
          <w:spacing w:val="-2"/>
          <w:sz w:val="24"/>
        </w:rPr>
        <w:t>Applicability</w:t>
      </w:r>
      <w:r>
        <w:rPr>
          <w:i/>
          <w:color w:val="231F20"/>
          <w:spacing w:val="-13"/>
          <w:sz w:val="24"/>
        </w:rPr>
        <w:t> </w:t>
      </w:r>
      <w:r>
        <w:rPr>
          <w:i/>
          <w:color w:val="231F20"/>
          <w:spacing w:val="-2"/>
          <w:sz w:val="24"/>
        </w:rPr>
        <w:t>of</w:t>
      </w:r>
      <w:r>
        <w:rPr>
          <w:i/>
          <w:color w:val="231F20"/>
          <w:spacing w:val="-13"/>
          <w:sz w:val="24"/>
        </w:rPr>
        <w:t> </w:t>
      </w:r>
      <w:r>
        <w:rPr>
          <w:i/>
          <w:color w:val="231F20"/>
          <w:spacing w:val="-2"/>
          <w:sz w:val="24"/>
        </w:rPr>
        <w:t>the</w:t>
      </w:r>
      <w:r>
        <w:rPr>
          <w:i/>
          <w:color w:val="231F20"/>
          <w:spacing w:val="-13"/>
          <w:sz w:val="24"/>
        </w:rPr>
        <w:t> </w:t>
      </w:r>
      <w:r>
        <w:rPr>
          <w:i/>
          <w:color w:val="231F20"/>
          <w:spacing w:val="-2"/>
          <w:sz w:val="24"/>
        </w:rPr>
        <w:t>Charter</w:t>
      </w:r>
      <w:r>
        <w:rPr>
          <w:i/>
          <w:color w:val="231F20"/>
          <w:spacing w:val="-13"/>
          <w:sz w:val="24"/>
        </w:rPr>
        <w:t> </w:t>
      </w:r>
      <w:r>
        <w:rPr>
          <w:i/>
          <w:color w:val="231F20"/>
          <w:spacing w:val="-2"/>
          <w:sz w:val="24"/>
        </w:rPr>
        <w:t>of</w:t>
      </w:r>
      <w:r>
        <w:rPr>
          <w:i/>
          <w:color w:val="231F20"/>
          <w:spacing w:val="-13"/>
          <w:sz w:val="24"/>
        </w:rPr>
        <w:t> </w:t>
      </w:r>
      <w:r>
        <w:rPr>
          <w:i/>
          <w:color w:val="231F20"/>
          <w:spacing w:val="-2"/>
          <w:sz w:val="24"/>
        </w:rPr>
        <w:t>Fundamental</w:t>
      </w:r>
      <w:r>
        <w:rPr>
          <w:i/>
          <w:color w:val="231F20"/>
          <w:spacing w:val="-13"/>
          <w:sz w:val="24"/>
        </w:rPr>
        <w:t> </w:t>
      </w:r>
      <w:r>
        <w:rPr>
          <w:i/>
          <w:color w:val="231F20"/>
          <w:spacing w:val="-2"/>
          <w:sz w:val="24"/>
        </w:rPr>
        <w:t>Rights</w:t>
      </w:r>
      <w:r>
        <w:rPr>
          <w:i/>
          <w:color w:val="231F20"/>
          <w:spacing w:val="-13"/>
          <w:sz w:val="24"/>
        </w:rPr>
        <w:t> </w:t>
      </w:r>
      <w:r>
        <w:rPr>
          <w:i/>
          <w:color w:val="231F20"/>
          <w:spacing w:val="-2"/>
          <w:sz w:val="24"/>
        </w:rPr>
        <w:t>to</w:t>
      </w:r>
      <w:r>
        <w:rPr>
          <w:i/>
          <w:color w:val="231F20"/>
          <w:spacing w:val="-13"/>
          <w:sz w:val="24"/>
        </w:rPr>
        <w:t> </w:t>
      </w:r>
      <w:r>
        <w:rPr>
          <w:i/>
          <w:color w:val="231F20"/>
          <w:spacing w:val="-2"/>
          <w:sz w:val="24"/>
        </w:rPr>
        <w:t>the</w:t>
      </w:r>
      <w:r>
        <w:rPr>
          <w:i/>
          <w:color w:val="231F20"/>
          <w:spacing w:val="-13"/>
          <w:sz w:val="24"/>
        </w:rPr>
        <w:t> </w:t>
      </w:r>
      <w:r>
        <w:rPr>
          <w:i/>
          <w:color w:val="231F20"/>
          <w:spacing w:val="-2"/>
          <w:sz w:val="24"/>
        </w:rPr>
        <w:t>Information</w:t>
      </w:r>
      <w:r>
        <w:rPr>
          <w:i/>
          <w:color w:val="231F20"/>
          <w:spacing w:val="-13"/>
          <w:sz w:val="24"/>
        </w:rPr>
        <w:t> </w:t>
      </w:r>
      <w:r>
        <w:rPr>
          <w:i/>
          <w:color w:val="231F20"/>
          <w:spacing w:val="-2"/>
          <w:sz w:val="24"/>
        </w:rPr>
        <w:t>Exchange </w:t>
      </w:r>
      <w:r>
        <w:rPr>
          <w:i/>
          <w:color w:val="231F20"/>
          <w:sz w:val="24"/>
        </w:rPr>
        <w:t>Procedure;</w:t>
      </w:r>
      <w:r>
        <w:rPr>
          <w:i/>
          <w:color w:val="231F20"/>
          <w:spacing w:val="-12"/>
          <w:sz w:val="24"/>
        </w:rPr>
        <w:t> </w:t>
      </w:r>
      <w:r>
        <w:rPr>
          <w:i/>
          <w:color w:val="231F20"/>
          <w:sz w:val="24"/>
        </w:rPr>
        <w:t>2.2.</w:t>
      </w:r>
      <w:r>
        <w:rPr>
          <w:i/>
          <w:color w:val="231F20"/>
          <w:spacing w:val="-12"/>
          <w:sz w:val="24"/>
        </w:rPr>
        <w:t> </w:t>
      </w:r>
      <w:r>
        <w:rPr>
          <w:i/>
          <w:color w:val="231F20"/>
          <w:sz w:val="24"/>
        </w:rPr>
        <w:t>Right</w:t>
      </w:r>
      <w:r>
        <w:rPr>
          <w:i/>
          <w:color w:val="231F20"/>
          <w:spacing w:val="-12"/>
          <w:sz w:val="24"/>
        </w:rPr>
        <w:t> </w:t>
      </w:r>
      <w:r>
        <w:rPr>
          <w:i/>
          <w:color w:val="231F20"/>
          <w:sz w:val="24"/>
        </w:rPr>
        <w:t>of</w:t>
      </w:r>
      <w:r>
        <w:rPr>
          <w:i/>
          <w:color w:val="231F20"/>
          <w:spacing w:val="-12"/>
          <w:sz w:val="24"/>
        </w:rPr>
        <w:t> </w:t>
      </w:r>
      <w:r>
        <w:rPr>
          <w:i/>
          <w:color w:val="231F20"/>
          <w:sz w:val="24"/>
        </w:rPr>
        <w:t>the</w:t>
      </w:r>
      <w:r>
        <w:rPr>
          <w:i/>
          <w:color w:val="231F20"/>
          <w:spacing w:val="-12"/>
          <w:sz w:val="24"/>
        </w:rPr>
        <w:t> </w:t>
      </w:r>
      <w:r>
        <w:rPr>
          <w:i/>
          <w:color w:val="231F20"/>
          <w:sz w:val="24"/>
        </w:rPr>
        <w:t>Holder</w:t>
      </w:r>
      <w:r>
        <w:rPr>
          <w:i/>
          <w:color w:val="231F20"/>
          <w:spacing w:val="-12"/>
          <w:sz w:val="24"/>
        </w:rPr>
        <w:t> </w:t>
      </w:r>
      <w:r>
        <w:rPr>
          <w:i/>
          <w:color w:val="231F20"/>
          <w:sz w:val="24"/>
        </w:rPr>
        <w:t>of</w:t>
      </w:r>
      <w:r>
        <w:rPr>
          <w:i/>
          <w:color w:val="231F20"/>
          <w:spacing w:val="-12"/>
          <w:sz w:val="24"/>
        </w:rPr>
        <w:t> </w:t>
      </w:r>
      <w:r>
        <w:rPr>
          <w:i/>
          <w:color w:val="231F20"/>
          <w:sz w:val="24"/>
        </w:rPr>
        <w:t>Information</w:t>
      </w:r>
      <w:r>
        <w:rPr>
          <w:i/>
          <w:color w:val="231F20"/>
          <w:spacing w:val="-12"/>
          <w:sz w:val="24"/>
        </w:rPr>
        <w:t> </w:t>
      </w:r>
      <w:r>
        <w:rPr>
          <w:i/>
          <w:color w:val="231F20"/>
          <w:sz w:val="24"/>
        </w:rPr>
        <w:t>to</w:t>
      </w:r>
      <w:r>
        <w:rPr>
          <w:i/>
          <w:color w:val="231F20"/>
          <w:spacing w:val="-12"/>
          <w:sz w:val="24"/>
        </w:rPr>
        <w:t> </w:t>
      </w:r>
      <w:r>
        <w:rPr>
          <w:i/>
          <w:color w:val="231F20"/>
          <w:sz w:val="24"/>
        </w:rPr>
        <w:t>Challenge</w:t>
      </w:r>
      <w:r>
        <w:rPr>
          <w:i/>
          <w:color w:val="231F20"/>
          <w:spacing w:val="-13"/>
          <w:sz w:val="24"/>
        </w:rPr>
        <w:t> </w:t>
      </w:r>
      <w:r>
        <w:rPr>
          <w:i/>
          <w:color w:val="231F20"/>
          <w:sz w:val="24"/>
        </w:rPr>
        <w:t>the</w:t>
      </w:r>
      <w:r>
        <w:rPr>
          <w:i/>
          <w:color w:val="231F20"/>
          <w:spacing w:val="-12"/>
          <w:sz w:val="24"/>
        </w:rPr>
        <w:t> </w:t>
      </w:r>
      <w:r>
        <w:rPr>
          <w:i/>
          <w:color w:val="231F20"/>
          <w:sz w:val="24"/>
        </w:rPr>
        <w:t>Injunction Decision</w:t>
      </w:r>
      <w:r>
        <w:rPr>
          <w:i/>
          <w:color w:val="231F20"/>
          <w:spacing w:val="-7"/>
          <w:sz w:val="24"/>
        </w:rPr>
        <w:t> </w:t>
      </w:r>
      <w:r>
        <w:rPr>
          <w:i/>
          <w:color w:val="231F20"/>
          <w:sz w:val="24"/>
        </w:rPr>
        <w:t>of</w:t>
      </w:r>
      <w:r>
        <w:rPr>
          <w:i/>
          <w:color w:val="231F20"/>
          <w:spacing w:val="-6"/>
          <w:sz w:val="24"/>
        </w:rPr>
        <w:t> </w:t>
      </w:r>
      <w:r>
        <w:rPr>
          <w:i/>
          <w:color w:val="231F20"/>
          <w:sz w:val="24"/>
        </w:rPr>
        <w:t>the</w:t>
      </w:r>
      <w:r>
        <w:rPr>
          <w:i/>
          <w:color w:val="231F20"/>
          <w:spacing w:val="-6"/>
          <w:sz w:val="24"/>
        </w:rPr>
        <w:t> </w:t>
      </w:r>
      <w:r>
        <w:rPr>
          <w:i/>
          <w:color w:val="231F20"/>
          <w:sz w:val="24"/>
        </w:rPr>
        <w:t>requested</w:t>
      </w:r>
      <w:r>
        <w:rPr>
          <w:i/>
          <w:color w:val="231F20"/>
          <w:spacing w:val="-15"/>
          <w:sz w:val="24"/>
        </w:rPr>
        <w:t> </w:t>
      </w:r>
      <w:r>
        <w:rPr>
          <w:i/>
          <w:color w:val="231F20"/>
          <w:sz w:val="24"/>
        </w:rPr>
        <w:t>Tax</w:t>
      </w:r>
      <w:r>
        <w:rPr>
          <w:i/>
          <w:color w:val="231F20"/>
          <w:spacing w:val="-6"/>
          <w:sz w:val="24"/>
        </w:rPr>
        <w:t> </w:t>
      </w:r>
      <w:r>
        <w:rPr>
          <w:i/>
          <w:color w:val="231F20"/>
          <w:sz w:val="24"/>
        </w:rPr>
        <w:t>Authority;</w:t>
      </w:r>
      <w:r>
        <w:rPr>
          <w:i/>
          <w:color w:val="231F20"/>
          <w:spacing w:val="-6"/>
          <w:sz w:val="24"/>
        </w:rPr>
        <w:t> </w:t>
      </w:r>
      <w:r>
        <w:rPr>
          <w:i/>
          <w:color w:val="231F20"/>
          <w:sz w:val="24"/>
        </w:rPr>
        <w:t>2.3.</w:t>
      </w:r>
      <w:r>
        <w:rPr>
          <w:i/>
          <w:color w:val="231F20"/>
          <w:spacing w:val="-6"/>
          <w:sz w:val="24"/>
        </w:rPr>
        <w:t> </w:t>
      </w:r>
      <w:r>
        <w:rPr>
          <w:i/>
          <w:color w:val="231F20"/>
          <w:sz w:val="24"/>
        </w:rPr>
        <w:t>Absence</w:t>
      </w:r>
      <w:r>
        <w:rPr>
          <w:i/>
          <w:color w:val="231F20"/>
          <w:spacing w:val="-6"/>
          <w:sz w:val="24"/>
        </w:rPr>
        <w:t> </w:t>
      </w:r>
      <w:r>
        <w:rPr>
          <w:i/>
          <w:color w:val="231F20"/>
          <w:sz w:val="24"/>
        </w:rPr>
        <w:t>of</w:t>
      </w:r>
      <w:r>
        <w:rPr>
          <w:i/>
          <w:color w:val="231F20"/>
          <w:spacing w:val="-6"/>
          <w:sz w:val="24"/>
        </w:rPr>
        <w:t> </w:t>
      </w:r>
      <w:r>
        <w:rPr>
          <w:i/>
          <w:color w:val="231F20"/>
          <w:sz w:val="24"/>
        </w:rPr>
        <w:t>a</w:t>
      </w:r>
      <w:r>
        <w:rPr>
          <w:i/>
          <w:color w:val="231F20"/>
          <w:spacing w:val="-6"/>
          <w:sz w:val="24"/>
        </w:rPr>
        <w:t> </w:t>
      </w:r>
      <w:r>
        <w:rPr>
          <w:i/>
          <w:color w:val="231F20"/>
          <w:sz w:val="24"/>
        </w:rPr>
        <w:t>Right</w:t>
      </w:r>
      <w:r>
        <w:rPr>
          <w:i/>
          <w:color w:val="231F20"/>
          <w:spacing w:val="-6"/>
          <w:sz w:val="24"/>
        </w:rPr>
        <w:t> </w:t>
      </w:r>
      <w:r>
        <w:rPr>
          <w:i/>
          <w:color w:val="231F20"/>
          <w:sz w:val="24"/>
        </w:rPr>
        <w:t>to</w:t>
      </w:r>
      <w:r>
        <w:rPr>
          <w:i/>
          <w:color w:val="231F20"/>
          <w:spacing w:val="-6"/>
          <w:sz w:val="24"/>
        </w:rPr>
        <w:t> </w:t>
      </w:r>
      <w:r>
        <w:rPr>
          <w:i/>
          <w:color w:val="231F20"/>
          <w:sz w:val="24"/>
        </w:rPr>
        <w:t>an</w:t>
      </w:r>
      <w:r>
        <w:rPr>
          <w:i/>
          <w:color w:val="231F20"/>
          <w:spacing w:val="-6"/>
          <w:sz w:val="24"/>
        </w:rPr>
        <w:t> </w:t>
      </w:r>
      <w:r>
        <w:rPr>
          <w:i/>
          <w:color w:val="231F20"/>
          <w:sz w:val="24"/>
        </w:rPr>
        <w:t>effective Remedy for the Taxpayer subject to the Assessment and other interested third Parties;</w:t>
      </w:r>
      <w:r>
        <w:rPr>
          <w:i/>
          <w:color w:val="231F20"/>
          <w:spacing w:val="-15"/>
          <w:sz w:val="24"/>
        </w:rPr>
        <w:t> </w:t>
      </w:r>
      <w:r>
        <w:rPr>
          <w:i/>
          <w:color w:val="231F20"/>
          <w:sz w:val="24"/>
        </w:rPr>
        <w:t>2.4.</w:t>
      </w:r>
      <w:r>
        <w:rPr>
          <w:i/>
          <w:color w:val="231F20"/>
          <w:spacing w:val="-15"/>
          <w:sz w:val="24"/>
        </w:rPr>
        <w:t> </w:t>
      </w:r>
      <w:r>
        <w:rPr>
          <w:i/>
          <w:color w:val="231F20"/>
          <w:sz w:val="24"/>
        </w:rPr>
        <w:t>Level</w:t>
      </w:r>
      <w:r>
        <w:rPr>
          <w:i/>
          <w:color w:val="231F20"/>
          <w:spacing w:val="-15"/>
          <w:sz w:val="24"/>
        </w:rPr>
        <w:t> </w:t>
      </w:r>
      <w:r>
        <w:rPr>
          <w:i/>
          <w:color w:val="231F20"/>
          <w:sz w:val="24"/>
        </w:rPr>
        <w:t>of</w:t>
      </w:r>
      <w:r>
        <w:rPr>
          <w:i/>
          <w:color w:val="231F20"/>
          <w:spacing w:val="-15"/>
          <w:sz w:val="24"/>
        </w:rPr>
        <w:t> </w:t>
      </w:r>
      <w:r>
        <w:rPr>
          <w:i/>
          <w:color w:val="231F20"/>
          <w:sz w:val="24"/>
        </w:rPr>
        <w:t>Precision</w:t>
      </w:r>
      <w:r>
        <w:rPr>
          <w:i/>
          <w:color w:val="231F20"/>
          <w:spacing w:val="-15"/>
          <w:sz w:val="24"/>
        </w:rPr>
        <w:t> </w:t>
      </w:r>
      <w:r>
        <w:rPr>
          <w:i/>
          <w:color w:val="231F20"/>
          <w:sz w:val="24"/>
        </w:rPr>
        <w:t>of</w:t>
      </w:r>
      <w:r>
        <w:rPr>
          <w:i/>
          <w:color w:val="231F20"/>
          <w:spacing w:val="-15"/>
          <w:sz w:val="24"/>
        </w:rPr>
        <w:t> </w:t>
      </w:r>
      <w:r>
        <w:rPr>
          <w:i/>
          <w:color w:val="231F20"/>
          <w:sz w:val="24"/>
        </w:rPr>
        <w:t>the</w:t>
      </w:r>
      <w:r>
        <w:rPr>
          <w:i/>
          <w:color w:val="231F20"/>
          <w:spacing w:val="-15"/>
          <w:sz w:val="24"/>
        </w:rPr>
        <w:t> </w:t>
      </w:r>
      <w:r>
        <w:rPr>
          <w:i/>
          <w:color w:val="231F20"/>
          <w:sz w:val="24"/>
        </w:rPr>
        <w:t>Request</w:t>
      </w:r>
      <w:r>
        <w:rPr>
          <w:i/>
          <w:color w:val="231F20"/>
          <w:spacing w:val="-15"/>
          <w:sz w:val="24"/>
        </w:rPr>
        <w:t> </w:t>
      </w:r>
      <w:r>
        <w:rPr>
          <w:i/>
          <w:color w:val="231F20"/>
          <w:sz w:val="24"/>
        </w:rPr>
        <w:t>for</w:t>
      </w:r>
      <w:r>
        <w:rPr>
          <w:i/>
          <w:color w:val="231F20"/>
          <w:spacing w:val="-15"/>
          <w:sz w:val="24"/>
        </w:rPr>
        <w:t> </w:t>
      </w:r>
      <w:r>
        <w:rPr>
          <w:i/>
          <w:color w:val="231F20"/>
          <w:sz w:val="24"/>
        </w:rPr>
        <w:t>Information</w:t>
      </w:r>
      <w:r>
        <w:rPr>
          <w:i/>
          <w:color w:val="231F20"/>
          <w:spacing w:val="-15"/>
          <w:sz w:val="24"/>
        </w:rPr>
        <w:t> </w:t>
      </w:r>
      <w:r>
        <w:rPr>
          <w:i/>
          <w:color w:val="231F20"/>
          <w:sz w:val="24"/>
        </w:rPr>
        <w:t>that</w:t>
      </w:r>
      <w:r>
        <w:rPr>
          <w:i/>
          <w:color w:val="231F20"/>
          <w:spacing w:val="-15"/>
          <w:sz w:val="24"/>
        </w:rPr>
        <w:t> </w:t>
      </w:r>
      <w:r>
        <w:rPr>
          <w:i/>
          <w:color w:val="231F20"/>
          <w:sz w:val="24"/>
        </w:rPr>
        <w:t>the</w:t>
      </w:r>
      <w:r>
        <w:rPr>
          <w:i/>
          <w:color w:val="231F20"/>
          <w:spacing w:val="-15"/>
          <w:sz w:val="24"/>
        </w:rPr>
        <w:t> </w:t>
      </w:r>
      <w:r>
        <w:rPr>
          <w:i/>
          <w:color w:val="231F20"/>
          <w:sz w:val="24"/>
        </w:rPr>
        <w:t>Holder</w:t>
      </w:r>
      <w:r>
        <w:rPr>
          <w:i/>
          <w:color w:val="231F20"/>
          <w:spacing w:val="-15"/>
          <w:sz w:val="24"/>
        </w:rPr>
        <w:t> </w:t>
      </w:r>
      <w:r>
        <w:rPr>
          <w:i/>
          <w:color w:val="231F20"/>
          <w:sz w:val="24"/>
        </w:rPr>
        <w:t>of the</w:t>
      </w:r>
      <w:r>
        <w:rPr>
          <w:i/>
          <w:color w:val="231F20"/>
          <w:spacing w:val="-14"/>
          <w:sz w:val="24"/>
        </w:rPr>
        <w:t> </w:t>
      </w:r>
      <w:r>
        <w:rPr>
          <w:i/>
          <w:color w:val="231F20"/>
          <w:sz w:val="24"/>
        </w:rPr>
        <w:t>Information</w:t>
      </w:r>
      <w:r>
        <w:rPr>
          <w:i/>
          <w:color w:val="231F20"/>
          <w:spacing w:val="-14"/>
          <w:sz w:val="24"/>
        </w:rPr>
        <w:t> </w:t>
      </w:r>
      <w:r>
        <w:rPr>
          <w:i/>
          <w:color w:val="231F20"/>
          <w:sz w:val="24"/>
        </w:rPr>
        <w:t>may</w:t>
      </w:r>
      <w:r>
        <w:rPr>
          <w:i/>
          <w:color w:val="231F20"/>
          <w:spacing w:val="-14"/>
          <w:sz w:val="24"/>
        </w:rPr>
        <w:t> </w:t>
      </w:r>
      <w:r>
        <w:rPr>
          <w:i/>
          <w:color w:val="231F20"/>
          <w:sz w:val="24"/>
        </w:rPr>
        <w:t>legitimately</w:t>
      </w:r>
      <w:r>
        <w:rPr>
          <w:i/>
          <w:color w:val="231F20"/>
          <w:spacing w:val="-14"/>
          <w:sz w:val="24"/>
        </w:rPr>
        <w:t> </w:t>
      </w:r>
      <w:r>
        <w:rPr>
          <w:i/>
          <w:color w:val="231F20"/>
          <w:sz w:val="24"/>
        </w:rPr>
        <w:t>require;</w:t>
      </w:r>
      <w:r>
        <w:rPr>
          <w:i/>
          <w:color w:val="231F20"/>
          <w:spacing w:val="-14"/>
          <w:sz w:val="24"/>
        </w:rPr>
        <w:t> </w:t>
      </w:r>
      <w:r>
        <w:rPr>
          <w:i/>
          <w:color w:val="231F20"/>
          <w:sz w:val="24"/>
        </w:rPr>
        <w:t>2.5.</w:t>
      </w:r>
      <w:r>
        <w:rPr>
          <w:i/>
          <w:color w:val="231F20"/>
          <w:spacing w:val="-14"/>
          <w:sz w:val="24"/>
        </w:rPr>
        <w:t> </w:t>
      </w:r>
      <w:r>
        <w:rPr>
          <w:i/>
          <w:color w:val="231F20"/>
          <w:sz w:val="24"/>
        </w:rPr>
        <w:t>Invalidity</w:t>
      </w:r>
      <w:r>
        <w:rPr>
          <w:i/>
          <w:color w:val="231F20"/>
          <w:spacing w:val="-14"/>
          <w:sz w:val="24"/>
        </w:rPr>
        <w:t> </w:t>
      </w:r>
      <w:r>
        <w:rPr>
          <w:i/>
          <w:color w:val="231F20"/>
          <w:sz w:val="24"/>
        </w:rPr>
        <w:t>of</w:t>
      </w:r>
      <w:r>
        <w:rPr>
          <w:i/>
          <w:color w:val="231F20"/>
          <w:spacing w:val="-14"/>
          <w:sz w:val="24"/>
        </w:rPr>
        <w:t> </w:t>
      </w:r>
      <w:r>
        <w:rPr>
          <w:i/>
          <w:color w:val="231F20"/>
          <w:sz w:val="24"/>
        </w:rPr>
        <w:t>the</w:t>
      </w:r>
      <w:r>
        <w:rPr>
          <w:i/>
          <w:color w:val="231F20"/>
          <w:spacing w:val="-14"/>
          <w:sz w:val="24"/>
        </w:rPr>
        <w:t> </w:t>
      </w:r>
      <w:r>
        <w:rPr>
          <w:i/>
          <w:color w:val="231F20"/>
          <w:sz w:val="24"/>
        </w:rPr>
        <w:t>DAC</w:t>
      </w:r>
      <w:r>
        <w:rPr>
          <w:i/>
          <w:color w:val="231F20"/>
          <w:spacing w:val="-14"/>
          <w:sz w:val="24"/>
        </w:rPr>
        <w:t> </w:t>
      </w:r>
      <w:r>
        <w:rPr>
          <w:i/>
          <w:color w:val="231F20"/>
          <w:sz w:val="24"/>
        </w:rPr>
        <w:t>Directive Provision</w:t>
      </w:r>
      <w:r>
        <w:rPr>
          <w:i/>
          <w:color w:val="231F20"/>
          <w:spacing w:val="-9"/>
          <w:sz w:val="24"/>
        </w:rPr>
        <w:t> </w:t>
      </w:r>
      <w:r>
        <w:rPr>
          <w:i/>
          <w:color w:val="231F20"/>
          <w:sz w:val="24"/>
        </w:rPr>
        <w:t>requiring</w:t>
      </w:r>
      <w:r>
        <w:rPr>
          <w:i/>
          <w:color w:val="231F20"/>
          <w:spacing w:val="-9"/>
          <w:sz w:val="24"/>
        </w:rPr>
        <w:t> </w:t>
      </w:r>
      <w:r>
        <w:rPr>
          <w:i/>
          <w:color w:val="231F20"/>
          <w:sz w:val="24"/>
        </w:rPr>
        <w:t>the</w:t>
      </w:r>
      <w:r>
        <w:rPr>
          <w:i/>
          <w:color w:val="231F20"/>
          <w:spacing w:val="-9"/>
          <w:sz w:val="24"/>
        </w:rPr>
        <w:t> </w:t>
      </w:r>
      <w:r>
        <w:rPr>
          <w:i/>
          <w:color w:val="231F20"/>
          <w:sz w:val="24"/>
        </w:rPr>
        <w:t>Intermediary</w:t>
      </w:r>
      <w:r>
        <w:rPr>
          <w:i/>
          <w:color w:val="231F20"/>
          <w:spacing w:val="-9"/>
          <w:sz w:val="24"/>
        </w:rPr>
        <w:t> </w:t>
      </w:r>
      <w:r>
        <w:rPr>
          <w:i/>
          <w:color w:val="231F20"/>
          <w:sz w:val="24"/>
        </w:rPr>
        <w:t>Lawyer</w:t>
      </w:r>
      <w:r>
        <w:rPr>
          <w:i/>
          <w:color w:val="231F20"/>
          <w:spacing w:val="-9"/>
          <w:sz w:val="24"/>
        </w:rPr>
        <w:t> </w:t>
      </w:r>
      <w:r>
        <w:rPr>
          <w:i/>
          <w:color w:val="231F20"/>
          <w:sz w:val="24"/>
        </w:rPr>
        <w:t>to</w:t>
      </w:r>
      <w:r>
        <w:rPr>
          <w:i/>
          <w:color w:val="231F20"/>
          <w:spacing w:val="-9"/>
          <w:sz w:val="24"/>
        </w:rPr>
        <w:t> </w:t>
      </w:r>
      <w:r>
        <w:rPr>
          <w:i/>
          <w:color w:val="231F20"/>
          <w:sz w:val="24"/>
        </w:rPr>
        <w:t>notify</w:t>
      </w:r>
      <w:r>
        <w:rPr>
          <w:i/>
          <w:color w:val="231F20"/>
          <w:spacing w:val="-9"/>
          <w:sz w:val="24"/>
        </w:rPr>
        <w:t> </w:t>
      </w:r>
      <w:r>
        <w:rPr>
          <w:i/>
          <w:color w:val="231F20"/>
          <w:sz w:val="24"/>
        </w:rPr>
        <w:t>another</w:t>
      </w:r>
      <w:r>
        <w:rPr>
          <w:i/>
          <w:color w:val="231F20"/>
          <w:spacing w:val="-9"/>
          <w:sz w:val="24"/>
        </w:rPr>
        <w:t> </w:t>
      </w:r>
      <w:r>
        <w:rPr>
          <w:i/>
          <w:color w:val="231F20"/>
          <w:sz w:val="24"/>
        </w:rPr>
        <w:t>Intermediary</w:t>
      </w:r>
      <w:r>
        <w:rPr>
          <w:i/>
          <w:color w:val="231F20"/>
          <w:spacing w:val="-9"/>
          <w:sz w:val="24"/>
        </w:rPr>
        <w:t> </w:t>
      </w:r>
      <w:r>
        <w:rPr>
          <w:i/>
          <w:color w:val="231F20"/>
          <w:sz w:val="24"/>
        </w:rPr>
        <w:t>of his</w:t>
      </w:r>
      <w:r>
        <w:rPr>
          <w:i/>
          <w:color w:val="231F20"/>
          <w:spacing w:val="-14"/>
          <w:sz w:val="24"/>
        </w:rPr>
        <w:t> </w:t>
      </w:r>
      <w:r>
        <w:rPr>
          <w:i/>
          <w:color w:val="231F20"/>
          <w:sz w:val="24"/>
        </w:rPr>
        <w:t>Obligation</w:t>
      </w:r>
      <w:r>
        <w:rPr>
          <w:i/>
          <w:color w:val="231F20"/>
          <w:spacing w:val="-14"/>
          <w:sz w:val="24"/>
        </w:rPr>
        <w:t> </w:t>
      </w:r>
      <w:r>
        <w:rPr>
          <w:i/>
          <w:color w:val="231F20"/>
          <w:sz w:val="24"/>
        </w:rPr>
        <w:t>to</w:t>
      </w:r>
      <w:r>
        <w:rPr>
          <w:i/>
          <w:color w:val="231F20"/>
          <w:spacing w:val="-14"/>
          <w:sz w:val="24"/>
        </w:rPr>
        <w:t> </w:t>
      </w:r>
      <w:r>
        <w:rPr>
          <w:i/>
          <w:color w:val="231F20"/>
          <w:sz w:val="24"/>
        </w:rPr>
        <w:t>communicate</w:t>
      </w:r>
      <w:r>
        <w:rPr>
          <w:i/>
          <w:color w:val="231F20"/>
          <w:spacing w:val="-14"/>
          <w:sz w:val="24"/>
        </w:rPr>
        <w:t> </w:t>
      </w:r>
      <w:r>
        <w:rPr>
          <w:i/>
          <w:color w:val="231F20"/>
          <w:sz w:val="24"/>
        </w:rPr>
        <w:t>the</w:t>
      </w:r>
      <w:r>
        <w:rPr>
          <w:i/>
          <w:color w:val="231F20"/>
          <w:spacing w:val="-14"/>
          <w:sz w:val="24"/>
        </w:rPr>
        <w:t> </w:t>
      </w:r>
      <w:r>
        <w:rPr>
          <w:i/>
          <w:color w:val="231F20"/>
          <w:sz w:val="24"/>
        </w:rPr>
        <w:t>«Cross-Border</w:t>
      </w:r>
      <w:r>
        <w:rPr>
          <w:i/>
          <w:color w:val="231F20"/>
          <w:spacing w:val="-14"/>
          <w:sz w:val="24"/>
        </w:rPr>
        <w:t> </w:t>
      </w:r>
      <w:r>
        <w:rPr>
          <w:i/>
          <w:color w:val="231F20"/>
          <w:sz w:val="24"/>
        </w:rPr>
        <w:t>Arrangement»</w:t>
      </w:r>
      <w:r>
        <w:rPr>
          <w:i/>
          <w:color w:val="231F20"/>
          <w:spacing w:val="-14"/>
          <w:sz w:val="24"/>
        </w:rPr>
        <w:t> </w:t>
      </w:r>
      <w:r>
        <w:rPr>
          <w:i/>
          <w:color w:val="231F20"/>
          <w:sz w:val="24"/>
        </w:rPr>
        <w:t>recommended to his Client; 2.6. The Derogation from the Obligation to notify the reporting Obligation</w:t>
      </w:r>
      <w:r>
        <w:rPr>
          <w:i/>
          <w:color w:val="231F20"/>
          <w:spacing w:val="-13"/>
          <w:sz w:val="24"/>
        </w:rPr>
        <w:t> </w:t>
      </w:r>
      <w:r>
        <w:rPr>
          <w:i/>
          <w:color w:val="231F20"/>
          <w:sz w:val="24"/>
        </w:rPr>
        <w:t>to</w:t>
      </w:r>
      <w:r>
        <w:rPr>
          <w:i/>
          <w:color w:val="231F20"/>
          <w:spacing w:val="-13"/>
          <w:sz w:val="24"/>
        </w:rPr>
        <w:t> </w:t>
      </w:r>
      <w:r>
        <w:rPr>
          <w:i/>
          <w:color w:val="231F20"/>
          <w:sz w:val="24"/>
        </w:rPr>
        <w:t>another</w:t>
      </w:r>
      <w:r>
        <w:rPr>
          <w:i/>
          <w:color w:val="231F20"/>
          <w:spacing w:val="-13"/>
          <w:sz w:val="24"/>
        </w:rPr>
        <w:t> </w:t>
      </w:r>
      <w:r>
        <w:rPr>
          <w:i/>
          <w:color w:val="231F20"/>
          <w:sz w:val="24"/>
        </w:rPr>
        <w:t>Intermediary</w:t>
      </w:r>
      <w:r>
        <w:rPr>
          <w:i/>
          <w:color w:val="231F20"/>
          <w:spacing w:val="-13"/>
          <w:sz w:val="24"/>
        </w:rPr>
        <w:t> </w:t>
      </w:r>
      <w:r>
        <w:rPr>
          <w:i/>
          <w:color w:val="231F20"/>
          <w:sz w:val="24"/>
        </w:rPr>
        <w:t>does</w:t>
      </w:r>
      <w:r>
        <w:rPr>
          <w:i/>
          <w:color w:val="231F20"/>
          <w:spacing w:val="-13"/>
          <w:sz w:val="24"/>
        </w:rPr>
        <w:t> </w:t>
      </w:r>
      <w:r>
        <w:rPr>
          <w:i/>
          <w:color w:val="231F20"/>
          <w:sz w:val="24"/>
        </w:rPr>
        <w:t>not</w:t>
      </w:r>
      <w:r>
        <w:rPr>
          <w:i/>
          <w:color w:val="231F20"/>
          <w:spacing w:val="-13"/>
          <w:sz w:val="24"/>
        </w:rPr>
        <w:t> </w:t>
      </w:r>
      <w:r>
        <w:rPr>
          <w:i/>
          <w:color w:val="231F20"/>
          <w:sz w:val="24"/>
        </w:rPr>
        <w:t>apply</w:t>
      </w:r>
      <w:r>
        <w:rPr>
          <w:i/>
          <w:color w:val="231F20"/>
          <w:spacing w:val="-13"/>
          <w:sz w:val="24"/>
        </w:rPr>
        <w:t> </w:t>
      </w:r>
      <w:r>
        <w:rPr>
          <w:i/>
          <w:color w:val="231F20"/>
          <w:sz w:val="24"/>
        </w:rPr>
        <w:t>to</w:t>
      </w:r>
      <w:r>
        <w:rPr>
          <w:i/>
          <w:color w:val="231F20"/>
          <w:spacing w:val="-13"/>
          <w:sz w:val="24"/>
        </w:rPr>
        <w:t> </w:t>
      </w:r>
      <w:r>
        <w:rPr>
          <w:i/>
          <w:color w:val="231F20"/>
          <w:sz w:val="24"/>
        </w:rPr>
        <w:t>Intermediaries</w:t>
      </w:r>
      <w:r>
        <w:rPr>
          <w:i/>
          <w:color w:val="231F20"/>
          <w:spacing w:val="-13"/>
          <w:sz w:val="24"/>
        </w:rPr>
        <w:t> </w:t>
      </w:r>
      <w:r>
        <w:rPr>
          <w:i/>
          <w:color w:val="231F20"/>
          <w:sz w:val="24"/>
        </w:rPr>
        <w:t>other</w:t>
      </w:r>
      <w:r>
        <w:rPr>
          <w:i/>
          <w:color w:val="231F20"/>
          <w:spacing w:val="-13"/>
          <w:sz w:val="24"/>
        </w:rPr>
        <w:t> </w:t>
      </w:r>
      <w:r>
        <w:rPr>
          <w:i/>
          <w:color w:val="231F20"/>
          <w:sz w:val="24"/>
        </w:rPr>
        <w:t>than Lawyers;</w:t>
      </w:r>
      <w:r>
        <w:rPr>
          <w:i/>
          <w:color w:val="231F20"/>
          <w:spacing w:val="3"/>
          <w:sz w:val="24"/>
        </w:rPr>
        <w:t> </w:t>
      </w:r>
      <w:r>
        <w:rPr>
          <w:i/>
          <w:color w:val="231F20"/>
          <w:sz w:val="24"/>
        </w:rPr>
        <w:t>2.7.</w:t>
      </w:r>
      <w:r>
        <w:rPr>
          <w:i/>
          <w:color w:val="231F20"/>
          <w:spacing w:val="4"/>
          <w:sz w:val="24"/>
        </w:rPr>
        <w:t> </w:t>
      </w:r>
      <w:r>
        <w:rPr>
          <w:i/>
          <w:color w:val="231F20"/>
          <w:sz w:val="24"/>
        </w:rPr>
        <w:t>The</w:t>
      </w:r>
      <w:r>
        <w:rPr>
          <w:i/>
          <w:color w:val="231F20"/>
          <w:spacing w:val="3"/>
          <w:sz w:val="24"/>
        </w:rPr>
        <w:t> </w:t>
      </w:r>
      <w:r>
        <w:rPr>
          <w:i/>
          <w:color w:val="231F20"/>
          <w:sz w:val="24"/>
        </w:rPr>
        <w:t>Obligation</w:t>
      </w:r>
      <w:r>
        <w:rPr>
          <w:i/>
          <w:color w:val="231F20"/>
          <w:spacing w:val="4"/>
          <w:sz w:val="24"/>
        </w:rPr>
        <w:t> </w:t>
      </w:r>
      <w:r>
        <w:rPr>
          <w:i/>
          <w:color w:val="231F20"/>
          <w:sz w:val="24"/>
        </w:rPr>
        <w:t>to</w:t>
      </w:r>
      <w:r>
        <w:rPr>
          <w:i/>
          <w:color w:val="231F20"/>
          <w:spacing w:val="4"/>
          <w:sz w:val="24"/>
        </w:rPr>
        <w:t> </w:t>
      </w:r>
      <w:r>
        <w:rPr>
          <w:i/>
          <w:color w:val="231F20"/>
          <w:sz w:val="24"/>
        </w:rPr>
        <w:t>communicate</w:t>
      </w:r>
      <w:r>
        <w:rPr>
          <w:i/>
          <w:color w:val="231F20"/>
          <w:spacing w:val="3"/>
          <w:sz w:val="24"/>
        </w:rPr>
        <w:t> </w:t>
      </w:r>
      <w:r>
        <w:rPr>
          <w:i/>
          <w:color w:val="231F20"/>
          <w:sz w:val="24"/>
        </w:rPr>
        <w:t>to</w:t>
      </w:r>
      <w:r>
        <w:rPr>
          <w:i/>
          <w:color w:val="231F20"/>
          <w:spacing w:val="-6"/>
          <w:sz w:val="24"/>
        </w:rPr>
        <w:t> </w:t>
      </w:r>
      <w:r>
        <w:rPr>
          <w:i/>
          <w:color w:val="231F20"/>
          <w:sz w:val="24"/>
        </w:rPr>
        <w:t>Tax</w:t>
      </w:r>
      <w:r>
        <w:rPr>
          <w:i/>
          <w:color w:val="231F20"/>
          <w:spacing w:val="4"/>
          <w:sz w:val="24"/>
        </w:rPr>
        <w:t> </w:t>
      </w:r>
      <w:r>
        <w:rPr>
          <w:i/>
          <w:color w:val="231F20"/>
          <w:sz w:val="24"/>
        </w:rPr>
        <w:t>Administrations</w:t>
      </w:r>
      <w:r>
        <w:rPr>
          <w:i/>
          <w:color w:val="231F20"/>
          <w:spacing w:val="4"/>
          <w:sz w:val="24"/>
        </w:rPr>
        <w:t> </w:t>
      </w:r>
      <w:r>
        <w:rPr>
          <w:i/>
          <w:color w:val="231F20"/>
          <w:spacing w:val="-2"/>
          <w:sz w:val="24"/>
        </w:rPr>
        <w:t>«cross-</w:t>
      </w:r>
    </w:p>
    <w:p>
      <w:pPr>
        <w:spacing w:after="0" w:line="230" w:lineRule="auto"/>
        <w:jc w:val="both"/>
        <w:rPr>
          <w:sz w:val="24"/>
        </w:rPr>
        <w:sectPr>
          <w:footerReference w:type="default" r:id="rId6"/>
          <w:footerReference w:type="even" r:id="rId7"/>
          <w:pgSz w:w="9640" w:h="13610"/>
          <w:pgMar w:header="0" w:footer="625" w:top="1540" w:bottom="820" w:left="1260" w:right="1240"/>
          <w:pgNumType w:start="139"/>
        </w:sectPr>
      </w:pPr>
    </w:p>
    <w:p>
      <w:pPr>
        <w:spacing w:line="230" w:lineRule="auto" w:before="113"/>
        <w:ind w:left="100" w:right="174" w:firstLine="0"/>
        <w:jc w:val="both"/>
        <w:rPr>
          <w:i/>
          <w:sz w:val="24"/>
        </w:rPr>
      </w:pPr>
      <w:r>
        <w:rPr>
          <w:i/>
          <w:color w:val="231F20"/>
          <w:sz w:val="24"/>
        </w:rPr>
        <w:t>border</w:t>
      </w:r>
      <w:r>
        <w:rPr>
          <w:i/>
          <w:color w:val="231F20"/>
          <w:spacing w:val="-10"/>
          <w:sz w:val="24"/>
        </w:rPr>
        <w:t> </w:t>
      </w:r>
      <w:r>
        <w:rPr>
          <w:i/>
          <w:color w:val="231F20"/>
          <w:sz w:val="24"/>
        </w:rPr>
        <w:t>Arrangements»</w:t>
      </w:r>
      <w:r>
        <w:rPr>
          <w:i/>
          <w:color w:val="231F20"/>
          <w:spacing w:val="-7"/>
          <w:sz w:val="24"/>
        </w:rPr>
        <w:t> </w:t>
      </w:r>
      <w:r>
        <w:rPr>
          <w:i/>
          <w:color w:val="231F20"/>
          <w:sz w:val="24"/>
        </w:rPr>
        <w:t>of</w:t>
      </w:r>
      <w:r>
        <w:rPr>
          <w:i/>
          <w:color w:val="231F20"/>
          <w:spacing w:val="-7"/>
          <w:sz w:val="24"/>
        </w:rPr>
        <w:t> </w:t>
      </w:r>
      <w:r>
        <w:rPr>
          <w:i/>
          <w:color w:val="231F20"/>
          <w:sz w:val="24"/>
        </w:rPr>
        <w:t>aggressive</w:t>
      </w:r>
      <w:r>
        <w:rPr>
          <w:i/>
          <w:color w:val="231F20"/>
          <w:spacing w:val="-15"/>
          <w:sz w:val="24"/>
        </w:rPr>
        <w:t> </w:t>
      </w:r>
      <w:r>
        <w:rPr>
          <w:i/>
          <w:color w:val="231F20"/>
          <w:sz w:val="24"/>
        </w:rPr>
        <w:t>Tax</w:t>
      </w:r>
      <w:r>
        <w:rPr>
          <w:i/>
          <w:color w:val="231F20"/>
          <w:spacing w:val="-7"/>
          <w:sz w:val="24"/>
        </w:rPr>
        <w:t> </w:t>
      </w:r>
      <w:r>
        <w:rPr>
          <w:i/>
          <w:color w:val="231F20"/>
          <w:sz w:val="24"/>
        </w:rPr>
        <w:t>Planning</w:t>
      </w:r>
      <w:r>
        <w:rPr>
          <w:i/>
          <w:color w:val="231F20"/>
          <w:spacing w:val="-7"/>
          <w:sz w:val="24"/>
        </w:rPr>
        <w:t> </w:t>
      </w:r>
      <w:r>
        <w:rPr>
          <w:i/>
          <w:color w:val="231F20"/>
          <w:sz w:val="24"/>
        </w:rPr>
        <w:t>does</w:t>
      </w:r>
      <w:r>
        <w:rPr>
          <w:i/>
          <w:color w:val="231F20"/>
          <w:spacing w:val="-7"/>
          <w:sz w:val="24"/>
        </w:rPr>
        <w:t> </w:t>
      </w:r>
      <w:r>
        <w:rPr>
          <w:i/>
          <w:color w:val="231F20"/>
          <w:sz w:val="24"/>
        </w:rPr>
        <w:t>not</w:t>
      </w:r>
      <w:r>
        <w:rPr>
          <w:i/>
          <w:color w:val="231F20"/>
          <w:spacing w:val="-7"/>
          <w:sz w:val="24"/>
        </w:rPr>
        <w:t> </w:t>
      </w:r>
      <w:r>
        <w:rPr>
          <w:i/>
          <w:color w:val="231F20"/>
          <w:sz w:val="24"/>
        </w:rPr>
        <w:t>infringe</w:t>
      </w:r>
      <w:r>
        <w:rPr>
          <w:i/>
          <w:color w:val="231F20"/>
          <w:spacing w:val="-7"/>
          <w:sz w:val="24"/>
        </w:rPr>
        <w:t> </w:t>
      </w:r>
      <w:r>
        <w:rPr>
          <w:i/>
          <w:color w:val="231F20"/>
          <w:sz w:val="24"/>
        </w:rPr>
        <w:t>Article</w:t>
      </w:r>
      <w:r>
        <w:rPr>
          <w:i/>
          <w:color w:val="231F20"/>
          <w:spacing w:val="-7"/>
          <w:sz w:val="24"/>
        </w:rPr>
        <w:t> </w:t>
      </w:r>
      <w:r>
        <w:rPr>
          <w:i/>
          <w:color w:val="231F20"/>
          <w:sz w:val="24"/>
        </w:rPr>
        <w:t>7</w:t>
      </w:r>
      <w:r>
        <w:rPr>
          <w:i/>
          <w:color w:val="231F20"/>
          <w:spacing w:val="-7"/>
          <w:sz w:val="24"/>
        </w:rPr>
        <w:t> </w:t>
      </w:r>
      <w:r>
        <w:rPr>
          <w:i/>
          <w:color w:val="231F20"/>
          <w:sz w:val="24"/>
        </w:rPr>
        <w:t>of</w:t>
      </w:r>
      <w:r>
        <w:rPr>
          <w:i/>
          <w:color w:val="231F20"/>
          <w:sz w:val="24"/>
        </w:rPr>
        <w:t> the Charter; 2.8. Incompatibility with art.7 of the CFR of a Luxemburg Law Provision</w:t>
      </w:r>
      <w:r>
        <w:rPr>
          <w:i/>
          <w:color w:val="231F20"/>
          <w:spacing w:val="-8"/>
          <w:sz w:val="24"/>
        </w:rPr>
        <w:t> </w:t>
      </w:r>
      <w:r>
        <w:rPr>
          <w:i/>
          <w:color w:val="231F20"/>
          <w:sz w:val="24"/>
        </w:rPr>
        <w:t>that</w:t>
      </w:r>
      <w:r>
        <w:rPr>
          <w:i/>
          <w:color w:val="231F20"/>
          <w:spacing w:val="-8"/>
          <w:sz w:val="24"/>
        </w:rPr>
        <w:t> </w:t>
      </w:r>
      <w:r>
        <w:rPr>
          <w:i/>
          <w:color w:val="231F20"/>
          <w:sz w:val="24"/>
        </w:rPr>
        <w:t>excluded</w:t>
      </w:r>
      <w:r>
        <w:rPr>
          <w:i/>
          <w:color w:val="231F20"/>
          <w:spacing w:val="-8"/>
          <w:sz w:val="24"/>
        </w:rPr>
        <w:t> </w:t>
      </w:r>
      <w:r>
        <w:rPr>
          <w:i/>
          <w:color w:val="231F20"/>
          <w:sz w:val="24"/>
        </w:rPr>
        <w:t>from</w:t>
      </w:r>
      <w:r>
        <w:rPr>
          <w:i/>
          <w:color w:val="231F20"/>
          <w:spacing w:val="-8"/>
          <w:sz w:val="24"/>
        </w:rPr>
        <w:t> </w:t>
      </w:r>
      <w:r>
        <w:rPr>
          <w:i/>
          <w:color w:val="231F20"/>
          <w:sz w:val="24"/>
        </w:rPr>
        <w:t>professional</w:t>
      </w:r>
      <w:r>
        <w:rPr>
          <w:i/>
          <w:color w:val="231F20"/>
          <w:spacing w:val="-8"/>
          <w:sz w:val="24"/>
        </w:rPr>
        <w:t> </w:t>
      </w:r>
      <w:r>
        <w:rPr>
          <w:i/>
          <w:color w:val="231F20"/>
          <w:sz w:val="24"/>
        </w:rPr>
        <w:t>Secrecy</w:t>
      </w:r>
      <w:r>
        <w:rPr>
          <w:i/>
          <w:color w:val="231F20"/>
          <w:spacing w:val="-8"/>
          <w:sz w:val="24"/>
        </w:rPr>
        <w:t> </w:t>
      </w:r>
      <w:r>
        <w:rPr>
          <w:i/>
          <w:color w:val="231F20"/>
          <w:sz w:val="24"/>
        </w:rPr>
        <w:t>Protection</w:t>
      </w:r>
      <w:r>
        <w:rPr>
          <w:i/>
          <w:color w:val="231F20"/>
          <w:spacing w:val="-8"/>
          <w:sz w:val="24"/>
        </w:rPr>
        <w:t> </w:t>
      </w:r>
      <w:r>
        <w:rPr>
          <w:i/>
          <w:color w:val="231F20"/>
          <w:sz w:val="24"/>
        </w:rPr>
        <w:t>the</w:t>
      </w:r>
      <w:r>
        <w:rPr>
          <w:i/>
          <w:color w:val="231F20"/>
          <w:spacing w:val="-8"/>
          <w:sz w:val="24"/>
        </w:rPr>
        <w:t> </w:t>
      </w:r>
      <w:r>
        <w:rPr>
          <w:i/>
          <w:color w:val="231F20"/>
          <w:sz w:val="24"/>
        </w:rPr>
        <w:t>legal</w:t>
      </w:r>
      <w:r>
        <w:rPr>
          <w:i/>
          <w:color w:val="231F20"/>
          <w:spacing w:val="-8"/>
          <w:sz w:val="24"/>
        </w:rPr>
        <w:t> </w:t>
      </w:r>
      <w:r>
        <w:rPr>
          <w:i/>
          <w:color w:val="231F20"/>
          <w:sz w:val="24"/>
        </w:rPr>
        <w:t>Opinions </w:t>
      </w:r>
      <w:r>
        <w:rPr>
          <w:i/>
          <w:color w:val="231F20"/>
          <w:spacing w:val="-2"/>
          <w:sz w:val="24"/>
        </w:rPr>
        <w:t>provided</w:t>
      </w:r>
      <w:r>
        <w:rPr>
          <w:i/>
          <w:color w:val="231F20"/>
          <w:spacing w:val="-13"/>
          <w:sz w:val="24"/>
        </w:rPr>
        <w:t> </w:t>
      </w:r>
      <w:r>
        <w:rPr>
          <w:i/>
          <w:color w:val="231F20"/>
          <w:spacing w:val="-2"/>
          <w:sz w:val="24"/>
        </w:rPr>
        <w:t>by</w:t>
      </w:r>
      <w:r>
        <w:rPr>
          <w:i/>
          <w:color w:val="231F20"/>
          <w:spacing w:val="-13"/>
          <w:sz w:val="24"/>
        </w:rPr>
        <w:t> </w:t>
      </w:r>
      <w:r>
        <w:rPr>
          <w:i/>
          <w:color w:val="231F20"/>
          <w:spacing w:val="-2"/>
          <w:sz w:val="24"/>
        </w:rPr>
        <w:t>Lawyers</w:t>
      </w:r>
      <w:r>
        <w:rPr>
          <w:i/>
          <w:color w:val="231F20"/>
          <w:spacing w:val="-13"/>
          <w:sz w:val="24"/>
        </w:rPr>
        <w:t> </w:t>
      </w:r>
      <w:r>
        <w:rPr>
          <w:i/>
          <w:color w:val="231F20"/>
          <w:spacing w:val="-2"/>
          <w:sz w:val="24"/>
        </w:rPr>
        <w:t>in</w:t>
      </w:r>
      <w:r>
        <w:rPr>
          <w:i/>
          <w:color w:val="231F20"/>
          <w:spacing w:val="-13"/>
          <w:sz w:val="24"/>
        </w:rPr>
        <w:t> </w:t>
      </w:r>
      <w:r>
        <w:rPr>
          <w:i/>
          <w:color w:val="231F20"/>
          <w:spacing w:val="-2"/>
          <w:sz w:val="24"/>
        </w:rPr>
        <w:t>the</w:t>
      </w:r>
      <w:r>
        <w:rPr>
          <w:i/>
          <w:color w:val="231F20"/>
          <w:spacing w:val="-13"/>
          <w:sz w:val="24"/>
        </w:rPr>
        <w:t> </w:t>
      </w:r>
      <w:r>
        <w:rPr>
          <w:i/>
          <w:color w:val="231F20"/>
          <w:spacing w:val="-2"/>
          <w:sz w:val="24"/>
        </w:rPr>
        <w:t>Area</w:t>
      </w:r>
      <w:r>
        <w:rPr>
          <w:i/>
          <w:color w:val="231F20"/>
          <w:spacing w:val="-12"/>
          <w:sz w:val="24"/>
        </w:rPr>
        <w:t> </w:t>
      </w:r>
      <w:r>
        <w:rPr>
          <w:i/>
          <w:color w:val="231F20"/>
          <w:spacing w:val="-2"/>
          <w:sz w:val="24"/>
        </w:rPr>
        <w:t>of</w:t>
      </w:r>
      <w:r>
        <w:rPr>
          <w:i/>
          <w:color w:val="231F20"/>
          <w:spacing w:val="-13"/>
          <w:sz w:val="24"/>
        </w:rPr>
        <w:t> </w:t>
      </w:r>
      <w:r>
        <w:rPr>
          <w:i/>
          <w:color w:val="231F20"/>
          <w:spacing w:val="-2"/>
          <w:sz w:val="24"/>
        </w:rPr>
        <w:t>Tax</w:t>
      </w:r>
      <w:r>
        <w:rPr>
          <w:i/>
          <w:color w:val="231F20"/>
          <w:spacing w:val="-12"/>
          <w:sz w:val="24"/>
        </w:rPr>
        <w:t> </w:t>
      </w:r>
      <w:r>
        <w:rPr>
          <w:i/>
          <w:color w:val="231F20"/>
          <w:spacing w:val="-2"/>
          <w:sz w:val="24"/>
        </w:rPr>
        <w:t>Law;</w:t>
      </w:r>
      <w:r>
        <w:rPr>
          <w:i/>
          <w:color w:val="231F20"/>
          <w:spacing w:val="-12"/>
          <w:sz w:val="24"/>
        </w:rPr>
        <w:t> </w:t>
      </w:r>
      <w:r>
        <w:rPr>
          <w:i/>
          <w:color w:val="231F20"/>
          <w:spacing w:val="-2"/>
          <w:sz w:val="24"/>
        </w:rPr>
        <w:t>3.</w:t>
      </w:r>
      <w:r>
        <w:rPr>
          <w:i/>
          <w:color w:val="231F20"/>
          <w:spacing w:val="-12"/>
          <w:sz w:val="24"/>
        </w:rPr>
        <w:t> </w:t>
      </w:r>
      <w:r>
        <w:rPr>
          <w:i/>
          <w:color w:val="231F20"/>
          <w:spacing w:val="-2"/>
          <w:sz w:val="24"/>
        </w:rPr>
        <w:t>Judgments</w:t>
      </w:r>
      <w:r>
        <w:rPr>
          <w:i/>
          <w:color w:val="231F20"/>
          <w:spacing w:val="-12"/>
          <w:sz w:val="24"/>
        </w:rPr>
        <w:t> </w:t>
      </w:r>
      <w:r>
        <w:rPr>
          <w:i/>
          <w:color w:val="231F20"/>
          <w:spacing w:val="-2"/>
          <w:sz w:val="24"/>
        </w:rPr>
        <w:t>on</w:t>
      </w:r>
      <w:r>
        <w:rPr>
          <w:i/>
          <w:color w:val="231F20"/>
          <w:spacing w:val="-12"/>
          <w:sz w:val="24"/>
        </w:rPr>
        <w:t> </w:t>
      </w:r>
      <w:r>
        <w:rPr>
          <w:i/>
          <w:color w:val="231F20"/>
          <w:spacing w:val="-2"/>
          <w:sz w:val="24"/>
        </w:rPr>
        <w:t>the</w:t>
      </w:r>
      <w:r>
        <w:rPr>
          <w:i/>
          <w:color w:val="231F20"/>
          <w:spacing w:val="-12"/>
          <w:sz w:val="24"/>
        </w:rPr>
        <w:t> </w:t>
      </w:r>
      <w:r>
        <w:rPr>
          <w:i/>
          <w:color w:val="231F20"/>
          <w:spacing w:val="-2"/>
          <w:sz w:val="24"/>
        </w:rPr>
        <w:t>Interpretation </w:t>
      </w:r>
      <w:r>
        <w:rPr>
          <w:i/>
          <w:color w:val="231F20"/>
          <w:sz w:val="24"/>
        </w:rPr>
        <w:t>of</w:t>
      </w:r>
      <w:r>
        <w:rPr>
          <w:i/>
          <w:color w:val="231F20"/>
          <w:spacing w:val="-12"/>
          <w:sz w:val="24"/>
        </w:rPr>
        <w:t> </w:t>
      </w:r>
      <w:r>
        <w:rPr>
          <w:i/>
          <w:color w:val="231F20"/>
          <w:sz w:val="24"/>
        </w:rPr>
        <w:t>Regulation</w:t>
      </w:r>
      <w:r>
        <w:rPr>
          <w:i/>
          <w:color w:val="231F20"/>
          <w:spacing w:val="-12"/>
          <w:sz w:val="24"/>
        </w:rPr>
        <w:t> </w:t>
      </w:r>
      <w:r>
        <w:rPr>
          <w:i/>
          <w:color w:val="231F20"/>
          <w:sz w:val="24"/>
        </w:rPr>
        <w:t>(EU)</w:t>
      </w:r>
      <w:r>
        <w:rPr>
          <w:i/>
          <w:color w:val="231F20"/>
          <w:spacing w:val="-12"/>
          <w:sz w:val="24"/>
        </w:rPr>
        <w:t> </w:t>
      </w:r>
      <w:r>
        <w:rPr>
          <w:i/>
          <w:color w:val="231F20"/>
          <w:sz w:val="24"/>
        </w:rPr>
        <w:t>No</w:t>
      </w:r>
      <w:r>
        <w:rPr>
          <w:i/>
          <w:color w:val="231F20"/>
          <w:spacing w:val="-12"/>
          <w:sz w:val="24"/>
        </w:rPr>
        <w:t> </w:t>
      </w:r>
      <w:r>
        <w:rPr>
          <w:i/>
          <w:color w:val="231F20"/>
          <w:sz w:val="24"/>
        </w:rPr>
        <w:t>904/2010</w:t>
      </w:r>
      <w:r>
        <w:rPr>
          <w:i/>
          <w:color w:val="231F20"/>
          <w:spacing w:val="-12"/>
          <w:sz w:val="24"/>
        </w:rPr>
        <w:t> </w:t>
      </w:r>
      <w:r>
        <w:rPr>
          <w:i/>
          <w:color w:val="231F20"/>
          <w:sz w:val="24"/>
        </w:rPr>
        <w:t>«on</w:t>
      </w:r>
      <w:r>
        <w:rPr>
          <w:i/>
          <w:color w:val="231F20"/>
          <w:spacing w:val="-12"/>
          <w:sz w:val="24"/>
        </w:rPr>
        <w:t> </w:t>
      </w:r>
      <w:r>
        <w:rPr>
          <w:i/>
          <w:color w:val="231F20"/>
          <w:sz w:val="24"/>
        </w:rPr>
        <w:t>administrative</w:t>
      </w:r>
      <w:r>
        <w:rPr>
          <w:i/>
          <w:color w:val="231F20"/>
          <w:spacing w:val="-12"/>
          <w:sz w:val="24"/>
        </w:rPr>
        <w:t> </w:t>
      </w:r>
      <w:r>
        <w:rPr>
          <w:i/>
          <w:color w:val="231F20"/>
          <w:sz w:val="24"/>
        </w:rPr>
        <w:t>Cooperation</w:t>
      </w:r>
      <w:r>
        <w:rPr>
          <w:i/>
          <w:color w:val="231F20"/>
          <w:spacing w:val="-12"/>
          <w:sz w:val="24"/>
        </w:rPr>
        <w:t> </w:t>
      </w:r>
      <w:r>
        <w:rPr>
          <w:i/>
          <w:color w:val="231F20"/>
          <w:sz w:val="24"/>
        </w:rPr>
        <w:t>in</w:t>
      </w:r>
      <w:r>
        <w:rPr>
          <w:i/>
          <w:color w:val="231F20"/>
          <w:spacing w:val="-12"/>
          <w:sz w:val="24"/>
        </w:rPr>
        <w:t> </w:t>
      </w:r>
      <w:r>
        <w:rPr>
          <w:i/>
          <w:color w:val="231F20"/>
          <w:sz w:val="24"/>
        </w:rPr>
        <w:t>the</w:t>
      </w:r>
      <w:r>
        <w:rPr>
          <w:i/>
          <w:color w:val="231F20"/>
          <w:spacing w:val="-12"/>
          <w:sz w:val="24"/>
        </w:rPr>
        <w:t> </w:t>
      </w:r>
      <w:r>
        <w:rPr>
          <w:i/>
          <w:color w:val="231F20"/>
          <w:sz w:val="24"/>
        </w:rPr>
        <w:t>Field of Value-Added Tax»; 3.1. In which Cases there is an Obligation to request Information</w:t>
      </w:r>
      <w:r>
        <w:rPr>
          <w:i/>
          <w:color w:val="231F20"/>
          <w:spacing w:val="-13"/>
          <w:sz w:val="24"/>
        </w:rPr>
        <w:t> </w:t>
      </w:r>
      <w:r>
        <w:rPr>
          <w:i/>
          <w:color w:val="231F20"/>
          <w:sz w:val="24"/>
        </w:rPr>
        <w:t>from</w:t>
      </w:r>
      <w:r>
        <w:rPr>
          <w:i/>
          <w:color w:val="231F20"/>
          <w:spacing w:val="-13"/>
          <w:sz w:val="24"/>
        </w:rPr>
        <w:t> </w:t>
      </w:r>
      <w:r>
        <w:rPr>
          <w:i/>
          <w:color w:val="231F20"/>
          <w:sz w:val="24"/>
        </w:rPr>
        <w:t>the</w:t>
      </w:r>
      <w:r>
        <w:rPr>
          <w:i/>
          <w:color w:val="231F20"/>
          <w:spacing w:val="-13"/>
          <w:sz w:val="24"/>
        </w:rPr>
        <w:t> </w:t>
      </w:r>
      <w:r>
        <w:rPr>
          <w:i/>
          <w:color w:val="231F20"/>
          <w:sz w:val="24"/>
        </w:rPr>
        <w:t>Administration</w:t>
      </w:r>
      <w:r>
        <w:rPr>
          <w:i/>
          <w:color w:val="231F20"/>
          <w:spacing w:val="-13"/>
          <w:sz w:val="24"/>
        </w:rPr>
        <w:t> </w:t>
      </w:r>
      <w:r>
        <w:rPr>
          <w:i/>
          <w:color w:val="231F20"/>
          <w:sz w:val="24"/>
        </w:rPr>
        <w:t>of</w:t>
      </w:r>
      <w:r>
        <w:rPr>
          <w:i/>
          <w:color w:val="231F20"/>
          <w:spacing w:val="-13"/>
          <w:sz w:val="24"/>
        </w:rPr>
        <w:t> </w:t>
      </w:r>
      <w:r>
        <w:rPr>
          <w:i/>
          <w:color w:val="231F20"/>
          <w:sz w:val="24"/>
        </w:rPr>
        <w:t>another</w:t>
      </w:r>
      <w:r>
        <w:rPr>
          <w:i/>
          <w:color w:val="231F20"/>
          <w:spacing w:val="-13"/>
          <w:sz w:val="24"/>
        </w:rPr>
        <w:t> </w:t>
      </w:r>
      <w:r>
        <w:rPr>
          <w:i/>
          <w:color w:val="231F20"/>
          <w:sz w:val="24"/>
        </w:rPr>
        <w:t>Member</w:t>
      </w:r>
      <w:r>
        <w:rPr>
          <w:i/>
          <w:color w:val="231F20"/>
          <w:spacing w:val="-13"/>
          <w:sz w:val="24"/>
        </w:rPr>
        <w:t> </w:t>
      </w:r>
      <w:r>
        <w:rPr>
          <w:i/>
          <w:color w:val="231F20"/>
          <w:sz w:val="24"/>
        </w:rPr>
        <w:t>State;</w:t>
      </w:r>
      <w:r>
        <w:rPr>
          <w:i/>
          <w:color w:val="231F20"/>
          <w:spacing w:val="-13"/>
          <w:sz w:val="24"/>
        </w:rPr>
        <w:t> </w:t>
      </w:r>
      <w:r>
        <w:rPr>
          <w:i/>
          <w:color w:val="231F20"/>
          <w:sz w:val="24"/>
        </w:rPr>
        <w:t>3.2.</w:t>
      </w:r>
      <w:r>
        <w:rPr>
          <w:i/>
          <w:color w:val="231F20"/>
          <w:spacing w:val="-13"/>
          <w:sz w:val="24"/>
        </w:rPr>
        <w:t> </w:t>
      </w:r>
      <w:r>
        <w:rPr>
          <w:i/>
          <w:color w:val="231F20"/>
          <w:sz w:val="24"/>
        </w:rPr>
        <w:t>The</w:t>
      </w:r>
      <w:r>
        <w:rPr>
          <w:i/>
          <w:color w:val="231F20"/>
          <w:spacing w:val="-13"/>
          <w:sz w:val="24"/>
        </w:rPr>
        <w:t> </w:t>
      </w:r>
      <w:r>
        <w:rPr>
          <w:i/>
          <w:color w:val="231F20"/>
          <w:sz w:val="24"/>
        </w:rPr>
        <w:t>Duty of Cooperation between</w:t>
      </w:r>
      <w:r>
        <w:rPr>
          <w:i/>
          <w:color w:val="231F20"/>
          <w:spacing w:val="-4"/>
          <w:sz w:val="24"/>
        </w:rPr>
        <w:t> </w:t>
      </w:r>
      <w:r>
        <w:rPr>
          <w:i/>
          <w:color w:val="231F20"/>
          <w:sz w:val="24"/>
        </w:rPr>
        <w:t>Tax Administrations does not include the Obligation to</w:t>
      </w:r>
      <w:r>
        <w:rPr>
          <w:i/>
          <w:color w:val="231F20"/>
          <w:spacing w:val="-15"/>
          <w:sz w:val="24"/>
        </w:rPr>
        <w:t> </w:t>
      </w:r>
      <w:r>
        <w:rPr>
          <w:i/>
          <w:color w:val="231F20"/>
          <w:sz w:val="24"/>
        </w:rPr>
        <w:t>avoid</w:t>
      </w:r>
      <w:r>
        <w:rPr>
          <w:i/>
          <w:color w:val="231F20"/>
          <w:spacing w:val="-15"/>
          <w:sz w:val="24"/>
        </w:rPr>
        <w:t> </w:t>
      </w:r>
      <w:r>
        <w:rPr>
          <w:i/>
          <w:color w:val="231F20"/>
          <w:sz w:val="24"/>
        </w:rPr>
        <w:t>double</w:t>
      </w:r>
      <w:r>
        <w:rPr>
          <w:i/>
          <w:color w:val="231F20"/>
          <w:spacing w:val="-15"/>
          <w:sz w:val="24"/>
        </w:rPr>
        <w:t> </w:t>
      </w:r>
      <w:r>
        <w:rPr>
          <w:i/>
          <w:color w:val="231F20"/>
          <w:sz w:val="24"/>
        </w:rPr>
        <w:t>VAT</w:t>
      </w:r>
      <w:r>
        <w:rPr>
          <w:i/>
          <w:color w:val="231F20"/>
          <w:spacing w:val="-15"/>
          <w:sz w:val="24"/>
        </w:rPr>
        <w:t> </w:t>
      </w:r>
      <w:r>
        <w:rPr>
          <w:i/>
          <w:color w:val="231F20"/>
          <w:sz w:val="24"/>
        </w:rPr>
        <w:t>Taxation;</w:t>
      </w:r>
      <w:r>
        <w:rPr>
          <w:i/>
          <w:color w:val="231F20"/>
          <w:spacing w:val="-15"/>
          <w:sz w:val="24"/>
        </w:rPr>
        <w:t> </w:t>
      </w:r>
      <w:r>
        <w:rPr>
          <w:i/>
          <w:color w:val="231F20"/>
          <w:sz w:val="24"/>
        </w:rPr>
        <w:t>4.</w:t>
      </w:r>
      <w:r>
        <w:rPr>
          <w:i/>
          <w:color w:val="231F20"/>
          <w:spacing w:val="-15"/>
          <w:sz w:val="24"/>
        </w:rPr>
        <w:t> </w:t>
      </w:r>
      <w:r>
        <w:rPr>
          <w:i/>
          <w:color w:val="231F20"/>
          <w:sz w:val="24"/>
        </w:rPr>
        <w:t>Judgments</w:t>
      </w:r>
      <w:r>
        <w:rPr>
          <w:i/>
          <w:color w:val="231F20"/>
          <w:spacing w:val="-15"/>
          <w:sz w:val="24"/>
        </w:rPr>
        <w:t> </w:t>
      </w:r>
      <w:r>
        <w:rPr>
          <w:i/>
          <w:color w:val="231F20"/>
          <w:sz w:val="24"/>
        </w:rPr>
        <w:t>on</w:t>
      </w:r>
      <w:r>
        <w:rPr>
          <w:i/>
          <w:color w:val="231F20"/>
          <w:spacing w:val="-15"/>
          <w:sz w:val="24"/>
        </w:rPr>
        <w:t> </w:t>
      </w:r>
      <w:r>
        <w:rPr>
          <w:i/>
          <w:color w:val="231F20"/>
          <w:sz w:val="24"/>
        </w:rPr>
        <w:t>the</w:t>
      </w:r>
      <w:r>
        <w:rPr>
          <w:i/>
          <w:color w:val="231F20"/>
          <w:spacing w:val="-15"/>
          <w:sz w:val="24"/>
        </w:rPr>
        <w:t> </w:t>
      </w:r>
      <w:r>
        <w:rPr>
          <w:i/>
          <w:color w:val="231F20"/>
          <w:sz w:val="24"/>
        </w:rPr>
        <w:t>Interpretation</w:t>
      </w:r>
      <w:r>
        <w:rPr>
          <w:i/>
          <w:color w:val="231F20"/>
          <w:spacing w:val="-15"/>
          <w:sz w:val="24"/>
        </w:rPr>
        <w:t> </w:t>
      </w:r>
      <w:r>
        <w:rPr>
          <w:i/>
          <w:color w:val="231F20"/>
          <w:sz w:val="24"/>
        </w:rPr>
        <w:t>of</w:t>
      </w:r>
      <w:r>
        <w:rPr>
          <w:i/>
          <w:color w:val="231F20"/>
          <w:spacing w:val="-15"/>
          <w:sz w:val="24"/>
        </w:rPr>
        <w:t> </w:t>
      </w:r>
      <w:r>
        <w:rPr>
          <w:i/>
          <w:color w:val="231F20"/>
          <w:sz w:val="24"/>
        </w:rPr>
        <w:t>Directive 2010/24/EU «on mutual Assistance in the Recovery of Claims relating to Duties</w:t>
      </w:r>
      <w:r>
        <w:rPr>
          <w:i/>
          <w:color w:val="231F20"/>
          <w:spacing w:val="-15"/>
          <w:sz w:val="24"/>
        </w:rPr>
        <w:t> </w:t>
      </w:r>
      <w:r>
        <w:rPr>
          <w:i/>
          <w:color w:val="231F20"/>
          <w:sz w:val="24"/>
        </w:rPr>
        <w:t>and</w:t>
      </w:r>
      <w:r>
        <w:rPr>
          <w:i/>
          <w:color w:val="231F20"/>
          <w:spacing w:val="-15"/>
          <w:sz w:val="24"/>
        </w:rPr>
        <w:t> </w:t>
      </w:r>
      <w:r>
        <w:rPr>
          <w:i/>
          <w:color w:val="231F20"/>
          <w:sz w:val="24"/>
        </w:rPr>
        <w:t>Taxes»;</w:t>
      </w:r>
      <w:r>
        <w:rPr>
          <w:i/>
          <w:color w:val="231F20"/>
          <w:spacing w:val="-11"/>
          <w:sz w:val="24"/>
        </w:rPr>
        <w:t> </w:t>
      </w:r>
      <w:r>
        <w:rPr>
          <w:i/>
          <w:color w:val="231F20"/>
          <w:sz w:val="24"/>
        </w:rPr>
        <w:t>4.1.</w:t>
      </w:r>
      <w:r>
        <w:rPr>
          <w:i/>
          <w:color w:val="231F20"/>
          <w:spacing w:val="-10"/>
          <w:sz w:val="24"/>
        </w:rPr>
        <w:t> </w:t>
      </w:r>
      <w:r>
        <w:rPr>
          <w:i/>
          <w:color w:val="231F20"/>
          <w:sz w:val="24"/>
        </w:rPr>
        <w:t>Legality</w:t>
      </w:r>
      <w:r>
        <w:rPr>
          <w:i/>
          <w:color w:val="231F20"/>
          <w:spacing w:val="-10"/>
          <w:sz w:val="24"/>
        </w:rPr>
        <w:t> </w:t>
      </w:r>
      <w:r>
        <w:rPr>
          <w:i/>
          <w:color w:val="231F20"/>
          <w:sz w:val="24"/>
        </w:rPr>
        <w:t>of</w:t>
      </w:r>
      <w:r>
        <w:rPr>
          <w:i/>
          <w:color w:val="231F20"/>
          <w:spacing w:val="-10"/>
          <w:sz w:val="24"/>
        </w:rPr>
        <w:t> </w:t>
      </w:r>
      <w:r>
        <w:rPr>
          <w:i/>
          <w:color w:val="231F20"/>
          <w:sz w:val="24"/>
        </w:rPr>
        <w:t>refusing</w:t>
      </w:r>
      <w:r>
        <w:rPr>
          <w:i/>
          <w:color w:val="231F20"/>
          <w:spacing w:val="-10"/>
          <w:sz w:val="24"/>
        </w:rPr>
        <w:t> </w:t>
      </w:r>
      <w:r>
        <w:rPr>
          <w:i/>
          <w:color w:val="231F20"/>
          <w:sz w:val="24"/>
        </w:rPr>
        <w:t>to</w:t>
      </w:r>
      <w:r>
        <w:rPr>
          <w:i/>
          <w:color w:val="231F20"/>
          <w:spacing w:val="-10"/>
          <w:sz w:val="24"/>
        </w:rPr>
        <w:t> </w:t>
      </w:r>
      <w:r>
        <w:rPr>
          <w:i/>
          <w:color w:val="231F20"/>
          <w:sz w:val="24"/>
        </w:rPr>
        <w:t>execute</w:t>
      </w:r>
      <w:r>
        <w:rPr>
          <w:i/>
          <w:color w:val="231F20"/>
          <w:spacing w:val="-10"/>
          <w:sz w:val="24"/>
        </w:rPr>
        <w:t> </w:t>
      </w:r>
      <w:r>
        <w:rPr>
          <w:i/>
          <w:color w:val="231F20"/>
          <w:sz w:val="24"/>
        </w:rPr>
        <w:t>a</w:t>
      </w:r>
      <w:r>
        <w:rPr>
          <w:i/>
          <w:color w:val="231F20"/>
          <w:spacing w:val="-10"/>
          <w:sz w:val="24"/>
        </w:rPr>
        <w:t> </w:t>
      </w:r>
      <w:r>
        <w:rPr>
          <w:i/>
          <w:color w:val="231F20"/>
          <w:sz w:val="24"/>
        </w:rPr>
        <w:t>Recovery</w:t>
      </w:r>
      <w:r>
        <w:rPr>
          <w:i/>
          <w:color w:val="231F20"/>
          <w:spacing w:val="-10"/>
          <w:sz w:val="24"/>
        </w:rPr>
        <w:t> </w:t>
      </w:r>
      <w:r>
        <w:rPr>
          <w:i/>
          <w:color w:val="231F20"/>
          <w:sz w:val="24"/>
        </w:rPr>
        <w:t>Request</w:t>
      </w:r>
      <w:r>
        <w:rPr>
          <w:i/>
          <w:color w:val="231F20"/>
          <w:spacing w:val="-10"/>
          <w:sz w:val="24"/>
        </w:rPr>
        <w:t> </w:t>
      </w:r>
      <w:r>
        <w:rPr>
          <w:i/>
          <w:color w:val="231F20"/>
          <w:sz w:val="24"/>
        </w:rPr>
        <w:t>if</w:t>
      </w:r>
      <w:r>
        <w:rPr>
          <w:i/>
          <w:color w:val="231F20"/>
          <w:spacing w:val="-10"/>
          <w:sz w:val="24"/>
        </w:rPr>
        <w:t> </w:t>
      </w:r>
      <w:r>
        <w:rPr>
          <w:i/>
          <w:color w:val="231F20"/>
          <w:sz w:val="24"/>
        </w:rPr>
        <w:t>the requesting</w:t>
      </w:r>
      <w:r>
        <w:rPr>
          <w:i/>
          <w:color w:val="231F20"/>
          <w:spacing w:val="-12"/>
          <w:sz w:val="24"/>
        </w:rPr>
        <w:t> </w:t>
      </w:r>
      <w:r>
        <w:rPr>
          <w:i/>
          <w:color w:val="231F20"/>
          <w:sz w:val="24"/>
        </w:rPr>
        <w:t>Administration</w:t>
      </w:r>
      <w:r>
        <w:rPr>
          <w:i/>
          <w:color w:val="231F20"/>
          <w:spacing w:val="-9"/>
          <w:sz w:val="24"/>
        </w:rPr>
        <w:t> </w:t>
      </w:r>
      <w:r>
        <w:rPr>
          <w:i/>
          <w:color w:val="231F20"/>
          <w:sz w:val="24"/>
        </w:rPr>
        <w:t>has</w:t>
      </w:r>
      <w:r>
        <w:rPr>
          <w:i/>
          <w:color w:val="231F20"/>
          <w:spacing w:val="-9"/>
          <w:sz w:val="24"/>
        </w:rPr>
        <w:t> </w:t>
      </w:r>
      <w:r>
        <w:rPr>
          <w:i/>
          <w:color w:val="231F20"/>
          <w:sz w:val="24"/>
        </w:rPr>
        <w:t>not</w:t>
      </w:r>
      <w:r>
        <w:rPr>
          <w:i/>
          <w:color w:val="231F20"/>
          <w:spacing w:val="-9"/>
          <w:sz w:val="24"/>
        </w:rPr>
        <w:t> </w:t>
      </w:r>
      <w:r>
        <w:rPr>
          <w:i/>
          <w:color w:val="231F20"/>
          <w:sz w:val="24"/>
        </w:rPr>
        <w:t>notified</w:t>
      </w:r>
      <w:r>
        <w:rPr>
          <w:i/>
          <w:color w:val="231F20"/>
          <w:spacing w:val="-9"/>
          <w:sz w:val="24"/>
        </w:rPr>
        <w:t> </w:t>
      </w:r>
      <w:r>
        <w:rPr>
          <w:i/>
          <w:color w:val="231F20"/>
          <w:sz w:val="24"/>
        </w:rPr>
        <w:t>the</w:t>
      </w:r>
      <w:r>
        <w:rPr>
          <w:i/>
          <w:color w:val="231F20"/>
          <w:spacing w:val="-15"/>
          <w:sz w:val="24"/>
        </w:rPr>
        <w:t> </w:t>
      </w:r>
      <w:r>
        <w:rPr>
          <w:i/>
          <w:color w:val="231F20"/>
          <w:sz w:val="24"/>
        </w:rPr>
        <w:t>Taxpayer</w:t>
      </w:r>
      <w:r>
        <w:rPr>
          <w:i/>
          <w:color w:val="231F20"/>
          <w:spacing w:val="-9"/>
          <w:sz w:val="24"/>
        </w:rPr>
        <w:t> </w:t>
      </w:r>
      <w:r>
        <w:rPr>
          <w:i/>
          <w:color w:val="231F20"/>
          <w:sz w:val="24"/>
        </w:rPr>
        <w:t>of</w:t>
      </w:r>
      <w:r>
        <w:rPr>
          <w:i/>
          <w:color w:val="231F20"/>
          <w:spacing w:val="-9"/>
          <w:sz w:val="24"/>
        </w:rPr>
        <w:t> </w:t>
      </w:r>
      <w:r>
        <w:rPr>
          <w:i/>
          <w:color w:val="231F20"/>
          <w:sz w:val="24"/>
        </w:rPr>
        <w:t>the</w:t>
      </w:r>
      <w:r>
        <w:rPr>
          <w:i/>
          <w:color w:val="231F20"/>
          <w:spacing w:val="-9"/>
          <w:sz w:val="24"/>
        </w:rPr>
        <w:t> </w:t>
      </w:r>
      <w:r>
        <w:rPr>
          <w:i/>
          <w:color w:val="231F20"/>
          <w:sz w:val="24"/>
        </w:rPr>
        <w:t>Act</w:t>
      </w:r>
      <w:r>
        <w:rPr>
          <w:i/>
          <w:color w:val="231F20"/>
          <w:spacing w:val="-9"/>
          <w:sz w:val="24"/>
        </w:rPr>
        <w:t> </w:t>
      </w:r>
      <w:r>
        <w:rPr>
          <w:i/>
          <w:color w:val="231F20"/>
          <w:sz w:val="24"/>
        </w:rPr>
        <w:t>establishing the Claim; 4.2. A Recovery Request can be legally refused in case of double Collection</w:t>
      </w:r>
      <w:r>
        <w:rPr>
          <w:i/>
          <w:color w:val="231F20"/>
          <w:spacing w:val="33"/>
          <w:sz w:val="24"/>
        </w:rPr>
        <w:t> </w:t>
      </w:r>
      <w:r>
        <w:rPr>
          <w:i/>
          <w:color w:val="231F20"/>
          <w:sz w:val="24"/>
        </w:rPr>
        <w:t>of</w:t>
      </w:r>
      <w:r>
        <w:rPr>
          <w:i/>
          <w:color w:val="231F20"/>
          <w:spacing w:val="36"/>
          <w:sz w:val="24"/>
        </w:rPr>
        <w:t> </w:t>
      </w:r>
      <w:r>
        <w:rPr>
          <w:i/>
          <w:color w:val="231F20"/>
          <w:sz w:val="24"/>
        </w:rPr>
        <w:t>Excise</w:t>
      </w:r>
      <w:r>
        <w:rPr>
          <w:i/>
          <w:color w:val="231F20"/>
          <w:spacing w:val="36"/>
          <w:sz w:val="24"/>
        </w:rPr>
        <w:t> </w:t>
      </w:r>
      <w:r>
        <w:rPr>
          <w:i/>
          <w:color w:val="231F20"/>
          <w:sz w:val="24"/>
        </w:rPr>
        <w:t>Duties</w:t>
      </w:r>
      <w:r>
        <w:rPr>
          <w:i/>
          <w:color w:val="231F20"/>
          <w:spacing w:val="36"/>
          <w:sz w:val="24"/>
        </w:rPr>
        <w:t> </w:t>
      </w:r>
      <w:r>
        <w:rPr>
          <w:i/>
          <w:color w:val="231F20"/>
          <w:sz w:val="24"/>
        </w:rPr>
        <w:t>on</w:t>
      </w:r>
      <w:r>
        <w:rPr>
          <w:i/>
          <w:color w:val="231F20"/>
          <w:spacing w:val="36"/>
          <w:sz w:val="24"/>
        </w:rPr>
        <w:t> </w:t>
      </w:r>
      <w:r>
        <w:rPr>
          <w:i/>
          <w:color w:val="231F20"/>
          <w:sz w:val="24"/>
        </w:rPr>
        <w:t>the</w:t>
      </w:r>
      <w:r>
        <w:rPr>
          <w:i/>
          <w:color w:val="231F20"/>
          <w:spacing w:val="35"/>
          <w:sz w:val="24"/>
        </w:rPr>
        <w:t> </w:t>
      </w:r>
      <w:r>
        <w:rPr>
          <w:i/>
          <w:color w:val="231F20"/>
          <w:sz w:val="24"/>
        </w:rPr>
        <w:t>same</w:t>
      </w:r>
      <w:r>
        <w:rPr>
          <w:i/>
          <w:color w:val="231F20"/>
          <w:spacing w:val="36"/>
          <w:sz w:val="24"/>
        </w:rPr>
        <w:t> </w:t>
      </w:r>
      <w:r>
        <w:rPr>
          <w:i/>
          <w:color w:val="231F20"/>
          <w:sz w:val="24"/>
        </w:rPr>
        <w:t>Products;</w:t>
      </w:r>
      <w:r>
        <w:rPr>
          <w:i/>
          <w:color w:val="231F20"/>
          <w:spacing w:val="36"/>
          <w:sz w:val="24"/>
        </w:rPr>
        <w:t> </w:t>
      </w:r>
      <w:r>
        <w:rPr>
          <w:i/>
          <w:color w:val="231F20"/>
          <w:sz w:val="24"/>
        </w:rPr>
        <w:t>5.</w:t>
      </w:r>
      <w:r>
        <w:rPr>
          <w:i/>
          <w:color w:val="231F20"/>
          <w:spacing w:val="36"/>
          <w:sz w:val="24"/>
        </w:rPr>
        <w:t> </w:t>
      </w:r>
      <w:r>
        <w:rPr>
          <w:i/>
          <w:color w:val="231F20"/>
          <w:sz w:val="24"/>
        </w:rPr>
        <w:t>Concluding</w:t>
      </w:r>
      <w:r>
        <w:rPr>
          <w:i/>
          <w:color w:val="231F20"/>
          <w:spacing w:val="36"/>
          <w:sz w:val="24"/>
        </w:rPr>
        <w:t> </w:t>
      </w:r>
      <w:r>
        <w:rPr>
          <w:i/>
          <w:color w:val="231F20"/>
          <w:spacing w:val="-2"/>
          <w:sz w:val="24"/>
        </w:rPr>
        <w:t>Remarks;</w:t>
      </w:r>
    </w:p>
    <w:p>
      <w:pPr>
        <w:spacing w:line="270" w:lineRule="exact" w:before="0"/>
        <w:ind w:left="100" w:right="0" w:firstLine="0"/>
        <w:jc w:val="both"/>
        <w:rPr>
          <w:i/>
          <w:sz w:val="24"/>
        </w:rPr>
      </w:pPr>
      <w:r>
        <w:rPr>
          <w:i/>
          <w:color w:val="231F20"/>
          <w:sz w:val="24"/>
        </w:rPr>
        <w:t>5.1.</w:t>
      </w:r>
      <w:r>
        <w:rPr>
          <w:i/>
          <w:color w:val="231F20"/>
          <w:spacing w:val="13"/>
          <w:sz w:val="24"/>
        </w:rPr>
        <w:t> </w:t>
      </w:r>
      <w:r>
        <w:rPr>
          <w:i/>
          <w:color w:val="231F20"/>
          <w:sz w:val="24"/>
        </w:rPr>
        <w:t>The</w:t>
      </w:r>
      <w:r>
        <w:rPr>
          <w:i/>
          <w:color w:val="231F20"/>
          <w:spacing w:val="14"/>
          <w:sz w:val="24"/>
        </w:rPr>
        <w:t> </w:t>
      </w:r>
      <w:r>
        <w:rPr>
          <w:i/>
          <w:color w:val="231F20"/>
          <w:sz w:val="24"/>
        </w:rPr>
        <w:t>Court</w:t>
      </w:r>
      <w:r>
        <w:rPr>
          <w:i/>
          <w:color w:val="231F20"/>
          <w:spacing w:val="14"/>
          <w:sz w:val="24"/>
        </w:rPr>
        <w:t> </w:t>
      </w:r>
      <w:r>
        <w:rPr>
          <w:i/>
          <w:color w:val="231F20"/>
          <w:sz w:val="24"/>
        </w:rPr>
        <w:t>of</w:t>
      </w:r>
      <w:r>
        <w:rPr>
          <w:i/>
          <w:color w:val="231F20"/>
          <w:spacing w:val="14"/>
          <w:sz w:val="24"/>
        </w:rPr>
        <w:t> </w:t>
      </w:r>
      <w:r>
        <w:rPr>
          <w:i/>
          <w:color w:val="231F20"/>
          <w:sz w:val="24"/>
        </w:rPr>
        <w:t>Justice</w:t>
      </w:r>
      <w:r>
        <w:rPr>
          <w:i/>
          <w:color w:val="231F20"/>
          <w:spacing w:val="14"/>
          <w:sz w:val="24"/>
        </w:rPr>
        <w:t> </w:t>
      </w:r>
      <w:r>
        <w:rPr>
          <w:i/>
          <w:color w:val="231F20"/>
          <w:sz w:val="24"/>
        </w:rPr>
        <w:t>has</w:t>
      </w:r>
      <w:r>
        <w:rPr>
          <w:i/>
          <w:color w:val="231F20"/>
          <w:spacing w:val="14"/>
          <w:sz w:val="24"/>
        </w:rPr>
        <w:t> </w:t>
      </w:r>
      <w:r>
        <w:rPr>
          <w:i/>
          <w:color w:val="231F20"/>
          <w:sz w:val="24"/>
        </w:rPr>
        <w:t>integrated</w:t>
      </w:r>
      <w:r>
        <w:rPr>
          <w:i/>
          <w:color w:val="231F20"/>
          <w:spacing w:val="13"/>
          <w:sz w:val="24"/>
        </w:rPr>
        <w:t> </w:t>
      </w:r>
      <w:r>
        <w:rPr>
          <w:i/>
          <w:color w:val="231F20"/>
          <w:sz w:val="24"/>
        </w:rPr>
        <w:t>the</w:t>
      </w:r>
      <w:r>
        <w:rPr>
          <w:i/>
          <w:color w:val="231F20"/>
          <w:spacing w:val="14"/>
          <w:sz w:val="24"/>
        </w:rPr>
        <w:t> </w:t>
      </w:r>
      <w:r>
        <w:rPr>
          <w:i/>
          <w:color w:val="231F20"/>
          <w:sz w:val="24"/>
        </w:rPr>
        <w:t>Provisions</w:t>
      </w:r>
      <w:r>
        <w:rPr>
          <w:i/>
          <w:color w:val="231F20"/>
          <w:spacing w:val="14"/>
          <w:sz w:val="24"/>
        </w:rPr>
        <w:t> </w:t>
      </w:r>
      <w:r>
        <w:rPr>
          <w:i/>
          <w:color w:val="231F20"/>
          <w:sz w:val="24"/>
        </w:rPr>
        <w:t>of</w:t>
      </w:r>
      <w:r>
        <w:rPr>
          <w:i/>
          <w:color w:val="231F20"/>
          <w:spacing w:val="14"/>
          <w:sz w:val="24"/>
        </w:rPr>
        <w:t> </w:t>
      </w:r>
      <w:r>
        <w:rPr>
          <w:i/>
          <w:color w:val="231F20"/>
          <w:sz w:val="24"/>
        </w:rPr>
        <w:t>EU</w:t>
      </w:r>
      <w:r>
        <w:rPr>
          <w:i/>
          <w:color w:val="231F20"/>
          <w:spacing w:val="14"/>
          <w:sz w:val="24"/>
        </w:rPr>
        <w:t> </w:t>
      </w:r>
      <w:r>
        <w:rPr>
          <w:i/>
          <w:color w:val="231F20"/>
          <w:sz w:val="24"/>
        </w:rPr>
        <w:t>Directives</w:t>
      </w:r>
      <w:r>
        <w:rPr>
          <w:i/>
          <w:color w:val="231F20"/>
          <w:spacing w:val="14"/>
          <w:sz w:val="24"/>
        </w:rPr>
        <w:t> </w:t>
      </w:r>
      <w:r>
        <w:rPr>
          <w:i/>
          <w:color w:val="231F20"/>
          <w:spacing w:val="-5"/>
          <w:sz w:val="24"/>
        </w:rPr>
        <w:t>and</w:t>
      </w:r>
    </w:p>
    <w:p>
      <w:pPr>
        <w:spacing w:line="230" w:lineRule="auto" w:before="2"/>
        <w:ind w:left="100" w:right="174" w:firstLine="0"/>
        <w:jc w:val="both"/>
        <w:rPr>
          <w:i/>
          <w:sz w:val="24"/>
        </w:rPr>
      </w:pPr>
      <w:r>
        <w:rPr>
          <w:i/>
          <w:color w:val="231F20"/>
          <w:spacing w:val="-2"/>
          <w:sz w:val="24"/>
        </w:rPr>
        <w:t>Regulations</w:t>
      </w:r>
      <w:r>
        <w:rPr>
          <w:i/>
          <w:color w:val="231F20"/>
          <w:spacing w:val="-13"/>
          <w:sz w:val="24"/>
        </w:rPr>
        <w:t> </w:t>
      </w:r>
      <w:r>
        <w:rPr>
          <w:i/>
          <w:color w:val="231F20"/>
          <w:spacing w:val="-2"/>
          <w:sz w:val="24"/>
        </w:rPr>
        <w:t>with</w:t>
      </w:r>
      <w:r>
        <w:rPr>
          <w:i/>
          <w:color w:val="231F20"/>
          <w:spacing w:val="-13"/>
          <w:sz w:val="24"/>
        </w:rPr>
        <w:t> </w:t>
      </w:r>
      <w:r>
        <w:rPr>
          <w:i/>
          <w:color w:val="231F20"/>
          <w:spacing w:val="-2"/>
          <w:sz w:val="24"/>
        </w:rPr>
        <w:t>the</w:t>
      </w:r>
      <w:r>
        <w:rPr>
          <w:i/>
          <w:color w:val="231F20"/>
          <w:spacing w:val="-13"/>
          <w:sz w:val="24"/>
        </w:rPr>
        <w:t> </w:t>
      </w:r>
      <w:r>
        <w:rPr>
          <w:i/>
          <w:color w:val="231F20"/>
          <w:spacing w:val="-2"/>
          <w:sz w:val="24"/>
        </w:rPr>
        <w:t>general</w:t>
      </w:r>
      <w:r>
        <w:rPr>
          <w:i/>
          <w:color w:val="231F20"/>
          <w:spacing w:val="-13"/>
          <w:sz w:val="24"/>
        </w:rPr>
        <w:t> </w:t>
      </w:r>
      <w:r>
        <w:rPr>
          <w:i/>
          <w:color w:val="231F20"/>
          <w:spacing w:val="-2"/>
          <w:sz w:val="24"/>
        </w:rPr>
        <w:t>Principles</w:t>
      </w:r>
      <w:r>
        <w:rPr>
          <w:i/>
          <w:color w:val="231F20"/>
          <w:spacing w:val="-13"/>
          <w:sz w:val="24"/>
        </w:rPr>
        <w:t> </w:t>
      </w:r>
      <w:r>
        <w:rPr>
          <w:i/>
          <w:color w:val="231F20"/>
          <w:spacing w:val="-2"/>
          <w:sz w:val="24"/>
        </w:rPr>
        <w:t>laid</w:t>
      </w:r>
      <w:r>
        <w:rPr>
          <w:i/>
          <w:color w:val="231F20"/>
          <w:spacing w:val="-13"/>
          <w:sz w:val="24"/>
        </w:rPr>
        <w:t> </w:t>
      </w:r>
      <w:r>
        <w:rPr>
          <w:i/>
          <w:color w:val="231F20"/>
          <w:spacing w:val="-2"/>
          <w:sz w:val="24"/>
        </w:rPr>
        <w:t>down</w:t>
      </w:r>
      <w:r>
        <w:rPr>
          <w:i/>
          <w:color w:val="231F20"/>
          <w:spacing w:val="-13"/>
          <w:sz w:val="24"/>
        </w:rPr>
        <w:t> </w:t>
      </w:r>
      <w:r>
        <w:rPr>
          <w:i/>
          <w:color w:val="231F20"/>
          <w:spacing w:val="-2"/>
          <w:sz w:val="24"/>
        </w:rPr>
        <w:t>in</w:t>
      </w:r>
      <w:r>
        <w:rPr>
          <w:i/>
          <w:color w:val="231F20"/>
          <w:spacing w:val="-13"/>
          <w:sz w:val="24"/>
        </w:rPr>
        <w:t> </w:t>
      </w:r>
      <w:r>
        <w:rPr>
          <w:i/>
          <w:color w:val="231F20"/>
          <w:spacing w:val="-2"/>
          <w:sz w:val="24"/>
        </w:rPr>
        <w:t>the</w:t>
      </w:r>
      <w:r>
        <w:rPr>
          <w:i/>
          <w:color w:val="231F20"/>
          <w:spacing w:val="-13"/>
          <w:sz w:val="24"/>
        </w:rPr>
        <w:t> </w:t>
      </w:r>
      <w:r>
        <w:rPr>
          <w:i/>
          <w:color w:val="231F20"/>
          <w:spacing w:val="-2"/>
          <w:sz w:val="24"/>
        </w:rPr>
        <w:t>Charter</w:t>
      </w:r>
      <w:r>
        <w:rPr>
          <w:i/>
          <w:color w:val="231F20"/>
          <w:spacing w:val="-13"/>
          <w:sz w:val="24"/>
        </w:rPr>
        <w:t> </w:t>
      </w:r>
      <w:r>
        <w:rPr>
          <w:i/>
          <w:color w:val="231F20"/>
          <w:spacing w:val="-2"/>
          <w:sz w:val="24"/>
        </w:rPr>
        <w:t>of</w:t>
      </w:r>
      <w:r>
        <w:rPr>
          <w:i/>
          <w:color w:val="231F20"/>
          <w:spacing w:val="-13"/>
          <w:sz w:val="24"/>
        </w:rPr>
        <w:t> </w:t>
      </w:r>
      <w:r>
        <w:rPr>
          <w:i/>
          <w:color w:val="231F20"/>
          <w:spacing w:val="-2"/>
          <w:sz w:val="24"/>
        </w:rPr>
        <w:t>fundamental</w:t>
      </w:r>
      <w:r>
        <w:rPr>
          <w:i/>
          <w:color w:val="231F20"/>
          <w:spacing w:val="-2"/>
          <w:sz w:val="24"/>
        </w:rPr>
        <w:t> </w:t>
      </w:r>
      <w:r>
        <w:rPr>
          <w:i/>
          <w:color w:val="231F20"/>
          <w:sz w:val="24"/>
        </w:rPr>
        <w:t>rights; 5.2. The Court of Justice has highlighted unacceptable Cases of double Taxation in the Field of harmonized</w:t>
      </w:r>
      <w:r>
        <w:rPr>
          <w:i/>
          <w:color w:val="231F20"/>
          <w:spacing w:val="-4"/>
          <w:sz w:val="24"/>
        </w:rPr>
        <w:t> </w:t>
      </w:r>
      <w:r>
        <w:rPr>
          <w:i/>
          <w:color w:val="231F20"/>
          <w:sz w:val="24"/>
        </w:rPr>
        <w:t>VAT and Excise Duties.</w:t>
      </w:r>
    </w:p>
    <w:p>
      <w:pPr>
        <w:pStyle w:val="BodyText"/>
        <w:rPr>
          <w:i/>
        </w:rPr>
      </w:pPr>
    </w:p>
    <w:p>
      <w:pPr>
        <w:pStyle w:val="BodyText"/>
        <w:spacing w:before="27"/>
        <w:rPr>
          <w:i/>
        </w:rPr>
      </w:pPr>
    </w:p>
    <w:p>
      <w:pPr>
        <w:pStyle w:val="Heading3"/>
        <w:numPr>
          <w:ilvl w:val="0"/>
          <w:numId w:val="1"/>
        </w:numPr>
        <w:tabs>
          <w:tab w:pos="382" w:val="left" w:leader="none"/>
        </w:tabs>
        <w:spacing w:line="240" w:lineRule="auto" w:before="0" w:after="0"/>
        <w:ind w:left="382" w:right="0" w:hanging="282"/>
        <w:jc w:val="both"/>
        <w:rPr>
          <w:b/>
        </w:rPr>
      </w:pPr>
      <w:r>
        <w:rPr>
          <w:b/>
          <w:color w:val="231F20"/>
          <w:spacing w:val="-2"/>
        </w:rPr>
        <w:t>Introduction</w:t>
      </w:r>
    </w:p>
    <w:p>
      <w:pPr>
        <w:pStyle w:val="BodyText"/>
        <w:spacing w:line="225" w:lineRule="auto" w:before="257"/>
        <w:ind w:left="100" w:right="174"/>
        <w:jc w:val="both"/>
      </w:pPr>
      <w:r>
        <w:rPr>
          <w:color w:val="231F20"/>
        </w:rPr>
        <w:t>Almost</w:t>
      </w:r>
      <w:r>
        <w:rPr>
          <w:color w:val="231F20"/>
          <w:spacing w:val="-11"/>
        </w:rPr>
        <w:t> </w:t>
      </w:r>
      <w:r>
        <w:rPr>
          <w:color w:val="231F20"/>
        </w:rPr>
        <w:t>fifty</w:t>
      </w:r>
      <w:r>
        <w:rPr>
          <w:color w:val="231F20"/>
          <w:spacing w:val="-11"/>
        </w:rPr>
        <w:t> </w:t>
      </w:r>
      <w:r>
        <w:rPr>
          <w:color w:val="231F20"/>
        </w:rPr>
        <w:t>years</w:t>
      </w:r>
      <w:r>
        <w:rPr>
          <w:color w:val="231F20"/>
          <w:spacing w:val="-11"/>
        </w:rPr>
        <w:t> </w:t>
      </w:r>
      <w:r>
        <w:rPr>
          <w:color w:val="231F20"/>
        </w:rPr>
        <w:t>have</w:t>
      </w:r>
      <w:r>
        <w:rPr>
          <w:color w:val="231F20"/>
          <w:spacing w:val="-11"/>
        </w:rPr>
        <w:t> </w:t>
      </w:r>
      <w:r>
        <w:rPr>
          <w:color w:val="231F20"/>
        </w:rPr>
        <w:t>elapsed</w:t>
      </w:r>
      <w:r>
        <w:rPr>
          <w:color w:val="231F20"/>
          <w:spacing w:val="-11"/>
        </w:rPr>
        <w:t> </w:t>
      </w:r>
      <w:r>
        <w:rPr>
          <w:color w:val="231F20"/>
        </w:rPr>
        <w:t>since</w:t>
      </w:r>
      <w:r>
        <w:rPr>
          <w:color w:val="231F20"/>
          <w:spacing w:val="-11"/>
        </w:rPr>
        <w:t> </w:t>
      </w:r>
      <w:r>
        <w:rPr>
          <w:color w:val="231F20"/>
        </w:rPr>
        <w:t>the</w:t>
      </w:r>
      <w:r>
        <w:rPr>
          <w:color w:val="231F20"/>
          <w:spacing w:val="-11"/>
        </w:rPr>
        <w:t> </w:t>
      </w:r>
      <w:r>
        <w:rPr>
          <w:color w:val="231F20"/>
        </w:rPr>
        <w:t>adoption</w:t>
      </w:r>
      <w:r>
        <w:rPr>
          <w:color w:val="231F20"/>
          <w:spacing w:val="-11"/>
        </w:rPr>
        <w:t> </w:t>
      </w:r>
      <w:r>
        <w:rPr>
          <w:color w:val="231F20"/>
        </w:rPr>
        <w:t>of</w:t>
      </w:r>
      <w:r>
        <w:rPr>
          <w:color w:val="231F20"/>
          <w:spacing w:val="-11"/>
        </w:rPr>
        <w:t> </w:t>
      </w:r>
      <w:r>
        <w:rPr>
          <w:color w:val="231F20"/>
        </w:rPr>
        <w:t>the</w:t>
      </w:r>
      <w:r>
        <w:rPr>
          <w:color w:val="231F20"/>
          <w:spacing w:val="-11"/>
        </w:rPr>
        <w:t> </w:t>
      </w:r>
      <w:r>
        <w:rPr>
          <w:color w:val="231F20"/>
        </w:rPr>
        <w:t>first</w:t>
      </w:r>
      <w:r>
        <w:rPr>
          <w:color w:val="231F20"/>
          <w:spacing w:val="-11"/>
        </w:rPr>
        <w:t> </w:t>
      </w:r>
      <w:r>
        <w:rPr>
          <w:color w:val="231F20"/>
        </w:rPr>
        <w:t>two</w:t>
      </w:r>
      <w:r>
        <w:rPr>
          <w:color w:val="231F20"/>
          <w:spacing w:val="-11"/>
        </w:rPr>
        <w:t> </w:t>
      </w:r>
      <w:r>
        <w:rPr>
          <w:color w:val="231F20"/>
        </w:rPr>
        <w:t>directives by</w:t>
      </w:r>
      <w:r>
        <w:rPr>
          <w:color w:val="231F20"/>
          <w:spacing w:val="-17"/>
        </w:rPr>
        <w:t> </w:t>
      </w:r>
      <w:r>
        <w:rPr>
          <w:color w:val="231F20"/>
        </w:rPr>
        <w:t>the</w:t>
      </w:r>
      <w:r>
        <w:rPr>
          <w:color w:val="231F20"/>
          <w:spacing w:val="-15"/>
        </w:rPr>
        <w:t> </w:t>
      </w:r>
      <w:r>
        <w:rPr>
          <w:color w:val="231F20"/>
        </w:rPr>
        <w:t>Council</w:t>
      </w:r>
      <w:r>
        <w:rPr>
          <w:color w:val="231F20"/>
          <w:spacing w:val="-15"/>
        </w:rPr>
        <w:t> </w:t>
      </w:r>
      <w:r>
        <w:rPr>
          <w:color w:val="231F20"/>
        </w:rPr>
        <w:t>of</w:t>
      </w:r>
      <w:r>
        <w:rPr>
          <w:color w:val="231F20"/>
          <w:spacing w:val="-15"/>
        </w:rPr>
        <w:t> </w:t>
      </w:r>
      <w:r>
        <w:rPr>
          <w:color w:val="231F20"/>
        </w:rPr>
        <w:t>Ministers</w:t>
      </w:r>
      <w:r>
        <w:rPr>
          <w:color w:val="231F20"/>
          <w:spacing w:val="-15"/>
        </w:rPr>
        <w:t> </w:t>
      </w:r>
      <w:r>
        <w:rPr>
          <w:color w:val="231F20"/>
        </w:rPr>
        <w:t>of</w:t>
      </w:r>
      <w:r>
        <w:rPr>
          <w:color w:val="231F20"/>
          <w:spacing w:val="-15"/>
        </w:rPr>
        <w:t> </w:t>
      </w:r>
      <w:r>
        <w:rPr>
          <w:color w:val="231F20"/>
        </w:rPr>
        <w:t>Finance</w:t>
      </w:r>
      <w:r>
        <w:rPr>
          <w:color w:val="231F20"/>
          <w:spacing w:val="-15"/>
        </w:rPr>
        <w:t> </w:t>
      </w:r>
      <w:r>
        <w:rPr>
          <w:color w:val="231F20"/>
        </w:rPr>
        <w:t>of</w:t>
      </w:r>
      <w:r>
        <w:rPr>
          <w:color w:val="231F20"/>
          <w:spacing w:val="-15"/>
        </w:rPr>
        <w:t> </w:t>
      </w:r>
      <w:r>
        <w:rPr>
          <w:color w:val="231F20"/>
        </w:rPr>
        <w:t>the</w:t>
      </w:r>
      <w:r>
        <w:rPr>
          <w:color w:val="231F20"/>
          <w:spacing w:val="-15"/>
        </w:rPr>
        <w:t> </w:t>
      </w:r>
      <w:r>
        <w:rPr>
          <w:color w:val="231F20"/>
        </w:rPr>
        <w:t>(then)</w:t>
      </w:r>
      <w:r>
        <w:rPr>
          <w:color w:val="231F20"/>
          <w:spacing w:val="-15"/>
        </w:rPr>
        <w:t> </w:t>
      </w:r>
      <w:r>
        <w:rPr>
          <w:color w:val="231F20"/>
        </w:rPr>
        <w:t>European</w:t>
      </w:r>
      <w:r>
        <w:rPr>
          <w:color w:val="231F20"/>
          <w:spacing w:val="-15"/>
        </w:rPr>
        <w:t> </w:t>
      </w:r>
      <w:r>
        <w:rPr>
          <w:color w:val="231F20"/>
        </w:rPr>
        <w:t>Community on administrative cooperation in the tax sector. The first </w:t>
      </w:r>
      <w:r>
        <w:rPr>
          <w:color w:val="231F20"/>
        </w:rPr>
        <w:t>(76/308/EEC) established «mutual assistance for the recovery of claims resulting from custom duties and taxes», while the second directive (77/799/EEC) intro- duced</w:t>
      </w:r>
      <w:r>
        <w:rPr>
          <w:color w:val="231F20"/>
          <w:spacing w:val="-4"/>
        </w:rPr>
        <w:t> </w:t>
      </w:r>
      <w:r>
        <w:rPr>
          <w:color w:val="231F20"/>
        </w:rPr>
        <w:t>a</w:t>
      </w:r>
      <w:r>
        <w:rPr>
          <w:color w:val="231F20"/>
          <w:spacing w:val="-4"/>
        </w:rPr>
        <w:t> </w:t>
      </w:r>
      <w:r>
        <w:rPr>
          <w:color w:val="231F20"/>
        </w:rPr>
        <w:t>procedure</w:t>
      </w:r>
      <w:r>
        <w:rPr>
          <w:color w:val="231F20"/>
          <w:spacing w:val="-4"/>
        </w:rPr>
        <w:t> </w:t>
      </w:r>
      <w:r>
        <w:rPr>
          <w:color w:val="231F20"/>
        </w:rPr>
        <w:t>for</w:t>
      </w:r>
      <w:r>
        <w:rPr>
          <w:color w:val="231F20"/>
          <w:spacing w:val="-4"/>
        </w:rPr>
        <w:t> </w:t>
      </w:r>
      <w:r>
        <w:rPr>
          <w:color w:val="231F20"/>
        </w:rPr>
        <w:t>«mutual</w:t>
      </w:r>
      <w:r>
        <w:rPr>
          <w:color w:val="231F20"/>
          <w:spacing w:val="-4"/>
        </w:rPr>
        <w:t> </w:t>
      </w:r>
      <w:r>
        <w:rPr>
          <w:color w:val="231F20"/>
        </w:rPr>
        <w:t>assistance</w:t>
      </w:r>
      <w:r>
        <w:rPr>
          <w:color w:val="231F20"/>
          <w:spacing w:val="-4"/>
        </w:rPr>
        <w:t> </w:t>
      </w:r>
      <w:r>
        <w:rPr>
          <w:color w:val="231F20"/>
        </w:rPr>
        <w:t>(exchange</w:t>
      </w:r>
      <w:r>
        <w:rPr>
          <w:color w:val="231F20"/>
          <w:spacing w:val="-4"/>
        </w:rPr>
        <w:t> </w:t>
      </w:r>
      <w:r>
        <w:rPr>
          <w:color w:val="231F20"/>
        </w:rPr>
        <w:t>of</w:t>
      </w:r>
      <w:r>
        <w:rPr>
          <w:color w:val="231F20"/>
          <w:spacing w:val="-4"/>
        </w:rPr>
        <w:t> </w:t>
      </w:r>
      <w:r>
        <w:rPr>
          <w:color w:val="231F20"/>
        </w:rPr>
        <w:t>information)</w:t>
      </w:r>
      <w:r>
        <w:rPr>
          <w:color w:val="231F20"/>
          <w:spacing w:val="-4"/>
        </w:rPr>
        <w:t> </w:t>
      </w:r>
      <w:r>
        <w:rPr>
          <w:color w:val="231F20"/>
        </w:rPr>
        <w:t>in</w:t>
      </w:r>
      <w:r>
        <w:rPr>
          <w:color w:val="231F20"/>
          <w:spacing w:val="-4"/>
        </w:rPr>
        <w:t> </w:t>
      </w:r>
      <w:r>
        <w:rPr>
          <w:color w:val="231F20"/>
        </w:rPr>
        <w:t>the field of direct taxation». For many years, these two directives constituted</w:t>
      </w:r>
      <w:r>
        <w:rPr>
          <w:color w:val="231F20"/>
          <w:spacing w:val="80"/>
        </w:rPr>
        <w:t> </w:t>
      </w:r>
      <w:r>
        <w:rPr>
          <w:color w:val="231F20"/>
        </w:rPr>
        <w:t>a sub-sector of European tax legislation that was significantly secondary compared to the much more relevant and substantial directives that har- monized</w:t>
      </w:r>
      <w:r>
        <w:rPr>
          <w:color w:val="231F20"/>
          <w:spacing w:val="-2"/>
        </w:rPr>
        <w:t> </w:t>
      </w:r>
      <w:r>
        <w:rPr>
          <w:color w:val="231F20"/>
        </w:rPr>
        <w:t>the</w:t>
      </w:r>
      <w:r>
        <w:rPr>
          <w:color w:val="231F20"/>
          <w:spacing w:val="-2"/>
        </w:rPr>
        <w:t> </w:t>
      </w:r>
      <w:r>
        <w:rPr>
          <w:color w:val="231F20"/>
        </w:rPr>
        <w:t>legislation</w:t>
      </w:r>
      <w:r>
        <w:rPr>
          <w:color w:val="231F20"/>
          <w:spacing w:val="-2"/>
        </w:rPr>
        <w:t> </w:t>
      </w:r>
      <w:r>
        <w:rPr>
          <w:color w:val="231F20"/>
        </w:rPr>
        <w:t>of</w:t>
      </w:r>
      <w:r>
        <w:rPr>
          <w:color w:val="231F20"/>
          <w:spacing w:val="-2"/>
        </w:rPr>
        <w:t> </w:t>
      </w:r>
      <w:r>
        <w:rPr>
          <w:color w:val="231F20"/>
        </w:rPr>
        <w:t>the</w:t>
      </w:r>
      <w:r>
        <w:rPr>
          <w:color w:val="231F20"/>
          <w:spacing w:val="-2"/>
        </w:rPr>
        <w:t> </w:t>
      </w:r>
      <w:r>
        <w:rPr>
          <w:color w:val="231F20"/>
        </w:rPr>
        <w:t>Member</w:t>
      </w:r>
      <w:r>
        <w:rPr>
          <w:color w:val="231F20"/>
          <w:spacing w:val="-2"/>
        </w:rPr>
        <w:t> </w:t>
      </w:r>
      <w:r>
        <w:rPr>
          <w:color w:val="231F20"/>
        </w:rPr>
        <w:t>States</w:t>
      </w:r>
      <w:r>
        <w:rPr>
          <w:color w:val="231F20"/>
          <w:spacing w:val="-2"/>
        </w:rPr>
        <w:t> </w:t>
      </w:r>
      <w:r>
        <w:rPr>
          <w:color w:val="231F20"/>
        </w:rPr>
        <w:t>governing</w:t>
      </w:r>
      <w:r>
        <w:rPr>
          <w:color w:val="231F20"/>
          <w:spacing w:val="-2"/>
        </w:rPr>
        <w:t> </w:t>
      </w:r>
      <w:r>
        <w:rPr>
          <w:color w:val="231F20"/>
        </w:rPr>
        <w:t>the</w:t>
      </w:r>
      <w:r>
        <w:rPr>
          <w:color w:val="231F20"/>
          <w:spacing w:val="-2"/>
        </w:rPr>
        <w:t> </w:t>
      </w:r>
      <w:r>
        <w:rPr>
          <w:color w:val="231F20"/>
        </w:rPr>
        <w:t>main</w:t>
      </w:r>
      <w:r>
        <w:rPr>
          <w:color w:val="231F20"/>
          <w:spacing w:val="-2"/>
        </w:rPr>
        <w:t> </w:t>
      </w:r>
      <w:r>
        <w:rPr>
          <w:color w:val="231F20"/>
        </w:rPr>
        <w:t>indirect taxes (VAT, excise duties, and capital duty), as well as certain operations between</w:t>
      </w:r>
      <w:r>
        <w:rPr>
          <w:color w:val="231F20"/>
          <w:spacing w:val="-4"/>
        </w:rPr>
        <w:t> </w:t>
      </w:r>
      <w:r>
        <w:rPr>
          <w:color w:val="231F20"/>
        </w:rPr>
        <w:t>associated</w:t>
      </w:r>
      <w:r>
        <w:rPr>
          <w:color w:val="231F20"/>
          <w:spacing w:val="-4"/>
        </w:rPr>
        <w:t> </w:t>
      </w:r>
      <w:r>
        <w:rPr>
          <w:color w:val="231F20"/>
        </w:rPr>
        <w:t>companies</w:t>
      </w:r>
      <w:r>
        <w:rPr>
          <w:color w:val="231F20"/>
          <w:spacing w:val="-4"/>
        </w:rPr>
        <w:t> </w:t>
      </w:r>
      <w:r>
        <w:rPr>
          <w:color w:val="231F20"/>
        </w:rPr>
        <w:t>incorporated</w:t>
      </w:r>
      <w:r>
        <w:rPr>
          <w:color w:val="231F20"/>
          <w:spacing w:val="-4"/>
        </w:rPr>
        <w:t> </w:t>
      </w:r>
      <w:r>
        <w:rPr>
          <w:color w:val="231F20"/>
        </w:rPr>
        <w:t>in</w:t>
      </w:r>
      <w:r>
        <w:rPr>
          <w:color w:val="231F20"/>
          <w:spacing w:val="-4"/>
        </w:rPr>
        <w:t> </w:t>
      </w:r>
      <w:r>
        <w:rPr>
          <w:color w:val="231F20"/>
        </w:rPr>
        <w:t>different</w:t>
      </w:r>
      <w:r>
        <w:rPr>
          <w:color w:val="231F20"/>
          <w:spacing w:val="-4"/>
        </w:rPr>
        <w:t> </w:t>
      </w:r>
      <w:r>
        <w:rPr>
          <w:color w:val="231F20"/>
        </w:rPr>
        <w:t>Member</w:t>
      </w:r>
      <w:r>
        <w:rPr>
          <w:color w:val="231F20"/>
          <w:spacing w:val="-4"/>
        </w:rPr>
        <w:t> </w:t>
      </w:r>
      <w:r>
        <w:rPr>
          <w:color w:val="231F20"/>
        </w:rPr>
        <w:t>States.</w:t>
      </w:r>
      <w:r>
        <w:rPr>
          <w:color w:val="231F20"/>
          <w:spacing w:val="-4"/>
        </w:rPr>
        <w:t> </w:t>
      </w:r>
      <w:r>
        <w:rPr>
          <w:color w:val="231F20"/>
        </w:rPr>
        <w:t>It was</w:t>
      </w:r>
      <w:r>
        <w:rPr>
          <w:color w:val="231F20"/>
          <w:spacing w:val="9"/>
        </w:rPr>
        <w:t> </w:t>
      </w:r>
      <w:r>
        <w:rPr>
          <w:color w:val="231F20"/>
        </w:rPr>
        <w:t>from</w:t>
      </w:r>
      <w:r>
        <w:rPr>
          <w:color w:val="231F20"/>
          <w:spacing w:val="9"/>
        </w:rPr>
        <w:t> </w:t>
      </w:r>
      <w:r>
        <w:rPr>
          <w:color w:val="231F20"/>
        </w:rPr>
        <w:t>the</w:t>
      </w:r>
      <w:r>
        <w:rPr>
          <w:color w:val="231F20"/>
          <w:spacing w:val="9"/>
        </w:rPr>
        <w:t> </w:t>
      </w:r>
      <w:r>
        <w:rPr>
          <w:color w:val="231F20"/>
        </w:rPr>
        <w:t>adoption</w:t>
      </w:r>
      <w:r>
        <w:rPr>
          <w:color w:val="231F20"/>
          <w:spacing w:val="10"/>
        </w:rPr>
        <w:t> </w:t>
      </w:r>
      <w:r>
        <w:rPr>
          <w:color w:val="231F20"/>
        </w:rPr>
        <w:t>of</w:t>
      </w:r>
      <w:r>
        <w:rPr>
          <w:color w:val="231F20"/>
          <w:spacing w:val="9"/>
        </w:rPr>
        <w:t> </w:t>
      </w:r>
      <w:r>
        <w:rPr>
          <w:color w:val="231F20"/>
        </w:rPr>
        <w:t>the</w:t>
      </w:r>
      <w:r>
        <w:rPr>
          <w:color w:val="231F20"/>
          <w:spacing w:val="9"/>
        </w:rPr>
        <w:t> </w:t>
      </w:r>
      <w:r>
        <w:rPr>
          <w:color w:val="231F20"/>
        </w:rPr>
        <w:t>first</w:t>
      </w:r>
      <w:r>
        <w:rPr>
          <w:color w:val="231F20"/>
          <w:spacing w:val="10"/>
        </w:rPr>
        <w:t> </w:t>
      </w:r>
      <w:r>
        <w:rPr>
          <w:color w:val="231F20"/>
        </w:rPr>
        <w:t>major</w:t>
      </w:r>
      <w:r>
        <w:rPr>
          <w:color w:val="231F20"/>
          <w:spacing w:val="9"/>
        </w:rPr>
        <w:t> </w:t>
      </w:r>
      <w:r>
        <w:rPr>
          <w:color w:val="231F20"/>
        </w:rPr>
        <w:t>directive</w:t>
      </w:r>
      <w:r>
        <w:rPr>
          <w:color w:val="231F20"/>
          <w:spacing w:val="9"/>
        </w:rPr>
        <w:t> </w:t>
      </w:r>
      <w:r>
        <w:rPr>
          <w:color w:val="231F20"/>
        </w:rPr>
        <w:t>2011/16/EU</w:t>
      </w:r>
      <w:r>
        <w:rPr>
          <w:rFonts w:ascii="Times New Roman" w:hAnsi="Times New Roman"/>
          <w:color w:val="231F20"/>
          <w:position w:val="8"/>
          <w:sz w:val="14"/>
        </w:rPr>
        <w:t>1</w:t>
      </w:r>
      <w:r>
        <w:rPr>
          <w:color w:val="231F20"/>
        </w:rPr>
        <w:t>(so-</w:t>
      </w:r>
      <w:r>
        <w:rPr>
          <w:color w:val="231F20"/>
          <w:spacing w:val="-2"/>
        </w:rPr>
        <w:t>called</w:t>
      </w:r>
    </w:p>
    <w:p>
      <w:pPr>
        <w:pStyle w:val="BodyText"/>
        <w:spacing w:before="11"/>
        <w:rPr>
          <w:sz w:val="17"/>
        </w:rPr>
      </w:pPr>
      <w:r>
        <w:rPr/>
        <mc:AlternateContent>
          <mc:Choice Requires="wps">
            <w:drawing>
              <wp:anchor distT="0" distB="0" distL="0" distR="0" allowOverlap="1" layoutInCell="1" locked="0" behindDoc="1" simplePos="0" relativeHeight="487588864">
                <wp:simplePos x="0" y="0"/>
                <wp:positionH relativeFrom="page">
                  <wp:posOffset>864000</wp:posOffset>
                </wp:positionH>
                <wp:positionV relativeFrom="paragraph">
                  <wp:posOffset>159537</wp:posOffset>
                </wp:positionV>
                <wp:extent cx="792480" cy="1270"/>
                <wp:effectExtent l="0" t="0" r="0" b="0"/>
                <wp:wrapTopAndBottom/>
                <wp:docPr id="15" name="Graphic 15"/>
                <wp:cNvGraphicFramePr>
                  <a:graphicFrameLocks/>
                </wp:cNvGraphicFramePr>
                <a:graphic>
                  <a:graphicData uri="http://schemas.microsoft.com/office/word/2010/wordprocessingShape">
                    <wps:wsp>
                      <wps:cNvPr id="15" name="Graphic 15"/>
                      <wps:cNvSpPr/>
                      <wps:spPr>
                        <a:xfrm>
                          <a:off x="0" y="0"/>
                          <a:ext cx="792480" cy="1270"/>
                        </a:xfrm>
                        <a:custGeom>
                          <a:avLst/>
                          <a:gdLst/>
                          <a:ahLst/>
                          <a:cxnLst/>
                          <a:rect l="l" t="t" r="r" b="b"/>
                          <a:pathLst>
                            <a:path w="792480" h="0">
                              <a:moveTo>
                                <a:pt x="0" y="0"/>
                              </a:moveTo>
                              <a:lnTo>
                                <a:pt x="791997"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shape style="position:absolute;margin-left:68.031502pt;margin-top:12.561986pt;width:62.4pt;height:.1pt;mso-position-horizontal-relative:page;mso-position-vertical-relative:paragraph;z-index:-15727616;mso-wrap-distance-left:0;mso-wrap-distance-right:0" id="docshape12" coordorigin="1361,251" coordsize="1248,0" path="m1361,251l2608,251e" filled="false" stroked="true" strokeweight=".5pt" strokecolor="#231f20">
                <v:path arrowok="t"/>
                <v:stroke dashstyle="solid"/>
                <w10:wrap type="topAndBottom"/>
              </v:shape>
            </w:pict>
          </mc:Fallback>
        </mc:AlternateContent>
      </w:r>
    </w:p>
    <w:p>
      <w:pPr>
        <w:tabs>
          <w:tab w:pos="401" w:val="left" w:leader="none"/>
        </w:tabs>
        <w:spacing w:line="225" w:lineRule="auto" w:before="201"/>
        <w:ind w:left="100" w:right="174" w:firstLine="0"/>
        <w:jc w:val="left"/>
        <w:rPr>
          <w:sz w:val="19"/>
        </w:rPr>
      </w:pPr>
      <w:r>
        <w:rPr>
          <w:color w:val="231F20"/>
          <w:spacing w:val="-10"/>
          <w:position w:val="6"/>
          <w:sz w:val="11"/>
        </w:rPr>
        <w:t>1</w:t>
      </w:r>
      <w:r>
        <w:rPr>
          <w:color w:val="231F20"/>
          <w:position w:val="6"/>
          <w:sz w:val="11"/>
        </w:rPr>
        <w:tab/>
      </w:r>
      <w:r>
        <w:rPr>
          <w:color w:val="231F20"/>
          <w:sz w:val="19"/>
        </w:rPr>
        <w:t>Directive</w:t>
      </w:r>
      <w:r>
        <w:rPr>
          <w:color w:val="231F20"/>
          <w:spacing w:val="23"/>
          <w:sz w:val="19"/>
        </w:rPr>
        <w:t> </w:t>
      </w:r>
      <w:r>
        <w:rPr>
          <w:color w:val="231F20"/>
          <w:sz w:val="19"/>
        </w:rPr>
        <w:t>2011/16/EU</w:t>
      </w:r>
      <w:r>
        <w:rPr>
          <w:color w:val="231F20"/>
          <w:spacing w:val="23"/>
          <w:sz w:val="19"/>
        </w:rPr>
        <w:t> </w:t>
      </w:r>
      <w:r>
        <w:rPr>
          <w:color w:val="231F20"/>
          <w:sz w:val="19"/>
        </w:rPr>
        <w:t>of</w:t>
      </w:r>
      <w:r>
        <w:rPr>
          <w:color w:val="231F20"/>
          <w:spacing w:val="23"/>
          <w:sz w:val="19"/>
        </w:rPr>
        <w:t> </w:t>
      </w:r>
      <w:r>
        <w:rPr>
          <w:color w:val="231F20"/>
          <w:sz w:val="19"/>
        </w:rPr>
        <w:t>15</w:t>
      </w:r>
      <w:r>
        <w:rPr>
          <w:color w:val="231F20"/>
          <w:spacing w:val="23"/>
          <w:sz w:val="19"/>
        </w:rPr>
        <w:t> </w:t>
      </w:r>
      <w:r>
        <w:rPr>
          <w:color w:val="231F20"/>
          <w:sz w:val="19"/>
        </w:rPr>
        <w:t>February</w:t>
      </w:r>
      <w:r>
        <w:rPr>
          <w:color w:val="231F20"/>
          <w:spacing w:val="23"/>
          <w:sz w:val="19"/>
        </w:rPr>
        <w:t> </w:t>
      </w:r>
      <w:r>
        <w:rPr>
          <w:color w:val="231F20"/>
          <w:sz w:val="19"/>
        </w:rPr>
        <w:t>2011,</w:t>
      </w:r>
      <w:r>
        <w:rPr>
          <w:color w:val="231F20"/>
          <w:spacing w:val="23"/>
          <w:sz w:val="19"/>
        </w:rPr>
        <w:t> </w:t>
      </w:r>
      <w:r>
        <w:rPr>
          <w:color w:val="231F20"/>
          <w:sz w:val="19"/>
        </w:rPr>
        <w:t>on</w:t>
      </w:r>
      <w:r>
        <w:rPr>
          <w:color w:val="231F20"/>
          <w:spacing w:val="23"/>
          <w:sz w:val="19"/>
        </w:rPr>
        <w:t> </w:t>
      </w:r>
      <w:r>
        <w:rPr>
          <w:color w:val="231F20"/>
          <w:sz w:val="19"/>
        </w:rPr>
        <w:t>administrative</w:t>
      </w:r>
      <w:r>
        <w:rPr>
          <w:color w:val="231F20"/>
          <w:spacing w:val="23"/>
          <w:sz w:val="19"/>
        </w:rPr>
        <w:t> </w:t>
      </w:r>
      <w:r>
        <w:rPr>
          <w:color w:val="231F20"/>
          <w:sz w:val="19"/>
        </w:rPr>
        <w:t>cooperation</w:t>
      </w:r>
      <w:r>
        <w:rPr>
          <w:color w:val="231F20"/>
          <w:spacing w:val="23"/>
          <w:sz w:val="19"/>
        </w:rPr>
        <w:t> </w:t>
      </w:r>
      <w:r>
        <w:rPr>
          <w:color w:val="231F20"/>
          <w:sz w:val="19"/>
        </w:rPr>
        <w:t>in</w:t>
      </w:r>
      <w:r>
        <w:rPr>
          <w:color w:val="231F20"/>
          <w:spacing w:val="23"/>
          <w:sz w:val="19"/>
        </w:rPr>
        <w:t> </w:t>
      </w:r>
      <w:r>
        <w:rPr>
          <w:color w:val="231F20"/>
          <w:sz w:val="19"/>
        </w:rPr>
        <w:t>the</w:t>
      </w:r>
      <w:r>
        <w:rPr>
          <w:color w:val="231F20"/>
          <w:spacing w:val="23"/>
          <w:sz w:val="19"/>
        </w:rPr>
        <w:t> </w:t>
      </w:r>
      <w:r>
        <w:rPr>
          <w:color w:val="231F20"/>
          <w:sz w:val="19"/>
        </w:rPr>
        <w:t>tax sector (OJEU L 64, 11 March 2011).</w:t>
      </w:r>
    </w:p>
    <w:p>
      <w:pPr>
        <w:spacing w:after="0" w:line="225" w:lineRule="auto"/>
        <w:jc w:val="left"/>
        <w:rPr>
          <w:sz w:val="19"/>
        </w:rPr>
        <w:sectPr>
          <w:headerReference w:type="even" r:id="rId8"/>
          <w:headerReference w:type="default" r:id="rId9"/>
          <w:pgSz w:w="9640" w:h="13610"/>
          <w:pgMar w:header="624" w:footer="0" w:top="1260" w:bottom="820" w:left="1260" w:right="1240"/>
        </w:sectPr>
      </w:pPr>
    </w:p>
    <w:p>
      <w:pPr>
        <w:pStyle w:val="BodyText"/>
        <w:spacing w:line="225" w:lineRule="auto" w:before="117"/>
        <w:ind w:left="157" w:right="117"/>
        <w:jc w:val="both"/>
      </w:pPr>
      <w:r>
        <w:rPr/>
        <mc:AlternateContent>
          <mc:Choice Requires="wps">
            <w:drawing>
              <wp:anchor distT="0" distB="0" distL="0" distR="0" allowOverlap="1" layoutInCell="1" locked="0" behindDoc="0" simplePos="0" relativeHeight="15730688">
                <wp:simplePos x="0" y="0"/>
                <wp:positionH relativeFrom="page">
                  <wp:posOffset>5608609</wp:posOffset>
                </wp:positionH>
                <wp:positionV relativeFrom="page">
                  <wp:posOffset>2376001</wp:posOffset>
                </wp:positionV>
                <wp:extent cx="511809" cy="2412365"/>
                <wp:effectExtent l="0" t="0" r="0" b="0"/>
                <wp:wrapNone/>
                <wp:docPr id="18" name="Group 18"/>
                <wp:cNvGraphicFramePr>
                  <a:graphicFrameLocks/>
                </wp:cNvGraphicFramePr>
                <a:graphic>
                  <a:graphicData uri="http://schemas.microsoft.com/office/word/2010/wordprocessingGroup">
                    <wpg:wgp>
                      <wpg:cNvPr id="18" name="Group 18"/>
                      <wpg:cNvGrpSpPr/>
                      <wpg:grpSpPr>
                        <a:xfrm>
                          <a:off x="0" y="0"/>
                          <a:ext cx="511809" cy="2412365"/>
                          <a:chExt cx="511809" cy="2412365"/>
                        </a:xfrm>
                      </wpg:grpSpPr>
                      <wps:wsp>
                        <wps:cNvPr id="19" name="Graphic 19"/>
                        <wps:cNvSpPr/>
                        <wps:spPr>
                          <a:xfrm>
                            <a:off x="7393" y="3"/>
                            <a:ext cx="504190" cy="360045"/>
                          </a:xfrm>
                          <a:custGeom>
                            <a:avLst/>
                            <a:gdLst/>
                            <a:ahLst/>
                            <a:cxnLst/>
                            <a:rect l="l" t="t" r="r" b="b"/>
                            <a:pathLst>
                              <a:path w="504190" h="360045">
                                <a:moveTo>
                                  <a:pt x="503999" y="0"/>
                                </a:moveTo>
                                <a:lnTo>
                                  <a:pt x="0" y="0"/>
                                </a:lnTo>
                                <a:lnTo>
                                  <a:pt x="0" y="359994"/>
                                </a:lnTo>
                                <a:lnTo>
                                  <a:pt x="503999" y="359994"/>
                                </a:lnTo>
                                <a:lnTo>
                                  <a:pt x="503999" y="0"/>
                                </a:lnTo>
                                <a:close/>
                              </a:path>
                            </a:pathLst>
                          </a:custGeom>
                          <a:solidFill>
                            <a:srgbClr val="939598"/>
                          </a:solidFill>
                        </wps:spPr>
                        <wps:bodyPr wrap="square" lIns="0" tIns="0" rIns="0" bIns="0" rtlCol="0">
                          <a:prstTxWarp prst="textNoShape">
                            <a:avLst/>
                          </a:prstTxWarp>
                          <a:noAutofit/>
                        </wps:bodyPr>
                      </wps:wsp>
                      <wps:wsp>
                        <wps:cNvPr id="20" name="Graphic 20"/>
                        <wps:cNvSpPr/>
                        <wps:spPr>
                          <a:xfrm>
                            <a:off x="6350" y="0"/>
                            <a:ext cx="1270" cy="2412365"/>
                          </a:xfrm>
                          <a:custGeom>
                            <a:avLst/>
                            <a:gdLst/>
                            <a:ahLst/>
                            <a:cxnLst/>
                            <a:rect l="l" t="t" r="r" b="b"/>
                            <a:pathLst>
                              <a:path w="0" h="2412365">
                                <a:moveTo>
                                  <a:pt x="0" y="0"/>
                                </a:moveTo>
                                <a:lnTo>
                                  <a:pt x="0" y="2411996"/>
                                </a:lnTo>
                              </a:path>
                            </a:pathLst>
                          </a:custGeom>
                          <a:ln w="12700">
                            <a:solidFill>
                              <a:srgbClr val="939598"/>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441.622803pt;margin-top:187.0867pt;width:40.3pt;height:189.95pt;mso-position-horizontal-relative:page;mso-position-vertical-relative:page;z-index:15730688" id="docshapegroup15" coordorigin="8832,3742" coordsize="806,3799">
                <v:rect style="position:absolute;left:8844;top:3741;width:794;height:567" id="docshape16" filled="true" fillcolor="#939598" stroked="false">
                  <v:fill type="solid"/>
                </v:rect>
                <v:line style="position:absolute" from="8842,3742" to="8842,7540" stroked="true" strokeweight="1pt" strokecolor="#939598">
                  <v:stroke dashstyle="solid"/>
                </v:line>
                <w10:wrap type="none"/>
              </v:group>
            </w:pict>
          </mc:Fallback>
        </mc:AlternateContent>
      </w:r>
      <w:r>
        <w:rPr/>
        <mc:AlternateContent>
          <mc:Choice Requires="wps">
            <w:drawing>
              <wp:anchor distT="0" distB="0" distL="0" distR="0" allowOverlap="1" layoutInCell="1" locked="0" behindDoc="0" simplePos="0" relativeHeight="15731200">
                <wp:simplePos x="0" y="0"/>
                <wp:positionH relativeFrom="page">
                  <wp:posOffset>5635147</wp:posOffset>
                </wp:positionH>
                <wp:positionV relativeFrom="page">
                  <wp:posOffset>2795300</wp:posOffset>
                </wp:positionV>
                <wp:extent cx="299720" cy="1995805"/>
                <wp:effectExtent l="0" t="0" r="0" b="0"/>
                <wp:wrapNone/>
                <wp:docPr id="21" name="Textbox 21"/>
                <wp:cNvGraphicFramePr>
                  <a:graphicFrameLocks/>
                </wp:cNvGraphicFramePr>
                <a:graphic>
                  <a:graphicData uri="http://schemas.microsoft.com/office/word/2010/wordprocessingShape">
                    <wps:wsp>
                      <wps:cNvPr id="21" name="Textbox 21"/>
                      <wps:cNvSpPr txBox="1"/>
                      <wps:spPr>
                        <a:xfrm>
                          <a:off x="0" y="0"/>
                          <a:ext cx="299720" cy="1995805"/>
                        </a:xfrm>
                        <a:prstGeom prst="rect">
                          <a:avLst/>
                        </a:prstGeom>
                      </wps:spPr>
                      <wps:txbx>
                        <w:txbxContent>
                          <w:p>
                            <w:pPr>
                              <w:spacing w:before="20"/>
                              <w:ind w:left="20" w:right="0" w:firstLine="0"/>
                              <w:jc w:val="left"/>
                              <w:rPr>
                                <w:rFonts w:ascii="Minion Pro"/>
                                <w:sz w:val="32"/>
                              </w:rPr>
                            </w:pPr>
                            <w:r>
                              <w:rPr>
                                <w:rFonts w:ascii="Minion Pro"/>
                                <w:color w:val="231F20"/>
                                <w:sz w:val="32"/>
                              </w:rPr>
                              <w:t>Commented</w:t>
                            </w:r>
                            <w:r>
                              <w:rPr>
                                <w:rFonts w:ascii="Minion Pro"/>
                                <w:color w:val="231F20"/>
                                <w:spacing w:val="-10"/>
                                <w:sz w:val="32"/>
                              </w:rPr>
                              <w:t> </w:t>
                            </w:r>
                            <w:r>
                              <w:rPr>
                                <w:rFonts w:ascii="Minion Pro"/>
                                <w:color w:val="231F20"/>
                                <w:spacing w:val="-2"/>
                                <w:sz w:val="32"/>
                              </w:rPr>
                              <w:t>documents</w:t>
                            </w:r>
                          </w:p>
                        </w:txbxContent>
                      </wps:txbx>
                      <wps:bodyPr wrap="square" lIns="0" tIns="0" rIns="0" bIns="0" rtlCol="0" vert="vert">
                        <a:noAutofit/>
                      </wps:bodyPr>
                    </wps:wsp>
                  </a:graphicData>
                </a:graphic>
              </wp:anchor>
            </w:drawing>
          </mc:Choice>
          <mc:Fallback>
            <w:pict>
              <v:shape style="position:absolute;margin-left:443.712402pt;margin-top:220.102402pt;width:23.6pt;height:157.15pt;mso-position-horizontal-relative:page;mso-position-vertical-relative:page;z-index:15731200" type="#_x0000_t202" id="docshape17" filled="false" stroked="false">
                <v:textbox inset="0,0,0,0" style="layout-flow:vertical">
                  <w:txbxContent>
                    <w:p>
                      <w:pPr>
                        <w:spacing w:before="20"/>
                        <w:ind w:left="20" w:right="0" w:firstLine="0"/>
                        <w:jc w:val="left"/>
                        <w:rPr>
                          <w:rFonts w:ascii="Minion Pro"/>
                          <w:sz w:val="32"/>
                        </w:rPr>
                      </w:pPr>
                      <w:r>
                        <w:rPr>
                          <w:rFonts w:ascii="Minion Pro"/>
                          <w:color w:val="231F20"/>
                          <w:sz w:val="32"/>
                        </w:rPr>
                        <w:t>Commented</w:t>
                      </w:r>
                      <w:r>
                        <w:rPr>
                          <w:rFonts w:ascii="Minion Pro"/>
                          <w:color w:val="231F20"/>
                          <w:spacing w:val="-10"/>
                          <w:sz w:val="32"/>
                        </w:rPr>
                        <w:t> </w:t>
                      </w:r>
                      <w:r>
                        <w:rPr>
                          <w:rFonts w:ascii="Minion Pro"/>
                          <w:color w:val="231F20"/>
                          <w:spacing w:val="-2"/>
                          <w:sz w:val="32"/>
                        </w:rPr>
                        <w:t>documents</w:t>
                      </w:r>
                    </w:p>
                  </w:txbxContent>
                </v:textbox>
                <w10:wrap type="none"/>
              </v:shape>
            </w:pict>
          </mc:Fallback>
        </mc:AlternateContent>
      </w:r>
      <w:r>
        <w:rPr>
          <w:color w:val="231F20"/>
        </w:rPr>
        <w:t>DAC 1) on administrative cooperation between tax administrations, later complemented</w:t>
      </w:r>
      <w:r>
        <w:rPr>
          <w:color w:val="231F20"/>
          <w:spacing w:val="-3"/>
        </w:rPr>
        <w:t> </w:t>
      </w:r>
      <w:r>
        <w:rPr>
          <w:color w:val="231F20"/>
        </w:rPr>
        <w:t>by</w:t>
      </w:r>
      <w:r>
        <w:rPr>
          <w:color w:val="231F20"/>
          <w:spacing w:val="-3"/>
        </w:rPr>
        <w:t> </w:t>
      </w:r>
      <w:r>
        <w:rPr>
          <w:color w:val="231F20"/>
        </w:rPr>
        <w:t>seven</w:t>
      </w:r>
      <w:r>
        <w:rPr>
          <w:color w:val="231F20"/>
          <w:spacing w:val="-3"/>
        </w:rPr>
        <w:t> </w:t>
      </w:r>
      <w:r>
        <w:rPr>
          <w:color w:val="231F20"/>
        </w:rPr>
        <w:t>other</w:t>
      </w:r>
      <w:r>
        <w:rPr>
          <w:color w:val="231F20"/>
          <w:spacing w:val="-3"/>
        </w:rPr>
        <w:t> </w:t>
      </w:r>
      <w:r>
        <w:rPr>
          <w:color w:val="231F20"/>
        </w:rPr>
        <w:t>DAC</w:t>
      </w:r>
      <w:r>
        <w:rPr>
          <w:color w:val="231F20"/>
          <w:spacing w:val="-3"/>
        </w:rPr>
        <w:t> </w:t>
      </w:r>
      <w:r>
        <w:rPr>
          <w:color w:val="231F20"/>
        </w:rPr>
        <w:t>directives,</w:t>
      </w:r>
      <w:r>
        <w:rPr>
          <w:color w:val="231F20"/>
          <w:spacing w:val="-3"/>
        </w:rPr>
        <w:t> </w:t>
      </w:r>
      <w:r>
        <w:rPr>
          <w:color w:val="231F20"/>
        </w:rPr>
        <w:t>that</w:t>
      </w:r>
      <w:r>
        <w:rPr>
          <w:color w:val="231F20"/>
          <w:spacing w:val="-3"/>
        </w:rPr>
        <w:t> </w:t>
      </w:r>
      <w:r>
        <w:rPr>
          <w:color w:val="231F20"/>
        </w:rPr>
        <w:t>the</w:t>
      </w:r>
      <w:r>
        <w:rPr>
          <w:color w:val="231F20"/>
          <w:spacing w:val="-3"/>
        </w:rPr>
        <w:t> </w:t>
      </w:r>
      <w:r>
        <w:rPr>
          <w:color w:val="231F20"/>
        </w:rPr>
        <w:t>legislative</w:t>
      </w:r>
      <w:r>
        <w:rPr>
          <w:color w:val="231F20"/>
          <w:spacing w:val="-3"/>
        </w:rPr>
        <w:t> </w:t>
      </w:r>
      <w:r>
        <w:rPr>
          <w:color w:val="231F20"/>
        </w:rPr>
        <w:t>produc- tion</w:t>
      </w:r>
      <w:r>
        <w:rPr>
          <w:color w:val="231F20"/>
          <w:spacing w:val="-12"/>
        </w:rPr>
        <w:t> </w:t>
      </w:r>
      <w:r>
        <w:rPr>
          <w:color w:val="231F20"/>
        </w:rPr>
        <w:t>of</w:t>
      </w:r>
      <w:r>
        <w:rPr>
          <w:color w:val="231F20"/>
          <w:spacing w:val="-12"/>
        </w:rPr>
        <w:t> </w:t>
      </w:r>
      <w:r>
        <w:rPr>
          <w:color w:val="231F20"/>
        </w:rPr>
        <w:t>the</w:t>
      </w:r>
      <w:r>
        <w:rPr>
          <w:color w:val="231F20"/>
          <w:spacing w:val="-12"/>
        </w:rPr>
        <w:t> </w:t>
      </w:r>
      <w:r>
        <w:rPr>
          <w:color w:val="231F20"/>
        </w:rPr>
        <w:t>European</w:t>
      </w:r>
      <w:r>
        <w:rPr>
          <w:color w:val="231F20"/>
          <w:spacing w:val="-12"/>
        </w:rPr>
        <w:t> </w:t>
      </w:r>
      <w:r>
        <w:rPr>
          <w:color w:val="231F20"/>
        </w:rPr>
        <w:t>Union</w:t>
      </w:r>
      <w:r>
        <w:rPr>
          <w:color w:val="231F20"/>
          <w:spacing w:val="-12"/>
        </w:rPr>
        <w:t> </w:t>
      </w:r>
      <w:r>
        <w:rPr>
          <w:color w:val="231F20"/>
        </w:rPr>
        <w:t>in</w:t>
      </w:r>
      <w:r>
        <w:rPr>
          <w:color w:val="231F20"/>
          <w:spacing w:val="-12"/>
        </w:rPr>
        <w:t> </w:t>
      </w:r>
      <w:r>
        <w:rPr>
          <w:color w:val="231F20"/>
        </w:rPr>
        <w:t>this</w:t>
      </w:r>
      <w:r>
        <w:rPr>
          <w:color w:val="231F20"/>
          <w:spacing w:val="-12"/>
        </w:rPr>
        <w:t> </w:t>
      </w:r>
      <w:r>
        <w:rPr>
          <w:color w:val="231F20"/>
        </w:rPr>
        <w:t>sector</w:t>
      </w:r>
      <w:r>
        <w:rPr>
          <w:color w:val="231F20"/>
          <w:spacing w:val="-12"/>
        </w:rPr>
        <w:t> </w:t>
      </w:r>
      <w:r>
        <w:rPr>
          <w:color w:val="231F20"/>
        </w:rPr>
        <w:t>experienced</w:t>
      </w:r>
      <w:r>
        <w:rPr>
          <w:color w:val="231F20"/>
          <w:spacing w:val="-12"/>
        </w:rPr>
        <w:t> </w:t>
      </w:r>
      <w:r>
        <w:rPr>
          <w:color w:val="231F20"/>
        </w:rPr>
        <w:t>rapid,</w:t>
      </w:r>
      <w:r>
        <w:rPr>
          <w:color w:val="231F20"/>
          <w:spacing w:val="-12"/>
        </w:rPr>
        <w:t> </w:t>
      </w:r>
      <w:r>
        <w:rPr>
          <w:color w:val="231F20"/>
        </w:rPr>
        <w:t>if</w:t>
      </w:r>
      <w:r>
        <w:rPr>
          <w:color w:val="231F20"/>
          <w:spacing w:val="-12"/>
        </w:rPr>
        <w:t> </w:t>
      </w:r>
      <w:r>
        <w:rPr>
          <w:color w:val="231F20"/>
        </w:rPr>
        <w:t>not</w:t>
      </w:r>
      <w:r>
        <w:rPr>
          <w:color w:val="231F20"/>
          <w:spacing w:val="-12"/>
        </w:rPr>
        <w:t> </w:t>
      </w:r>
      <w:r>
        <w:rPr>
          <w:color w:val="231F20"/>
        </w:rPr>
        <w:t>impetu- ous,</w:t>
      </w:r>
      <w:r>
        <w:rPr>
          <w:color w:val="231F20"/>
          <w:spacing w:val="-12"/>
        </w:rPr>
        <w:t> </w:t>
      </w:r>
      <w:r>
        <w:rPr>
          <w:color w:val="231F20"/>
        </w:rPr>
        <w:t>development</w:t>
      </w:r>
      <w:r>
        <w:rPr>
          <w:color w:val="231F20"/>
          <w:spacing w:val="-12"/>
        </w:rPr>
        <w:t> </w:t>
      </w:r>
      <w:r>
        <w:rPr>
          <w:color w:val="231F20"/>
        </w:rPr>
        <w:t>to</w:t>
      </w:r>
      <w:r>
        <w:rPr>
          <w:color w:val="231F20"/>
          <w:spacing w:val="-12"/>
        </w:rPr>
        <w:t> </w:t>
      </w:r>
      <w:r>
        <w:rPr>
          <w:color w:val="231F20"/>
        </w:rPr>
        <w:t>the</w:t>
      </w:r>
      <w:r>
        <w:rPr>
          <w:color w:val="231F20"/>
          <w:spacing w:val="-12"/>
        </w:rPr>
        <w:t> </w:t>
      </w:r>
      <w:r>
        <w:rPr>
          <w:color w:val="231F20"/>
        </w:rPr>
        <w:t>point</w:t>
      </w:r>
      <w:r>
        <w:rPr>
          <w:color w:val="231F20"/>
          <w:spacing w:val="-12"/>
        </w:rPr>
        <w:t> </w:t>
      </w:r>
      <w:r>
        <w:rPr>
          <w:color w:val="231F20"/>
        </w:rPr>
        <w:t>of</w:t>
      </w:r>
      <w:r>
        <w:rPr>
          <w:color w:val="231F20"/>
          <w:spacing w:val="-12"/>
        </w:rPr>
        <w:t> </w:t>
      </w:r>
      <w:r>
        <w:rPr>
          <w:color w:val="231F20"/>
        </w:rPr>
        <w:t>now</w:t>
      </w:r>
      <w:r>
        <w:rPr>
          <w:color w:val="231F20"/>
          <w:spacing w:val="-12"/>
        </w:rPr>
        <w:t> </w:t>
      </w:r>
      <w:r>
        <w:rPr>
          <w:color w:val="231F20"/>
        </w:rPr>
        <w:t>matching</w:t>
      </w:r>
      <w:r>
        <w:rPr>
          <w:color w:val="231F20"/>
          <w:spacing w:val="-12"/>
        </w:rPr>
        <w:t> </w:t>
      </w:r>
      <w:r>
        <w:rPr>
          <w:color w:val="231F20"/>
        </w:rPr>
        <w:t>in</w:t>
      </w:r>
      <w:r>
        <w:rPr>
          <w:color w:val="231F20"/>
          <w:spacing w:val="-12"/>
        </w:rPr>
        <w:t> </w:t>
      </w:r>
      <w:r>
        <w:rPr>
          <w:color w:val="231F20"/>
        </w:rPr>
        <w:t>consistency</w:t>
      </w:r>
      <w:r>
        <w:rPr>
          <w:color w:val="231F20"/>
          <w:spacing w:val="-12"/>
        </w:rPr>
        <w:t> </w:t>
      </w:r>
      <w:r>
        <w:rPr>
          <w:color w:val="231F20"/>
        </w:rPr>
        <w:t>the</w:t>
      </w:r>
      <w:r>
        <w:rPr>
          <w:color w:val="231F20"/>
          <w:spacing w:val="-12"/>
        </w:rPr>
        <w:t> </w:t>
      </w:r>
      <w:r>
        <w:rPr>
          <w:color w:val="231F20"/>
        </w:rPr>
        <w:t>Union’s legislation on harmonized taxes</w:t>
      </w:r>
      <w:r>
        <w:rPr>
          <w:rFonts w:ascii="Times New Roman" w:hAnsi="Times New Roman"/>
          <w:color w:val="231F20"/>
          <w:position w:val="8"/>
          <w:sz w:val="14"/>
        </w:rPr>
        <w:t>2</w:t>
      </w:r>
      <w:r>
        <w:rPr>
          <w:color w:val="231F20"/>
        </w:rPr>
        <w:t>.</w:t>
      </w:r>
    </w:p>
    <w:p>
      <w:pPr>
        <w:pStyle w:val="BodyText"/>
        <w:spacing w:line="225" w:lineRule="auto" w:before="7"/>
        <w:ind w:left="157" w:right="117" w:firstLine="340"/>
        <w:jc w:val="both"/>
      </w:pPr>
      <w:r>
        <w:rPr>
          <w:color w:val="231F20"/>
        </w:rPr>
        <w:t>By a lucky coincidence, on December 1, 2009, the Charter of Fun- damental Rights of the European Union (hereinafter: CFR or </w:t>
      </w:r>
      <w:r>
        <w:rPr>
          <w:color w:val="231F20"/>
        </w:rPr>
        <w:t>«Charter») came into force with the Lisbon Treaty. Among such fundamental rights there</w:t>
      </w:r>
      <w:r>
        <w:rPr>
          <w:color w:val="231F20"/>
          <w:spacing w:val="-12"/>
        </w:rPr>
        <w:t> </w:t>
      </w:r>
      <w:r>
        <w:rPr>
          <w:color w:val="231F20"/>
        </w:rPr>
        <w:t>are</w:t>
      </w:r>
      <w:r>
        <w:rPr>
          <w:color w:val="231F20"/>
          <w:spacing w:val="-12"/>
        </w:rPr>
        <w:t> </w:t>
      </w:r>
      <w:r>
        <w:rPr>
          <w:color w:val="231F20"/>
        </w:rPr>
        <w:t>at</w:t>
      </w:r>
      <w:r>
        <w:rPr>
          <w:color w:val="231F20"/>
          <w:spacing w:val="-12"/>
        </w:rPr>
        <w:t> </w:t>
      </w:r>
      <w:r>
        <w:rPr>
          <w:color w:val="231F20"/>
        </w:rPr>
        <w:t>least</w:t>
      </w:r>
      <w:r>
        <w:rPr>
          <w:color w:val="231F20"/>
          <w:spacing w:val="-12"/>
        </w:rPr>
        <w:t> </w:t>
      </w:r>
      <w:r>
        <w:rPr>
          <w:color w:val="231F20"/>
        </w:rPr>
        <w:t>two</w:t>
      </w:r>
      <w:r>
        <w:rPr>
          <w:color w:val="231F20"/>
          <w:spacing w:val="-12"/>
        </w:rPr>
        <w:t> </w:t>
      </w:r>
      <w:r>
        <w:rPr>
          <w:color w:val="231F20"/>
        </w:rPr>
        <w:t>-</w:t>
      </w:r>
      <w:r>
        <w:rPr>
          <w:color w:val="231F20"/>
          <w:spacing w:val="-12"/>
        </w:rPr>
        <w:t> </w:t>
      </w:r>
      <w:r>
        <w:rPr>
          <w:color w:val="231F20"/>
        </w:rPr>
        <w:t>the</w:t>
      </w:r>
      <w:r>
        <w:rPr>
          <w:color w:val="231F20"/>
          <w:spacing w:val="-12"/>
        </w:rPr>
        <w:t> </w:t>
      </w:r>
      <w:r>
        <w:rPr>
          <w:color w:val="231F20"/>
        </w:rPr>
        <w:t>right</w:t>
      </w:r>
      <w:r>
        <w:rPr>
          <w:color w:val="231F20"/>
          <w:spacing w:val="-12"/>
        </w:rPr>
        <w:t> </w:t>
      </w:r>
      <w:r>
        <w:rPr>
          <w:color w:val="231F20"/>
        </w:rPr>
        <w:t>to</w:t>
      </w:r>
      <w:r>
        <w:rPr>
          <w:color w:val="231F20"/>
          <w:spacing w:val="-12"/>
        </w:rPr>
        <w:t> </w:t>
      </w:r>
      <w:r>
        <w:rPr>
          <w:color w:val="231F20"/>
        </w:rPr>
        <w:t>an</w:t>
      </w:r>
      <w:r>
        <w:rPr>
          <w:color w:val="231F20"/>
          <w:spacing w:val="-12"/>
        </w:rPr>
        <w:t> </w:t>
      </w:r>
      <w:r>
        <w:rPr>
          <w:color w:val="231F20"/>
        </w:rPr>
        <w:t>effective</w:t>
      </w:r>
      <w:r>
        <w:rPr>
          <w:color w:val="231F20"/>
          <w:spacing w:val="-12"/>
        </w:rPr>
        <w:t> </w:t>
      </w:r>
      <w:r>
        <w:rPr>
          <w:color w:val="231F20"/>
        </w:rPr>
        <w:t>judicial</w:t>
      </w:r>
      <w:r>
        <w:rPr>
          <w:color w:val="231F20"/>
          <w:spacing w:val="-12"/>
        </w:rPr>
        <w:t> </w:t>
      </w:r>
      <w:r>
        <w:rPr>
          <w:color w:val="231F20"/>
        </w:rPr>
        <w:t>remedy</w:t>
      </w:r>
      <w:r>
        <w:rPr>
          <w:color w:val="231F20"/>
          <w:spacing w:val="-12"/>
        </w:rPr>
        <w:t> </w:t>
      </w:r>
      <w:r>
        <w:rPr>
          <w:color w:val="231F20"/>
        </w:rPr>
        <w:t>and</w:t>
      </w:r>
      <w:r>
        <w:rPr>
          <w:color w:val="231F20"/>
          <w:spacing w:val="-12"/>
        </w:rPr>
        <w:t> </w:t>
      </w:r>
      <w:r>
        <w:rPr>
          <w:color w:val="231F20"/>
        </w:rPr>
        <w:t>the</w:t>
      </w:r>
      <w:r>
        <w:rPr>
          <w:color w:val="231F20"/>
          <w:spacing w:val="-12"/>
        </w:rPr>
        <w:t> </w:t>
      </w:r>
      <w:r>
        <w:rPr>
          <w:color w:val="231F20"/>
        </w:rPr>
        <w:t>right to</w:t>
      </w:r>
      <w:r>
        <w:rPr>
          <w:color w:val="231F20"/>
          <w:spacing w:val="-3"/>
        </w:rPr>
        <w:t> </w:t>
      </w:r>
      <w:r>
        <w:rPr>
          <w:color w:val="231F20"/>
        </w:rPr>
        <w:t>respect</w:t>
      </w:r>
      <w:r>
        <w:rPr>
          <w:color w:val="231F20"/>
          <w:spacing w:val="-3"/>
        </w:rPr>
        <w:t> </w:t>
      </w:r>
      <w:r>
        <w:rPr>
          <w:color w:val="231F20"/>
        </w:rPr>
        <w:t>for</w:t>
      </w:r>
      <w:r>
        <w:rPr>
          <w:color w:val="231F20"/>
          <w:spacing w:val="-3"/>
        </w:rPr>
        <w:t> </w:t>
      </w:r>
      <w:r>
        <w:rPr>
          <w:color w:val="231F20"/>
        </w:rPr>
        <w:t>private</w:t>
      </w:r>
      <w:r>
        <w:rPr>
          <w:color w:val="231F20"/>
          <w:spacing w:val="-3"/>
        </w:rPr>
        <w:t> </w:t>
      </w:r>
      <w:r>
        <w:rPr>
          <w:color w:val="231F20"/>
        </w:rPr>
        <w:t>communications</w:t>
      </w:r>
      <w:r>
        <w:rPr>
          <w:color w:val="231F20"/>
          <w:spacing w:val="-3"/>
        </w:rPr>
        <w:t> </w:t>
      </w:r>
      <w:r>
        <w:rPr>
          <w:color w:val="231F20"/>
        </w:rPr>
        <w:t>-</w:t>
      </w:r>
      <w:r>
        <w:rPr>
          <w:color w:val="231F20"/>
          <w:spacing w:val="-3"/>
        </w:rPr>
        <w:t> </w:t>
      </w:r>
      <w:r>
        <w:rPr>
          <w:color w:val="231F20"/>
        </w:rPr>
        <w:t>that</w:t>
      </w:r>
      <w:r>
        <w:rPr>
          <w:color w:val="231F20"/>
          <w:spacing w:val="-3"/>
        </w:rPr>
        <w:t> </w:t>
      </w:r>
      <w:r>
        <w:rPr>
          <w:color w:val="231F20"/>
        </w:rPr>
        <w:t>directly</w:t>
      </w:r>
      <w:r>
        <w:rPr>
          <w:color w:val="231F20"/>
          <w:spacing w:val="-3"/>
        </w:rPr>
        <w:t> </w:t>
      </w:r>
      <w:r>
        <w:rPr>
          <w:color w:val="231F20"/>
        </w:rPr>
        <w:t>interfere</w:t>
      </w:r>
      <w:r>
        <w:rPr>
          <w:color w:val="231F20"/>
          <w:spacing w:val="-3"/>
        </w:rPr>
        <w:t> </w:t>
      </w:r>
      <w:r>
        <w:rPr>
          <w:color w:val="231F20"/>
        </w:rPr>
        <w:t>with</w:t>
      </w:r>
      <w:r>
        <w:rPr>
          <w:color w:val="231F20"/>
          <w:spacing w:val="-3"/>
        </w:rPr>
        <w:t> </w:t>
      </w:r>
      <w:r>
        <w:rPr>
          <w:color w:val="231F20"/>
        </w:rPr>
        <w:t>the</w:t>
      </w:r>
      <w:r>
        <w:rPr>
          <w:color w:val="231F20"/>
          <w:spacing w:val="-3"/>
        </w:rPr>
        <w:t> </w:t>
      </w:r>
      <w:r>
        <w:rPr>
          <w:color w:val="231F20"/>
        </w:rPr>
        <w:t>ap- plication of the directives on cooperation between the tax administrations of the Member States. From the interaction between the Charter and the secondary legislation acts on administrative cooperation, a series of judg- ments of the Court of Justice emerged which although limited in number are of great importance as regards the general principles of Union law in- terpreted therein, as evidenced by the fact that some of these rulings were decided</w:t>
      </w:r>
      <w:r>
        <w:rPr>
          <w:color w:val="231F20"/>
          <w:spacing w:val="-9"/>
        </w:rPr>
        <w:t> </w:t>
      </w:r>
      <w:r>
        <w:rPr>
          <w:color w:val="231F20"/>
        </w:rPr>
        <w:t>by</w:t>
      </w:r>
      <w:r>
        <w:rPr>
          <w:color w:val="231F20"/>
          <w:spacing w:val="-9"/>
        </w:rPr>
        <w:t> </w:t>
      </w:r>
      <w:r>
        <w:rPr>
          <w:color w:val="231F20"/>
        </w:rPr>
        <w:t>the</w:t>
      </w:r>
      <w:r>
        <w:rPr>
          <w:color w:val="231F20"/>
          <w:spacing w:val="-9"/>
        </w:rPr>
        <w:t> </w:t>
      </w:r>
      <w:r>
        <w:rPr>
          <w:color w:val="231F20"/>
        </w:rPr>
        <w:t>same</w:t>
      </w:r>
      <w:r>
        <w:rPr>
          <w:color w:val="231F20"/>
          <w:spacing w:val="-9"/>
        </w:rPr>
        <w:t> </w:t>
      </w:r>
      <w:r>
        <w:rPr>
          <w:color w:val="231F20"/>
        </w:rPr>
        <w:t>Court</w:t>
      </w:r>
      <w:r>
        <w:rPr>
          <w:color w:val="231F20"/>
          <w:spacing w:val="-9"/>
        </w:rPr>
        <w:t> </w:t>
      </w:r>
      <w:r>
        <w:rPr>
          <w:color w:val="231F20"/>
        </w:rPr>
        <w:t>in</w:t>
      </w:r>
      <w:r>
        <w:rPr>
          <w:color w:val="231F20"/>
          <w:spacing w:val="-9"/>
        </w:rPr>
        <w:t> </w:t>
      </w:r>
      <w:r>
        <w:rPr>
          <w:color w:val="231F20"/>
        </w:rPr>
        <w:t>the</w:t>
      </w:r>
      <w:r>
        <w:rPr>
          <w:color w:val="231F20"/>
          <w:spacing w:val="-9"/>
        </w:rPr>
        <w:t> </w:t>
      </w:r>
      <w:r>
        <w:rPr>
          <w:color w:val="231F20"/>
        </w:rPr>
        <w:t>«Grand</w:t>
      </w:r>
      <w:r>
        <w:rPr>
          <w:color w:val="231F20"/>
          <w:spacing w:val="-9"/>
        </w:rPr>
        <w:t> </w:t>
      </w:r>
      <w:r>
        <w:rPr>
          <w:color w:val="231F20"/>
        </w:rPr>
        <w:t>Chamber»</w:t>
      </w:r>
      <w:r>
        <w:rPr>
          <w:color w:val="231F20"/>
          <w:spacing w:val="-9"/>
        </w:rPr>
        <w:t> </w:t>
      </w:r>
      <w:r>
        <w:rPr>
          <w:color w:val="231F20"/>
        </w:rPr>
        <w:t>formation</w:t>
      </w:r>
      <w:r>
        <w:rPr>
          <w:color w:val="231F20"/>
          <w:spacing w:val="-9"/>
        </w:rPr>
        <w:t> </w:t>
      </w:r>
      <w:r>
        <w:rPr>
          <w:color w:val="231F20"/>
        </w:rPr>
        <w:t>(in</w:t>
      </w:r>
      <w:r>
        <w:rPr>
          <w:color w:val="231F20"/>
          <w:spacing w:val="-9"/>
        </w:rPr>
        <w:t> </w:t>
      </w:r>
      <w:r>
        <w:rPr>
          <w:color w:val="231F20"/>
        </w:rPr>
        <w:t>plenary session).</w:t>
      </w:r>
      <w:r>
        <w:rPr>
          <w:color w:val="231F20"/>
          <w:spacing w:val="-4"/>
        </w:rPr>
        <w:t> </w:t>
      </w:r>
      <w:r>
        <w:rPr>
          <w:color w:val="231F20"/>
        </w:rPr>
        <w:t>The</w:t>
      </w:r>
      <w:r>
        <w:rPr>
          <w:color w:val="231F20"/>
          <w:spacing w:val="-4"/>
        </w:rPr>
        <w:t> </w:t>
      </w:r>
      <w:r>
        <w:rPr>
          <w:color w:val="231F20"/>
        </w:rPr>
        <w:t>jurisprudence</w:t>
      </w:r>
      <w:r>
        <w:rPr>
          <w:color w:val="231F20"/>
          <w:spacing w:val="-4"/>
        </w:rPr>
        <w:t> </w:t>
      </w:r>
      <w:r>
        <w:rPr>
          <w:color w:val="231F20"/>
        </w:rPr>
        <w:t>of</w:t>
      </w:r>
      <w:r>
        <w:rPr>
          <w:color w:val="231F20"/>
          <w:spacing w:val="-4"/>
        </w:rPr>
        <w:t> </w:t>
      </w:r>
      <w:r>
        <w:rPr>
          <w:color w:val="231F20"/>
        </w:rPr>
        <w:t>the</w:t>
      </w:r>
      <w:r>
        <w:rPr>
          <w:color w:val="231F20"/>
          <w:spacing w:val="-4"/>
        </w:rPr>
        <w:t> </w:t>
      </w:r>
      <w:r>
        <w:rPr>
          <w:color w:val="231F20"/>
        </w:rPr>
        <w:t>Union</w:t>
      </w:r>
      <w:r>
        <w:rPr>
          <w:color w:val="231F20"/>
          <w:spacing w:val="-4"/>
        </w:rPr>
        <w:t> </w:t>
      </w:r>
      <w:r>
        <w:rPr>
          <w:color w:val="231F20"/>
        </w:rPr>
        <w:t>judges</w:t>
      </w:r>
      <w:r>
        <w:rPr>
          <w:color w:val="231F20"/>
          <w:spacing w:val="-4"/>
        </w:rPr>
        <w:t> </w:t>
      </w:r>
      <w:r>
        <w:rPr>
          <w:color w:val="231F20"/>
        </w:rPr>
        <w:t>on</w:t>
      </w:r>
      <w:r>
        <w:rPr>
          <w:color w:val="231F20"/>
          <w:spacing w:val="-4"/>
        </w:rPr>
        <w:t> </w:t>
      </w:r>
      <w:r>
        <w:rPr>
          <w:color w:val="231F20"/>
        </w:rPr>
        <w:t>legislative</w:t>
      </w:r>
      <w:r>
        <w:rPr>
          <w:color w:val="231F20"/>
          <w:spacing w:val="-4"/>
        </w:rPr>
        <w:t> </w:t>
      </w:r>
      <w:r>
        <w:rPr>
          <w:color w:val="231F20"/>
        </w:rPr>
        <w:t>acts</w:t>
      </w:r>
      <w:r>
        <w:rPr>
          <w:color w:val="231F20"/>
          <w:spacing w:val="-4"/>
        </w:rPr>
        <w:t> </w:t>
      </w:r>
      <w:r>
        <w:rPr>
          <w:color w:val="231F20"/>
        </w:rPr>
        <w:t>govern- ing</w:t>
      </w:r>
      <w:r>
        <w:rPr>
          <w:color w:val="231F20"/>
          <w:spacing w:val="-10"/>
        </w:rPr>
        <w:t> </w:t>
      </w:r>
      <w:r>
        <w:rPr>
          <w:color w:val="231F20"/>
        </w:rPr>
        <w:t>cooperation</w:t>
      </w:r>
      <w:r>
        <w:rPr>
          <w:color w:val="231F20"/>
          <w:spacing w:val="-10"/>
        </w:rPr>
        <w:t> </w:t>
      </w:r>
      <w:r>
        <w:rPr>
          <w:color w:val="231F20"/>
        </w:rPr>
        <w:t>between</w:t>
      </w:r>
      <w:r>
        <w:rPr>
          <w:color w:val="231F20"/>
          <w:spacing w:val="-10"/>
        </w:rPr>
        <w:t> </w:t>
      </w:r>
      <w:r>
        <w:rPr>
          <w:color w:val="231F20"/>
        </w:rPr>
        <w:t>Member</w:t>
      </w:r>
      <w:r>
        <w:rPr>
          <w:color w:val="231F20"/>
          <w:spacing w:val="-10"/>
        </w:rPr>
        <w:t> </w:t>
      </w:r>
      <w:r>
        <w:rPr>
          <w:color w:val="231F20"/>
        </w:rPr>
        <w:t>States</w:t>
      </w:r>
      <w:r>
        <w:rPr>
          <w:color w:val="231F20"/>
          <w:spacing w:val="40"/>
        </w:rPr>
        <w:t> </w:t>
      </w:r>
      <w:r>
        <w:rPr>
          <w:color w:val="231F20"/>
        </w:rPr>
        <w:t>tax</w:t>
      </w:r>
      <w:r>
        <w:rPr>
          <w:color w:val="231F20"/>
          <w:spacing w:val="-10"/>
        </w:rPr>
        <w:t> </w:t>
      </w:r>
      <w:r>
        <w:rPr>
          <w:color w:val="231F20"/>
        </w:rPr>
        <w:t>administrations</w:t>
      </w:r>
      <w:r>
        <w:rPr>
          <w:color w:val="231F20"/>
          <w:spacing w:val="-10"/>
        </w:rPr>
        <w:t> </w:t>
      </w:r>
      <w:r>
        <w:rPr>
          <w:color w:val="231F20"/>
        </w:rPr>
        <w:t>will</w:t>
      </w:r>
      <w:r>
        <w:rPr>
          <w:color w:val="231F20"/>
          <w:spacing w:val="-10"/>
        </w:rPr>
        <w:t> </w:t>
      </w:r>
      <w:r>
        <w:rPr>
          <w:color w:val="231F20"/>
        </w:rPr>
        <w:t>therefore be the subject of this study.</w:t>
      </w:r>
    </w:p>
    <w:p>
      <w:pPr>
        <w:pStyle w:val="BodyText"/>
        <w:spacing w:line="225" w:lineRule="auto" w:before="19"/>
        <w:ind w:left="157" w:right="117" w:firstLine="340"/>
        <w:jc w:val="both"/>
      </w:pPr>
      <w:r>
        <w:rPr>
          <w:color w:val="231F20"/>
          <w:spacing w:val="-4"/>
        </w:rPr>
        <w:t>The Union’s legislative acts currently governing cooperation between </w:t>
      </w:r>
      <w:r>
        <w:rPr>
          <w:color w:val="231F20"/>
          <w:spacing w:val="-4"/>
        </w:rPr>
        <w:t>the </w:t>
      </w:r>
      <w:r>
        <w:rPr>
          <w:color w:val="231F20"/>
        </w:rPr>
        <w:t>tax</w:t>
      </w:r>
      <w:r>
        <w:rPr>
          <w:color w:val="231F20"/>
          <w:spacing w:val="-14"/>
        </w:rPr>
        <w:t> </w:t>
      </w:r>
      <w:r>
        <w:rPr>
          <w:color w:val="231F20"/>
        </w:rPr>
        <w:t>administrations</w:t>
      </w:r>
      <w:r>
        <w:rPr>
          <w:color w:val="231F20"/>
          <w:spacing w:val="-14"/>
        </w:rPr>
        <w:t> </w:t>
      </w:r>
      <w:r>
        <w:rPr>
          <w:color w:val="231F20"/>
        </w:rPr>
        <w:t>of</w:t>
      </w:r>
      <w:r>
        <w:rPr>
          <w:color w:val="231F20"/>
          <w:spacing w:val="-14"/>
        </w:rPr>
        <w:t> </w:t>
      </w:r>
      <w:r>
        <w:rPr>
          <w:color w:val="231F20"/>
        </w:rPr>
        <w:t>the</w:t>
      </w:r>
      <w:r>
        <w:rPr>
          <w:color w:val="231F20"/>
          <w:spacing w:val="-14"/>
        </w:rPr>
        <w:t> </w:t>
      </w:r>
      <w:r>
        <w:rPr>
          <w:color w:val="231F20"/>
        </w:rPr>
        <w:t>Member</w:t>
      </w:r>
      <w:r>
        <w:rPr>
          <w:color w:val="231F20"/>
          <w:spacing w:val="-14"/>
        </w:rPr>
        <w:t> </w:t>
      </w:r>
      <w:r>
        <w:rPr>
          <w:color w:val="231F20"/>
        </w:rPr>
        <w:t>States</w:t>
      </w:r>
      <w:r>
        <w:rPr>
          <w:color w:val="231F20"/>
          <w:spacing w:val="-14"/>
        </w:rPr>
        <w:t> </w:t>
      </w:r>
      <w:r>
        <w:rPr>
          <w:color w:val="231F20"/>
        </w:rPr>
        <w:t>are</w:t>
      </w:r>
      <w:r>
        <w:rPr>
          <w:color w:val="231F20"/>
          <w:spacing w:val="-14"/>
        </w:rPr>
        <w:t> </w:t>
      </w:r>
      <w:r>
        <w:rPr>
          <w:color w:val="231F20"/>
        </w:rPr>
        <w:t>primarily</w:t>
      </w:r>
      <w:r>
        <w:rPr>
          <w:color w:val="231F20"/>
          <w:spacing w:val="-14"/>
        </w:rPr>
        <w:t> </w:t>
      </w:r>
      <w:r>
        <w:rPr>
          <w:color w:val="231F20"/>
        </w:rPr>
        <w:t>the</w:t>
      </w:r>
      <w:r>
        <w:rPr>
          <w:color w:val="231F20"/>
          <w:spacing w:val="-14"/>
        </w:rPr>
        <w:t> </w:t>
      </w:r>
      <w:r>
        <w:rPr>
          <w:color w:val="231F20"/>
        </w:rPr>
        <w:t>aforementioned Directive</w:t>
      </w:r>
      <w:r>
        <w:rPr>
          <w:color w:val="231F20"/>
          <w:spacing w:val="-7"/>
        </w:rPr>
        <w:t> </w:t>
      </w:r>
      <w:r>
        <w:rPr>
          <w:color w:val="231F20"/>
        </w:rPr>
        <w:t>2011/16/EU</w:t>
      </w:r>
      <w:r>
        <w:rPr>
          <w:color w:val="231F20"/>
          <w:spacing w:val="-7"/>
        </w:rPr>
        <w:t> </w:t>
      </w:r>
      <w:r>
        <w:rPr>
          <w:color w:val="231F20"/>
        </w:rPr>
        <w:t>(DAC</w:t>
      </w:r>
      <w:r>
        <w:rPr>
          <w:color w:val="231F20"/>
          <w:spacing w:val="-7"/>
        </w:rPr>
        <w:t> </w:t>
      </w:r>
      <w:r>
        <w:rPr>
          <w:color w:val="231F20"/>
        </w:rPr>
        <w:t>1),</w:t>
      </w:r>
      <w:r>
        <w:rPr>
          <w:color w:val="231F20"/>
          <w:spacing w:val="-7"/>
        </w:rPr>
        <w:t> </w:t>
      </w:r>
      <w:r>
        <w:rPr>
          <w:color w:val="231F20"/>
        </w:rPr>
        <w:t>which</w:t>
      </w:r>
      <w:r>
        <w:rPr>
          <w:color w:val="231F20"/>
          <w:spacing w:val="-7"/>
        </w:rPr>
        <w:t> </w:t>
      </w:r>
      <w:r>
        <w:rPr>
          <w:color w:val="231F20"/>
        </w:rPr>
        <w:t>constitutes</w:t>
      </w:r>
      <w:r>
        <w:rPr>
          <w:color w:val="231F20"/>
          <w:spacing w:val="-7"/>
        </w:rPr>
        <w:t> </w:t>
      </w:r>
      <w:r>
        <w:rPr>
          <w:color w:val="231F20"/>
        </w:rPr>
        <w:t>the</w:t>
      </w:r>
      <w:r>
        <w:rPr>
          <w:color w:val="231F20"/>
          <w:spacing w:val="-7"/>
        </w:rPr>
        <w:t> </w:t>
      </w:r>
      <w:r>
        <w:rPr>
          <w:color w:val="231F20"/>
        </w:rPr>
        <w:t>general</w:t>
      </w:r>
      <w:r>
        <w:rPr>
          <w:color w:val="231F20"/>
          <w:spacing w:val="-7"/>
        </w:rPr>
        <w:t> </w:t>
      </w:r>
      <w:r>
        <w:rPr>
          <w:color w:val="231F20"/>
        </w:rPr>
        <w:t>framework of</w:t>
      </w:r>
      <w:r>
        <w:rPr>
          <w:color w:val="231F20"/>
          <w:spacing w:val="-6"/>
        </w:rPr>
        <w:t> </w:t>
      </w:r>
      <w:r>
        <w:rPr>
          <w:color w:val="231F20"/>
        </w:rPr>
        <w:t>rules</w:t>
      </w:r>
      <w:r>
        <w:rPr>
          <w:color w:val="231F20"/>
          <w:spacing w:val="-6"/>
        </w:rPr>
        <w:t> </w:t>
      </w:r>
      <w:r>
        <w:rPr>
          <w:color w:val="231F20"/>
        </w:rPr>
        <w:t>and</w:t>
      </w:r>
      <w:r>
        <w:rPr>
          <w:color w:val="231F20"/>
          <w:spacing w:val="-6"/>
        </w:rPr>
        <w:t> </w:t>
      </w:r>
      <w:r>
        <w:rPr>
          <w:color w:val="231F20"/>
        </w:rPr>
        <w:t>procedures</w:t>
      </w:r>
      <w:r>
        <w:rPr>
          <w:color w:val="231F20"/>
          <w:spacing w:val="-6"/>
        </w:rPr>
        <w:t> </w:t>
      </w:r>
      <w:r>
        <w:rPr>
          <w:color w:val="231F20"/>
        </w:rPr>
        <w:t>for</w:t>
      </w:r>
      <w:r>
        <w:rPr>
          <w:color w:val="231F20"/>
          <w:spacing w:val="-6"/>
        </w:rPr>
        <w:t> </w:t>
      </w:r>
      <w:r>
        <w:rPr>
          <w:color w:val="231F20"/>
        </w:rPr>
        <w:t>the</w:t>
      </w:r>
      <w:r>
        <w:rPr>
          <w:color w:val="231F20"/>
          <w:spacing w:val="-6"/>
        </w:rPr>
        <w:t> </w:t>
      </w:r>
      <w:r>
        <w:rPr>
          <w:color w:val="231F20"/>
        </w:rPr>
        <w:t>exchange</w:t>
      </w:r>
      <w:r>
        <w:rPr>
          <w:color w:val="231F20"/>
          <w:spacing w:val="-6"/>
        </w:rPr>
        <w:t> </w:t>
      </w:r>
      <w:r>
        <w:rPr>
          <w:color w:val="231F20"/>
        </w:rPr>
        <w:t>of</w:t>
      </w:r>
      <w:r>
        <w:rPr>
          <w:color w:val="231F20"/>
          <w:spacing w:val="-6"/>
        </w:rPr>
        <w:t> </w:t>
      </w:r>
      <w:r>
        <w:rPr>
          <w:color w:val="231F20"/>
        </w:rPr>
        <w:t>information</w:t>
      </w:r>
      <w:r>
        <w:rPr>
          <w:color w:val="231F20"/>
          <w:spacing w:val="-6"/>
        </w:rPr>
        <w:t> </w:t>
      </w:r>
      <w:r>
        <w:rPr>
          <w:color w:val="231F20"/>
        </w:rPr>
        <w:t>aimed</w:t>
      </w:r>
      <w:r>
        <w:rPr>
          <w:color w:val="231F20"/>
          <w:spacing w:val="-6"/>
        </w:rPr>
        <w:t> </w:t>
      </w:r>
      <w:r>
        <w:rPr>
          <w:color w:val="231F20"/>
        </w:rPr>
        <w:t>at</w:t>
      </w:r>
      <w:r>
        <w:rPr>
          <w:color w:val="231F20"/>
          <w:spacing w:val="-6"/>
        </w:rPr>
        <w:t> </w:t>
      </w:r>
      <w:r>
        <w:rPr>
          <w:color w:val="231F20"/>
        </w:rPr>
        <w:t>reducing the</w:t>
      </w:r>
      <w:r>
        <w:rPr>
          <w:color w:val="231F20"/>
          <w:spacing w:val="-4"/>
        </w:rPr>
        <w:t> </w:t>
      </w:r>
      <w:r>
        <w:rPr>
          <w:color w:val="231F20"/>
        </w:rPr>
        <w:t>risks</w:t>
      </w:r>
      <w:r>
        <w:rPr>
          <w:color w:val="231F20"/>
          <w:spacing w:val="-4"/>
        </w:rPr>
        <w:t> </w:t>
      </w:r>
      <w:r>
        <w:rPr>
          <w:color w:val="231F20"/>
        </w:rPr>
        <w:t>of</w:t>
      </w:r>
      <w:r>
        <w:rPr>
          <w:color w:val="231F20"/>
          <w:spacing w:val="-4"/>
        </w:rPr>
        <w:t> </w:t>
      </w:r>
      <w:r>
        <w:rPr>
          <w:color w:val="231F20"/>
        </w:rPr>
        <w:t>tax</w:t>
      </w:r>
      <w:r>
        <w:rPr>
          <w:color w:val="231F20"/>
          <w:spacing w:val="-4"/>
        </w:rPr>
        <w:t> </w:t>
      </w:r>
      <w:r>
        <w:rPr>
          <w:color w:val="231F20"/>
        </w:rPr>
        <w:t>evasion,</w:t>
      </w:r>
      <w:r>
        <w:rPr>
          <w:color w:val="231F20"/>
          <w:spacing w:val="-4"/>
        </w:rPr>
        <w:t> </w:t>
      </w:r>
      <w:r>
        <w:rPr>
          <w:color w:val="231F20"/>
        </w:rPr>
        <w:t>avoidance,</w:t>
      </w:r>
      <w:r>
        <w:rPr>
          <w:color w:val="231F20"/>
          <w:spacing w:val="-4"/>
        </w:rPr>
        <w:t> </w:t>
      </w:r>
      <w:r>
        <w:rPr>
          <w:color w:val="231F20"/>
        </w:rPr>
        <w:t>and</w:t>
      </w:r>
      <w:r>
        <w:rPr>
          <w:color w:val="231F20"/>
          <w:spacing w:val="-4"/>
        </w:rPr>
        <w:t> </w:t>
      </w:r>
      <w:r>
        <w:rPr>
          <w:color w:val="231F20"/>
        </w:rPr>
        <w:t>fraud.</w:t>
      </w:r>
      <w:r>
        <w:rPr>
          <w:color w:val="231F20"/>
          <w:spacing w:val="-4"/>
        </w:rPr>
        <w:t> </w:t>
      </w:r>
      <w:r>
        <w:rPr>
          <w:color w:val="231F20"/>
        </w:rPr>
        <w:t>The</w:t>
      </w:r>
      <w:r>
        <w:rPr>
          <w:color w:val="231F20"/>
          <w:spacing w:val="-4"/>
        </w:rPr>
        <w:t> </w:t>
      </w:r>
      <w:r>
        <w:rPr>
          <w:color w:val="231F20"/>
        </w:rPr>
        <w:t>2011</w:t>
      </w:r>
      <w:r>
        <w:rPr>
          <w:color w:val="231F20"/>
          <w:spacing w:val="-4"/>
        </w:rPr>
        <w:t> </w:t>
      </w:r>
      <w:r>
        <w:rPr>
          <w:color w:val="231F20"/>
        </w:rPr>
        <w:t>base</w:t>
      </w:r>
      <w:r>
        <w:rPr>
          <w:color w:val="231F20"/>
          <w:spacing w:val="-4"/>
        </w:rPr>
        <w:t> </w:t>
      </w:r>
      <w:r>
        <w:rPr>
          <w:color w:val="231F20"/>
        </w:rPr>
        <w:t>directive</w:t>
      </w:r>
      <w:r>
        <w:rPr>
          <w:color w:val="231F20"/>
          <w:spacing w:val="-4"/>
        </w:rPr>
        <w:t> </w:t>
      </w:r>
      <w:r>
        <w:rPr>
          <w:color w:val="231F20"/>
        </w:rPr>
        <w:t>was subsequently supplemented by other directives, among which the follow- ing</w:t>
      </w:r>
      <w:r>
        <w:rPr>
          <w:color w:val="231F20"/>
          <w:spacing w:val="-7"/>
        </w:rPr>
        <w:t> </w:t>
      </w:r>
      <w:r>
        <w:rPr>
          <w:color w:val="231F20"/>
        </w:rPr>
        <w:t>deserve</w:t>
      </w:r>
      <w:r>
        <w:rPr>
          <w:color w:val="231F20"/>
          <w:spacing w:val="-7"/>
        </w:rPr>
        <w:t> </w:t>
      </w:r>
      <w:r>
        <w:rPr>
          <w:color w:val="231F20"/>
        </w:rPr>
        <w:t>mention:</w:t>
      </w:r>
      <w:r>
        <w:rPr>
          <w:color w:val="231F20"/>
          <w:spacing w:val="-7"/>
        </w:rPr>
        <w:t> </w:t>
      </w:r>
      <w:r>
        <w:rPr>
          <w:color w:val="231F20"/>
        </w:rPr>
        <w:t>Directive</w:t>
      </w:r>
      <w:r>
        <w:rPr>
          <w:color w:val="231F20"/>
          <w:spacing w:val="-7"/>
        </w:rPr>
        <w:t> </w:t>
      </w:r>
      <w:r>
        <w:rPr>
          <w:color w:val="231F20"/>
        </w:rPr>
        <w:t>2018/822/EU</w:t>
      </w:r>
      <w:r>
        <w:rPr>
          <w:color w:val="231F20"/>
          <w:spacing w:val="-7"/>
        </w:rPr>
        <w:t> </w:t>
      </w:r>
      <w:r>
        <w:rPr>
          <w:color w:val="231F20"/>
        </w:rPr>
        <w:t>(DAC</w:t>
      </w:r>
      <w:r>
        <w:rPr>
          <w:color w:val="231F20"/>
          <w:spacing w:val="-7"/>
        </w:rPr>
        <w:t> </w:t>
      </w:r>
      <w:r>
        <w:rPr>
          <w:color w:val="231F20"/>
        </w:rPr>
        <w:t>6),</w:t>
      </w:r>
      <w:r>
        <w:rPr>
          <w:color w:val="231F20"/>
          <w:spacing w:val="-7"/>
        </w:rPr>
        <w:t> </w:t>
      </w:r>
      <w:r>
        <w:rPr>
          <w:color w:val="231F20"/>
        </w:rPr>
        <w:t>which</w:t>
      </w:r>
      <w:r>
        <w:rPr>
          <w:color w:val="231F20"/>
          <w:spacing w:val="-7"/>
        </w:rPr>
        <w:t> </w:t>
      </w:r>
      <w:r>
        <w:rPr>
          <w:color w:val="231F20"/>
        </w:rPr>
        <w:t>introduced the</w:t>
      </w:r>
      <w:r>
        <w:rPr>
          <w:color w:val="231F20"/>
          <w:spacing w:val="-10"/>
        </w:rPr>
        <w:t> </w:t>
      </w:r>
      <w:r>
        <w:rPr>
          <w:color w:val="231F20"/>
        </w:rPr>
        <w:t>mandatory</w:t>
      </w:r>
      <w:r>
        <w:rPr>
          <w:color w:val="231F20"/>
          <w:spacing w:val="-10"/>
        </w:rPr>
        <w:t> </w:t>
      </w:r>
      <w:r>
        <w:rPr>
          <w:color w:val="231F20"/>
        </w:rPr>
        <w:t>automatic</w:t>
      </w:r>
      <w:r>
        <w:rPr>
          <w:color w:val="231F20"/>
          <w:spacing w:val="-10"/>
        </w:rPr>
        <w:t> </w:t>
      </w:r>
      <w:r>
        <w:rPr>
          <w:color w:val="231F20"/>
        </w:rPr>
        <w:t>exchange</w:t>
      </w:r>
      <w:r>
        <w:rPr>
          <w:color w:val="231F20"/>
          <w:spacing w:val="-10"/>
        </w:rPr>
        <w:t> </w:t>
      </w:r>
      <w:r>
        <w:rPr>
          <w:color w:val="231F20"/>
        </w:rPr>
        <w:t>of</w:t>
      </w:r>
      <w:r>
        <w:rPr>
          <w:color w:val="231F20"/>
          <w:spacing w:val="-10"/>
        </w:rPr>
        <w:t> </w:t>
      </w:r>
      <w:r>
        <w:rPr>
          <w:color w:val="231F20"/>
        </w:rPr>
        <w:t>information</w:t>
      </w:r>
      <w:r>
        <w:rPr>
          <w:color w:val="231F20"/>
          <w:spacing w:val="-10"/>
        </w:rPr>
        <w:t> </w:t>
      </w:r>
      <w:r>
        <w:rPr>
          <w:color w:val="231F20"/>
        </w:rPr>
        <w:t>on</w:t>
      </w:r>
      <w:r>
        <w:rPr>
          <w:color w:val="231F20"/>
          <w:spacing w:val="-10"/>
        </w:rPr>
        <w:t> </w:t>
      </w:r>
      <w:r>
        <w:rPr>
          <w:color w:val="231F20"/>
        </w:rPr>
        <w:t>so-called</w:t>
      </w:r>
      <w:r>
        <w:rPr>
          <w:color w:val="231F20"/>
          <w:spacing w:val="-10"/>
        </w:rPr>
        <w:t> </w:t>
      </w:r>
      <w:r>
        <w:rPr>
          <w:color w:val="231F20"/>
        </w:rPr>
        <w:t>«cross-bor- der</w:t>
      </w:r>
      <w:r>
        <w:rPr>
          <w:color w:val="231F20"/>
          <w:spacing w:val="-5"/>
        </w:rPr>
        <w:t> </w:t>
      </w:r>
      <w:r>
        <w:rPr>
          <w:color w:val="231F20"/>
        </w:rPr>
        <w:t>aggressive</w:t>
      </w:r>
      <w:r>
        <w:rPr>
          <w:color w:val="231F20"/>
          <w:spacing w:val="-5"/>
        </w:rPr>
        <w:t> </w:t>
      </w:r>
      <w:r>
        <w:rPr>
          <w:color w:val="231F20"/>
        </w:rPr>
        <w:t>tax</w:t>
      </w:r>
      <w:r>
        <w:rPr>
          <w:color w:val="231F20"/>
          <w:spacing w:val="-5"/>
        </w:rPr>
        <w:t> </w:t>
      </w:r>
      <w:r>
        <w:rPr>
          <w:color w:val="231F20"/>
        </w:rPr>
        <w:t>planning</w:t>
      </w:r>
      <w:r>
        <w:rPr>
          <w:color w:val="231F20"/>
          <w:spacing w:val="-5"/>
        </w:rPr>
        <w:t> </w:t>
      </w:r>
      <w:r>
        <w:rPr>
          <w:color w:val="231F20"/>
        </w:rPr>
        <w:t>arrangements»;</w:t>
      </w:r>
      <w:r>
        <w:rPr>
          <w:color w:val="231F20"/>
          <w:spacing w:val="-5"/>
        </w:rPr>
        <w:t> </w:t>
      </w:r>
      <w:r>
        <w:rPr>
          <w:color w:val="231F20"/>
        </w:rPr>
        <w:t>Directive</w:t>
      </w:r>
      <w:r>
        <w:rPr>
          <w:color w:val="231F20"/>
          <w:spacing w:val="-5"/>
        </w:rPr>
        <w:t> </w:t>
      </w:r>
      <w:r>
        <w:rPr>
          <w:color w:val="231F20"/>
        </w:rPr>
        <w:t>2021/514/EU</w:t>
      </w:r>
      <w:r>
        <w:rPr>
          <w:color w:val="231F20"/>
          <w:spacing w:val="-5"/>
        </w:rPr>
        <w:t> </w:t>
      </w:r>
      <w:r>
        <w:rPr>
          <w:color w:val="231F20"/>
        </w:rPr>
        <w:t>(DAC 7), which included in the information exchange procedures sales made and</w:t>
      </w:r>
      <w:r>
        <w:rPr>
          <w:color w:val="231F20"/>
          <w:spacing w:val="2"/>
        </w:rPr>
        <w:t> </w:t>
      </w:r>
      <w:r>
        <w:rPr>
          <w:color w:val="231F20"/>
        </w:rPr>
        <w:t>services</w:t>
      </w:r>
      <w:r>
        <w:rPr>
          <w:color w:val="231F20"/>
          <w:spacing w:val="2"/>
        </w:rPr>
        <w:t> </w:t>
      </w:r>
      <w:r>
        <w:rPr>
          <w:color w:val="231F20"/>
        </w:rPr>
        <w:t>provided</w:t>
      </w:r>
      <w:r>
        <w:rPr>
          <w:color w:val="231F20"/>
          <w:spacing w:val="2"/>
        </w:rPr>
        <w:t> </w:t>
      </w:r>
      <w:r>
        <w:rPr>
          <w:color w:val="231F20"/>
        </w:rPr>
        <w:t>through</w:t>
      </w:r>
      <w:r>
        <w:rPr>
          <w:color w:val="231F20"/>
          <w:spacing w:val="3"/>
        </w:rPr>
        <w:t> </w:t>
      </w:r>
      <w:r>
        <w:rPr>
          <w:color w:val="231F20"/>
        </w:rPr>
        <w:t>digital</w:t>
      </w:r>
      <w:r>
        <w:rPr>
          <w:color w:val="231F20"/>
          <w:spacing w:val="2"/>
        </w:rPr>
        <w:t> </w:t>
      </w:r>
      <w:r>
        <w:rPr>
          <w:color w:val="231F20"/>
        </w:rPr>
        <w:t>platforms;</w:t>
      </w:r>
      <w:r>
        <w:rPr>
          <w:color w:val="231F20"/>
          <w:spacing w:val="2"/>
        </w:rPr>
        <w:t> </w:t>
      </w:r>
      <w:r>
        <w:rPr>
          <w:color w:val="231F20"/>
        </w:rPr>
        <w:t>Directive</w:t>
      </w:r>
      <w:r>
        <w:rPr>
          <w:color w:val="231F20"/>
          <w:spacing w:val="3"/>
        </w:rPr>
        <w:t> </w:t>
      </w:r>
      <w:r>
        <w:rPr>
          <w:color w:val="231F20"/>
          <w:spacing w:val="-2"/>
        </w:rPr>
        <w:t>2023/2226/EU</w:t>
      </w:r>
    </w:p>
    <w:p>
      <w:pPr>
        <w:pStyle w:val="BodyText"/>
        <w:rPr>
          <w:sz w:val="20"/>
        </w:rPr>
      </w:pPr>
    </w:p>
    <w:p>
      <w:pPr>
        <w:pStyle w:val="BodyText"/>
        <w:spacing w:before="18"/>
        <w:rPr>
          <w:sz w:val="20"/>
        </w:rPr>
      </w:pPr>
      <w:r>
        <w:rPr/>
        <mc:AlternateContent>
          <mc:Choice Requires="wps">
            <w:drawing>
              <wp:anchor distT="0" distB="0" distL="0" distR="0" allowOverlap="1" layoutInCell="1" locked="0" behindDoc="1" simplePos="0" relativeHeight="487589376">
                <wp:simplePos x="0" y="0"/>
                <wp:positionH relativeFrom="page">
                  <wp:posOffset>899999</wp:posOffset>
                </wp:positionH>
                <wp:positionV relativeFrom="paragraph">
                  <wp:posOffset>188225</wp:posOffset>
                </wp:positionV>
                <wp:extent cx="792480" cy="1270"/>
                <wp:effectExtent l="0" t="0" r="0" b="0"/>
                <wp:wrapTopAndBottom/>
                <wp:docPr id="22" name="Graphic 22"/>
                <wp:cNvGraphicFramePr>
                  <a:graphicFrameLocks/>
                </wp:cNvGraphicFramePr>
                <a:graphic>
                  <a:graphicData uri="http://schemas.microsoft.com/office/word/2010/wordprocessingShape">
                    <wps:wsp>
                      <wps:cNvPr id="22" name="Graphic 22"/>
                      <wps:cNvSpPr/>
                      <wps:spPr>
                        <a:xfrm>
                          <a:off x="0" y="0"/>
                          <a:ext cx="792480" cy="1270"/>
                        </a:xfrm>
                        <a:custGeom>
                          <a:avLst/>
                          <a:gdLst/>
                          <a:ahLst/>
                          <a:cxnLst/>
                          <a:rect l="l" t="t" r="r" b="b"/>
                          <a:pathLst>
                            <a:path w="792480" h="0">
                              <a:moveTo>
                                <a:pt x="0" y="0"/>
                              </a:moveTo>
                              <a:lnTo>
                                <a:pt x="791997"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shape style="position:absolute;margin-left:70.866096pt;margin-top:14.82092pt;width:62.4pt;height:.1pt;mso-position-horizontal-relative:page;mso-position-vertical-relative:paragraph;z-index:-15727104;mso-wrap-distance-left:0;mso-wrap-distance-right:0" id="docshape18" coordorigin="1417,296" coordsize="1248,0" path="m1417,296l2665,296e" filled="false" stroked="true" strokeweight=".5pt" strokecolor="#231f20">
                <v:path arrowok="t"/>
                <v:stroke dashstyle="solid"/>
                <w10:wrap type="topAndBottom"/>
              </v:shape>
            </w:pict>
          </mc:Fallback>
        </mc:AlternateContent>
      </w:r>
    </w:p>
    <w:p>
      <w:pPr>
        <w:spacing w:line="225" w:lineRule="auto" w:before="201"/>
        <w:ind w:left="157" w:right="118" w:firstLine="0"/>
        <w:jc w:val="both"/>
        <w:rPr>
          <w:sz w:val="19"/>
        </w:rPr>
      </w:pPr>
      <w:r>
        <w:rPr>
          <w:color w:val="231F20"/>
          <w:position w:val="6"/>
          <w:sz w:val="11"/>
        </w:rPr>
        <w:t>2</w:t>
      </w:r>
      <w:r>
        <w:rPr>
          <w:color w:val="231F20"/>
          <w:spacing w:val="80"/>
          <w:w w:val="150"/>
          <w:position w:val="6"/>
          <w:sz w:val="11"/>
        </w:rPr>
        <w:t> </w:t>
      </w:r>
      <w:r>
        <w:rPr>
          <w:color w:val="231F20"/>
          <w:sz w:val="19"/>
        </w:rPr>
        <w:t>For an analysis of EU Directives on tax cooperation between administrations, see P. Pistone, </w:t>
      </w:r>
      <w:r>
        <w:rPr>
          <w:i/>
          <w:color w:val="231F20"/>
          <w:sz w:val="19"/>
        </w:rPr>
        <w:t>Diritto Tributario Europeo</w:t>
      </w:r>
      <w:r>
        <w:rPr>
          <w:color w:val="231F20"/>
          <w:sz w:val="19"/>
        </w:rPr>
        <w:t>, Torino, 2022, pp. 257-271; P. Selicato and M. Dafano (editors) </w:t>
      </w:r>
      <w:r>
        <w:rPr>
          <w:i/>
          <w:color w:val="231F20"/>
          <w:sz w:val="19"/>
        </w:rPr>
        <w:t>The mutual assistance in</w:t>
      </w:r>
      <w:r>
        <w:rPr>
          <w:i/>
          <w:color w:val="231F20"/>
          <w:spacing w:val="-8"/>
          <w:sz w:val="19"/>
        </w:rPr>
        <w:t> </w:t>
      </w:r>
      <w:r>
        <w:rPr>
          <w:i/>
          <w:color w:val="231F20"/>
          <w:sz w:val="19"/>
        </w:rPr>
        <w:t>Tax Matters. Situation and perspectives in EU Member States</w:t>
      </w:r>
      <w:r>
        <w:rPr>
          <w:color w:val="231F20"/>
          <w:sz w:val="19"/>
        </w:rPr>
        <w:t>, Reports of the 2009 Rome Congress, in </w:t>
      </w:r>
      <w:r>
        <w:rPr>
          <w:i/>
          <w:color w:val="231F20"/>
          <w:sz w:val="19"/>
        </w:rPr>
        <w:t>Rivista di diritto tributario internazionale</w:t>
      </w:r>
      <w:r>
        <w:rPr>
          <w:color w:val="231F20"/>
          <w:sz w:val="19"/>
        </w:rPr>
        <w:t>, 2009; </w:t>
      </w:r>
      <w:r>
        <w:rPr>
          <w:color w:val="231F20"/>
          <w:sz w:val="19"/>
        </w:rPr>
        <w:t>R. Seer and I. Gabet (editors), </w:t>
      </w:r>
      <w:r>
        <w:rPr>
          <w:i/>
          <w:color w:val="231F20"/>
          <w:sz w:val="19"/>
        </w:rPr>
        <w:t>Mutual assistance and information exchange</w:t>
      </w:r>
      <w:r>
        <w:rPr>
          <w:color w:val="231F20"/>
          <w:sz w:val="19"/>
        </w:rPr>
        <w:t>, Reports of the 2009 Santiago de Compostela Congress, Amsterdam, 2010.</w:t>
      </w:r>
    </w:p>
    <w:p>
      <w:pPr>
        <w:spacing w:after="0" w:line="225" w:lineRule="auto"/>
        <w:jc w:val="both"/>
        <w:rPr>
          <w:sz w:val="19"/>
        </w:rPr>
        <w:sectPr>
          <w:footerReference w:type="default" r:id="rId10"/>
          <w:footerReference w:type="even" r:id="rId11"/>
          <w:pgSz w:w="9640" w:h="13610"/>
          <w:pgMar w:header="0" w:footer="625" w:top="1260" w:bottom="820" w:left="1260" w:right="1240"/>
          <w:pgNumType w:start="141"/>
        </w:sectPr>
      </w:pPr>
    </w:p>
    <w:p>
      <w:pPr>
        <w:pStyle w:val="BodyText"/>
        <w:spacing w:line="225" w:lineRule="auto" w:before="117"/>
        <w:ind w:left="100" w:right="175"/>
        <w:jc w:val="both"/>
      </w:pPr>
      <w:r>
        <w:rPr>
          <w:color w:val="231F20"/>
        </w:rPr>
        <w:t>(DAC</w:t>
      </w:r>
      <w:r>
        <w:rPr>
          <w:color w:val="231F20"/>
          <w:spacing w:val="-15"/>
        </w:rPr>
        <w:t> </w:t>
      </w:r>
      <w:r>
        <w:rPr>
          <w:color w:val="231F20"/>
        </w:rPr>
        <w:t>8),</w:t>
      </w:r>
      <w:r>
        <w:rPr>
          <w:color w:val="231F20"/>
          <w:spacing w:val="-15"/>
        </w:rPr>
        <w:t> </w:t>
      </w:r>
      <w:r>
        <w:rPr>
          <w:color w:val="231F20"/>
        </w:rPr>
        <w:t>which</w:t>
      </w:r>
      <w:r>
        <w:rPr>
          <w:color w:val="231F20"/>
          <w:spacing w:val="-15"/>
        </w:rPr>
        <w:t> </w:t>
      </w:r>
      <w:r>
        <w:rPr>
          <w:color w:val="231F20"/>
        </w:rPr>
        <w:t>extended</w:t>
      </w:r>
      <w:r>
        <w:rPr>
          <w:color w:val="231F20"/>
          <w:spacing w:val="-15"/>
        </w:rPr>
        <w:t> </w:t>
      </w:r>
      <w:r>
        <w:rPr>
          <w:color w:val="231F20"/>
        </w:rPr>
        <w:t>the</w:t>
      </w:r>
      <w:r>
        <w:rPr>
          <w:color w:val="231F20"/>
          <w:spacing w:val="-15"/>
        </w:rPr>
        <w:t> </w:t>
      </w:r>
      <w:r>
        <w:rPr>
          <w:color w:val="231F20"/>
        </w:rPr>
        <w:t>scope</w:t>
      </w:r>
      <w:r>
        <w:rPr>
          <w:color w:val="231F20"/>
          <w:spacing w:val="-15"/>
        </w:rPr>
        <w:t> </w:t>
      </w:r>
      <w:r>
        <w:rPr>
          <w:color w:val="231F20"/>
        </w:rPr>
        <w:t>of</w:t>
      </w:r>
      <w:r>
        <w:rPr>
          <w:color w:val="231F20"/>
          <w:spacing w:val="-15"/>
        </w:rPr>
        <w:t> </w:t>
      </w:r>
      <w:r>
        <w:rPr>
          <w:color w:val="231F20"/>
        </w:rPr>
        <w:t>mandatory</w:t>
      </w:r>
      <w:r>
        <w:rPr>
          <w:color w:val="231F20"/>
          <w:spacing w:val="-15"/>
        </w:rPr>
        <w:t> </w:t>
      </w:r>
      <w:r>
        <w:rPr>
          <w:color w:val="231F20"/>
        </w:rPr>
        <w:t>information</w:t>
      </w:r>
      <w:r>
        <w:rPr>
          <w:color w:val="231F20"/>
          <w:spacing w:val="-15"/>
        </w:rPr>
        <w:t> </w:t>
      </w:r>
      <w:r>
        <w:rPr>
          <w:color w:val="231F20"/>
        </w:rPr>
        <w:t>exchange</w:t>
      </w:r>
      <w:r>
        <w:rPr>
          <w:color w:val="231F20"/>
          <w:spacing w:val="-15"/>
        </w:rPr>
        <w:t> </w:t>
      </w:r>
      <w:r>
        <w:rPr>
          <w:color w:val="231F20"/>
        </w:rPr>
        <w:t>to crypto-assets and</w:t>
      </w:r>
      <w:r>
        <w:rPr>
          <w:color w:val="231F20"/>
          <w:spacing w:val="40"/>
        </w:rPr>
        <w:t> </w:t>
      </w:r>
      <w:r>
        <w:rPr>
          <w:color w:val="231F20"/>
        </w:rPr>
        <w:t>advance tax rulings for the wealthiest taxpayers.</w:t>
      </w:r>
    </w:p>
    <w:p>
      <w:pPr>
        <w:pStyle w:val="BodyText"/>
        <w:spacing w:line="225" w:lineRule="auto" w:before="3"/>
        <w:ind w:left="100" w:right="175" w:firstLine="340"/>
        <w:jc w:val="both"/>
      </w:pPr>
      <w:r>
        <w:rPr>
          <w:color w:val="231F20"/>
        </w:rPr>
        <w:t>Cooperation between tax administrations concerning </w:t>
      </w:r>
      <w:r>
        <w:rPr>
          <w:color w:val="231F20"/>
        </w:rPr>
        <w:t>harmonized taxes is instead governed by regulations, which are by definition directly applicable</w:t>
      </w:r>
      <w:r>
        <w:rPr>
          <w:color w:val="231F20"/>
          <w:spacing w:val="-8"/>
        </w:rPr>
        <w:t> </w:t>
      </w:r>
      <w:r>
        <w:rPr>
          <w:color w:val="231F20"/>
        </w:rPr>
        <w:t>throughout</w:t>
      </w:r>
      <w:r>
        <w:rPr>
          <w:color w:val="231F20"/>
          <w:spacing w:val="-8"/>
        </w:rPr>
        <w:t> </w:t>
      </w:r>
      <w:r>
        <w:rPr>
          <w:color w:val="231F20"/>
        </w:rPr>
        <w:t>the</w:t>
      </w:r>
      <w:r>
        <w:rPr>
          <w:color w:val="231F20"/>
          <w:spacing w:val="-8"/>
        </w:rPr>
        <w:t> </w:t>
      </w:r>
      <w:r>
        <w:rPr>
          <w:color w:val="231F20"/>
        </w:rPr>
        <w:t>Union’s</w:t>
      </w:r>
      <w:r>
        <w:rPr>
          <w:color w:val="231F20"/>
          <w:spacing w:val="-8"/>
        </w:rPr>
        <w:t> </w:t>
      </w:r>
      <w:r>
        <w:rPr>
          <w:color w:val="231F20"/>
        </w:rPr>
        <w:t>territory,</w:t>
      </w:r>
      <w:r>
        <w:rPr>
          <w:color w:val="231F20"/>
          <w:spacing w:val="-8"/>
        </w:rPr>
        <w:t> </w:t>
      </w:r>
      <w:r>
        <w:rPr>
          <w:color w:val="231F20"/>
        </w:rPr>
        <w:t>specifically</w:t>
      </w:r>
      <w:r>
        <w:rPr>
          <w:color w:val="231F20"/>
          <w:spacing w:val="-8"/>
        </w:rPr>
        <w:t> </w:t>
      </w:r>
      <w:r>
        <w:rPr>
          <w:color w:val="231F20"/>
        </w:rPr>
        <w:t>by</w:t>
      </w:r>
      <w:r>
        <w:rPr>
          <w:color w:val="231F20"/>
          <w:spacing w:val="-8"/>
        </w:rPr>
        <w:t> </w:t>
      </w:r>
      <w:r>
        <w:rPr>
          <w:color w:val="231F20"/>
        </w:rPr>
        <w:t>Regulation</w:t>
      </w:r>
      <w:r>
        <w:rPr>
          <w:color w:val="231F20"/>
          <w:spacing w:val="-8"/>
        </w:rPr>
        <w:t> </w:t>
      </w:r>
      <w:r>
        <w:rPr>
          <w:color w:val="231F20"/>
        </w:rPr>
        <w:t>EU 904/2010 on the exchange of information on VAT</w:t>
      </w:r>
      <w:r>
        <w:rPr>
          <w:color w:val="231F20"/>
          <w:position w:val="8"/>
          <w:sz w:val="14"/>
        </w:rPr>
        <w:t>3</w:t>
      </w:r>
      <w:r>
        <w:rPr>
          <w:color w:val="231F20"/>
          <w:spacing w:val="40"/>
          <w:position w:val="8"/>
          <w:sz w:val="14"/>
        </w:rPr>
        <w:t> </w:t>
      </w:r>
      <w:r>
        <w:rPr>
          <w:color w:val="231F20"/>
        </w:rPr>
        <w:t>and Regulation EU 389/2012 on cooperation between Member States administrations on ex- cise duties</w:t>
      </w:r>
      <w:r>
        <w:rPr>
          <w:color w:val="231F20"/>
          <w:position w:val="8"/>
          <w:sz w:val="14"/>
        </w:rPr>
        <w:t>4</w:t>
      </w:r>
      <w:r>
        <w:rPr>
          <w:color w:val="231F20"/>
        </w:rPr>
        <w:t>.</w:t>
      </w:r>
    </w:p>
    <w:p>
      <w:pPr>
        <w:pStyle w:val="BodyText"/>
        <w:spacing w:line="225" w:lineRule="auto" w:before="7"/>
        <w:ind w:left="100" w:right="174" w:firstLine="340"/>
        <w:jc w:val="both"/>
      </w:pPr>
      <w:r>
        <w:rPr>
          <w:color w:val="231F20"/>
        </w:rPr>
        <w:t>Finally, it is worth mentioning the latest «heir» of the first aforemen- tioned directive of 1976 on administrative cooperation, namely Directive 2010/24/EU on mutual assistance in the recovery of tax claims relating to duties and taxes</w:t>
      </w:r>
      <w:r>
        <w:rPr>
          <w:color w:val="231F20"/>
          <w:position w:val="8"/>
          <w:sz w:val="14"/>
        </w:rPr>
        <w:t>5</w:t>
      </w:r>
      <w:r>
        <w:rPr>
          <w:color w:val="231F20"/>
        </w:rPr>
        <w:t>.</w:t>
      </w:r>
    </w:p>
    <w:p>
      <w:pPr>
        <w:pStyle w:val="BodyText"/>
      </w:pPr>
    </w:p>
    <w:p>
      <w:pPr>
        <w:pStyle w:val="BodyText"/>
        <w:spacing w:before="24"/>
      </w:pPr>
    </w:p>
    <w:p>
      <w:pPr>
        <w:pStyle w:val="Heading3"/>
        <w:numPr>
          <w:ilvl w:val="0"/>
          <w:numId w:val="1"/>
        </w:numPr>
        <w:tabs>
          <w:tab w:pos="382" w:val="left" w:leader="none"/>
        </w:tabs>
        <w:spacing w:line="240" w:lineRule="auto" w:before="0" w:after="0"/>
        <w:ind w:left="382" w:right="0" w:hanging="282"/>
        <w:jc w:val="left"/>
        <w:rPr>
          <w:b/>
        </w:rPr>
      </w:pPr>
      <w:r>
        <w:rPr>
          <w:b/>
          <w:color w:val="231F20"/>
        </w:rPr>
        <w:t>Case-law</w:t>
      </w:r>
      <w:r>
        <w:rPr>
          <w:b/>
          <w:color w:val="231F20"/>
          <w:spacing w:val="-5"/>
        </w:rPr>
        <w:t> </w:t>
      </w:r>
      <w:r>
        <w:rPr>
          <w:b/>
          <w:color w:val="231F20"/>
        </w:rPr>
        <w:t>on</w:t>
      </w:r>
      <w:r>
        <w:rPr>
          <w:b/>
          <w:color w:val="231F20"/>
          <w:spacing w:val="-4"/>
        </w:rPr>
        <w:t> </w:t>
      </w:r>
      <w:r>
        <w:rPr>
          <w:b/>
          <w:color w:val="231F20"/>
        </w:rPr>
        <w:t>the</w:t>
      </w:r>
      <w:r>
        <w:rPr>
          <w:b/>
          <w:color w:val="231F20"/>
          <w:spacing w:val="-4"/>
        </w:rPr>
        <w:t> </w:t>
      </w:r>
      <w:r>
        <w:rPr>
          <w:b/>
          <w:color w:val="231F20"/>
        </w:rPr>
        <w:t>Interpretation</w:t>
      </w:r>
      <w:r>
        <w:rPr>
          <w:b/>
          <w:color w:val="231F20"/>
          <w:spacing w:val="-5"/>
        </w:rPr>
        <w:t> </w:t>
      </w:r>
      <w:r>
        <w:rPr>
          <w:b/>
          <w:color w:val="231F20"/>
        </w:rPr>
        <w:t>of</w:t>
      </w:r>
      <w:r>
        <w:rPr>
          <w:b/>
          <w:color w:val="231F20"/>
          <w:spacing w:val="-4"/>
        </w:rPr>
        <w:t> </w:t>
      </w:r>
      <w:r>
        <w:rPr>
          <w:b/>
          <w:color w:val="231F20"/>
        </w:rPr>
        <w:t>Directive</w:t>
      </w:r>
      <w:r>
        <w:rPr>
          <w:b/>
          <w:color w:val="231F20"/>
          <w:spacing w:val="-4"/>
        </w:rPr>
        <w:t> </w:t>
      </w:r>
      <w:r>
        <w:rPr>
          <w:b/>
          <w:color w:val="231F20"/>
          <w:spacing w:val="-2"/>
        </w:rPr>
        <w:t>2011/16/EU</w:t>
      </w:r>
    </w:p>
    <w:p>
      <w:pPr>
        <w:pStyle w:val="Heading4"/>
        <w:spacing w:before="7"/>
        <w:jc w:val="both"/>
        <w:rPr>
          <w:b/>
          <w:i w:val="0"/>
        </w:rPr>
      </w:pPr>
      <w:r>
        <w:rPr>
          <w:b/>
          <w:i w:val="0"/>
          <w:color w:val="231F20"/>
        </w:rPr>
        <w:t>«</w:t>
      </w:r>
      <w:r>
        <w:rPr>
          <w:b/>
          <w:i/>
          <w:color w:val="231F20"/>
        </w:rPr>
        <w:t>on</w:t>
      </w:r>
      <w:r>
        <w:rPr>
          <w:b/>
          <w:i/>
          <w:color w:val="231F20"/>
          <w:spacing w:val="-4"/>
        </w:rPr>
        <w:t> </w:t>
      </w:r>
      <w:r>
        <w:rPr>
          <w:b/>
          <w:i/>
          <w:color w:val="231F20"/>
        </w:rPr>
        <w:t>administrative</w:t>
      </w:r>
      <w:r>
        <w:rPr>
          <w:b/>
          <w:i/>
          <w:color w:val="231F20"/>
          <w:spacing w:val="-1"/>
        </w:rPr>
        <w:t> </w:t>
      </w:r>
      <w:r>
        <w:rPr>
          <w:b/>
          <w:i/>
          <w:color w:val="231F20"/>
        </w:rPr>
        <w:t>Cooperation</w:t>
      </w:r>
      <w:r>
        <w:rPr>
          <w:b/>
          <w:i/>
          <w:color w:val="231F20"/>
          <w:spacing w:val="-1"/>
        </w:rPr>
        <w:t> </w:t>
      </w:r>
      <w:r>
        <w:rPr>
          <w:b/>
          <w:i/>
          <w:color w:val="231F20"/>
        </w:rPr>
        <w:t>in</w:t>
      </w:r>
      <w:r>
        <w:rPr>
          <w:b/>
          <w:i/>
          <w:color w:val="231F20"/>
          <w:spacing w:val="-1"/>
        </w:rPr>
        <w:t> </w:t>
      </w:r>
      <w:r>
        <w:rPr>
          <w:b/>
          <w:i/>
          <w:color w:val="231F20"/>
        </w:rPr>
        <w:t>the</w:t>
      </w:r>
      <w:r>
        <w:rPr>
          <w:b/>
          <w:i/>
          <w:color w:val="231F20"/>
          <w:spacing w:val="-1"/>
        </w:rPr>
        <w:t> </w:t>
      </w:r>
      <w:r>
        <w:rPr>
          <w:b/>
          <w:i/>
          <w:color w:val="231F20"/>
        </w:rPr>
        <w:t>Field</w:t>
      </w:r>
      <w:r>
        <w:rPr>
          <w:b/>
          <w:i/>
          <w:color w:val="231F20"/>
          <w:spacing w:val="-2"/>
        </w:rPr>
        <w:t> </w:t>
      </w:r>
      <w:r>
        <w:rPr>
          <w:b/>
          <w:i/>
          <w:color w:val="231F20"/>
        </w:rPr>
        <w:t>of</w:t>
      </w:r>
      <w:r>
        <w:rPr>
          <w:b/>
          <w:i/>
          <w:color w:val="231F20"/>
          <w:spacing w:val="-11"/>
        </w:rPr>
        <w:t> </w:t>
      </w:r>
      <w:r>
        <w:rPr>
          <w:b/>
          <w:i/>
          <w:color w:val="231F20"/>
          <w:spacing w:val="-2"/>
        </w:rPr>
        <w:t>Taxation</w:t>
      </w:r>
      <w:r>
        <w:rPr>
          <w:b/>
          <w:i w:val="0"/>
          <w:color w:val="231F20"/>
          <w:spacing w:val="-2"/>
        </w:rPr>
        <w:t>»</w:t>
      </w:r>
    </w:p>
    <w:p>
      <w:pPr>
        <w:spacing w:line="225" w:lineRule="auto" w:before="256"/>
        <w:ind w:left="100" w:right="175" w:firstLine="0"/>
        <w:jc w:val="both"/>
        <w:rPr>
          <w:sz w:val="24"/>
        </w:rPr>
      </w:pPr>
      <w:r>
        <w:rPr>
          <w:color w:val="231F20"/>
          <w:sz w:val="24"/>
        </w:rPr>
        <w:t>Directive 2011/16/EU has been the subject of six interpretative </w:t>
      </w:r>
      <w:r>
        <w:rPr>
          <w:color w:val="231F20"/>
          <w:sz w:val="24"/>
        </w:rPr>
        <w:t>judg- ments by the Court of Justice: case C-682/15 </w:t>
      </w:r>
      <w:r>
        <w:rPr>
          <w:i/>
          <w:color w:val="231F20"/>
          <w:sz w:val="24"/>
        </w:rPr>
        <w:t>Berlioz Investment Fund</w:t>
      </w:r>
      <w:r>
        <w:rPr>
          <w:color w:val="231F20"/>
          <w:position w:val="8"/>
          <w:sz w:val="14"/>
        </w:rPr>
        <w:t>6</w:t>
      </w:r>
      <w:r>
        <w:rPr>
          <w:color w:val="231F20"/>
          <w:sz w:val="24"/>
        </w:rPr>
        <w:t>, joined</w:t>
      </w:r>
      <w:r>
        <w:rPr>
          <w:color w:val="231F20"/>
          <w:spacing w:val="2"/>
          <w:sz w:val="24"/>
        </w:rPr>
        <w:t> </w:t>
      </w:r>
      <w:r>
        <w:rPr>
          <w:color w:val="231F20"/>
          <w:sz w:val="24"/>
        </w:rPr>
        <w:t>cases</w:t>
      </w:r>
      <w:r>
        <w:rPr>
          <w:color w:val="231F20"/>
          <w:spacing w:val="3"/>
          <w:sz w:val="24"/>
        </w:rPr>
        <w:t> </w:t>
      </w:r>
      <w:r>
        <w:rPr>
          <w:color w:val="231F20"/>
          <w:sz w:val="24"/>
        </w:rPr>
        <w:t>C-245/19</w:t>
      </w:r>
      <w:r>
        <w:rPr>
          <w:color w:val="231F20"/>
          <w:spacing w:val="3"/>
          <w:sz w:val="24"/>
        </w:rPr>
        <w:t> </w:t>
      </w:r>
      <w:r>
        <w:rPr>
          <w:color w:val="231F20"/>
          <w:sz w:val="24"/>
        </w:rPr>
        <w:t>and</w:t>
      </w:r>
      <w:r>
        <w:rPr>
          <w:color w:val="231F20"/>
          <w:spacing w:val="3"/>
          <w:sz w:val="24"/>
        </w:rPr>
        <w:t> </w:t>
      </w:r>
      <w:r>
        <w:rPr>
          <w:color w:val="231F20"/>
          <w:sz w:val="24"/>
        </w:rPr>
        <w:t>C-246/19</w:t>
      </w:r>
      <w:r>
        <w:rPr>
          <w:color w:val="231F20"/>
          <w:spacing w:val="3"/>
          <w:sz w:val="24"/>
        </w:rPr>
        <w:t> </w:t>
      </w:r>
      <w:r>
        <w:rPr>
          <w:color w:val="231F20"/>
          <w:sz w:val="24"/>
        </w:rPr>
        <w:t>État</w:t>
      </w:r>
      <w:r>
        <w:rPr>
          <w:color w:val="231F20"/>
          <w:spacing w:val="2"/>
          <w:sz w:val="24"/>
        </w:rPr>
        <w:t> </w:t>
      </w:r>
      <w:r>
        <w:rPr>
          <w:i/>
          <w:color w:val="231F20"/>
          <w:sz w:val="24"/>
        </w:rPr>
        <w:t>luxembourgeois</w:t>
      </w:r>
      <w:r>
        <w:rPr>
          <w:i/>
          <w:color w:val="231F20"/>
          <w:spacing w:val="3"/>
          <w:sz w:val="24"/>
        </w:rPr>
        <w:t> </w:t>
      </w:r>
      <w:r>
        <w:rPr>
          <w:i/>
          <w:color w:val="231F20"/>
          <w:sz w:val="24"/>
        </w:rPr>
        <w:t>v.</w:t>
      </w:r>
      <w:r>
        <w:rPr>
          <w:i/>
          <w:color w:val="231F20"/>
          <w:spacing w:val="3"/>
          <w:sz w:val="24"/>
        </w:rPr>
        <w:t> </w:t>
      </w:r>
      <w:r>
        <w:rPr>
          <w:i/>
          <w:color w:val="231F20"/>
          <w:sz w:val="24"/>
        </w:rPr>
        <w:t>B</w:t>
      </w:r>
      <w:r>
        <w:rPr>
          <w:i/>
          <w:color w:val="231F20"/>
          <w:spacing w:val="3"/>
          <w:sz w:val="24"/>
        </w:rPr>
        <w:t> </w:t>
      </w:r>
      <w:r>
        <w:rPr>
          <w:i/>
          <w:color w:val="231F20"/>
          <w:sz w:val="24"/>
        </w:rPr>
        <w:t>and</w:t>
      </w:r>
      <w:r>
        <w:rPr>
          <w:i/>
          <w:color w:val="231F20"/>
          <w:spacing w:val="3"/>
          <w:sz w:val="24"/>
        </w:rPr>
        <w:t> </w:t>
      </w:r>
      <w:r>
        <w:rPr>
          <w:i/>
          <w:color w:val="231F20"/>
          <w:spacing w:val="-2"/>
          <w:sz w:val="24"/>
        </w:rPr>
        <w:t>others</w:t>
      </w:r>
      <w:r>
        <w:rPr>
          <w:color w:val="231F20"/>
          <w:spacing w:val="-2"/>
          <w:position w:val="8"/>
          <w:sz w:val="14"/>
        </w:rPr>
        <w:t>7</w:t>
      </w:r>
      <w:r>
        <w:rPr>
          <w:color w:val="231F20"/>
          <w:spacing w:val="-2"/>
          <w:sz w:val="24"/>
        </w:rPr>
        <w:t>,</w:t>
      </w:r>
    </w:p>
    <w:p>
      <w:pPr>
        <w:pStyle w:val="BodyText"/>
        <w:spacing w:before="1"/>
        <w:rPr>
          <w:sz w:val="12"/>
        </w:rPr>
      </w:pPr>
      <w:r>
        <w:rPr/>
        <mc:AlternateContent>
          <mc:Choice Requires="wps">
            <w:drawing>
              <wp:anchor distT="0" distB="0" distL="0" distR="0" allowOverlap="1" layoutInCell="1" locked="0" behindDoc="1" simplePos="0" relativeHeight="487590912">
                <wp:simplePos x="0" y="0"/>
                <wp:positionH relativeFrom="page">
                  <wp:posOffset>864000</wp:posOffset>
                </wp:positionH>
                <wp:positionV relativeFrom="paragraph">
                  <wp:posOffset>113169</wp:posOffset>
                </wp:positionV>
                <wp:extent cx="792480" cy="1270"/>
                <wp:effectExtent l="0" t="0" r="0" b="0"/>
                <wp:wrapTopAndBottom/>
                <wp:docPr id="23" name="Graphic 23"/>
                <wp:cNvGraphicFramePr>
                  <a:graphicFrameLocks/>
                </wp:cNvGraphicFramePr>
                <a:graphic>
                  <a:graphicData uri="http://schemas.microsoft.com/office/word/2010/wordprocessingShape">
                    <wps:wsp>
                      <wps:cNvPr id="23" name="Graphic 23"/>
                      <wps:cNvSpPr/>
                      <wps:spPr>
                        <a:xfrm>
                          <a:off x="0" y="0"/>
                          <a:ext cx="792480" cy="1270"/>
                        </a:xfrm>
                        <a:custGeom>
                          <a:avLst/>
                          <a:gdLst/>
                          <a:ahLst/>
                          <a:cxnLst/>
                          <a:rect l="l" t="t" r="r" b="b"/>
                          <a:pathLst>
                            <a:path w="792480" h="0">
                              <a:moveTo>
                                <a:pt x="0" y="0"/>
                              </a:moveTo>
                              <a:lnTo>
                                <a:pt x="791997"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shape style="position:absolute;margin-left:68.031502pt;margin-top:8.911pt;width:62.4pt;height:.1pt;mso-position-horizontal-relative:page;mso-position-vertical-relative:paragraph;z-index:-15725568;mso-wrap-distance-left:0;mso-wrap-distance-right:0" id="docshape19" coordorigin="1361,178" coordsize="1248,0" path="m1361,178l2608,178e" filled="false" stroked="true" strokeweight=".5pt" strokecolor="#231f20">
                <v:path arrowok="t"/>
                <v:stroke dashstyle="solid"/>
                <w10:wrap type="topAndBottom"/>
              </v:shape>
            </w:pict>
          </mc:Fallback>
        </mc:AlternateContent>
      </w:r>
    </w:p>
    <w:p>
      <w:pPr>
        <w:spacing w:line="225" w:lineRule="auto" w:before="201"/>
        <w:ind w:left="100" w:right="174" w:firstLine="0"/>
        <w:jc w:val="both"/>
        <w:rPr>
          <w:sz w:val="19"/>
        </w:rPr>
      </w:pPr>
      <w:r>
        <w:rPr>
          <w:color w:val="231F20"/>
          <w:position w:val="6"/>
          <w:sz w:val="11"/>
        </w:rPr>
        <w:t>3</w:t>
      </w:r>
      <w:r>
        <w:rPr>
          <w:color w:val="231F20"/>
          <w:spacing w:val="80"/>
          <w:w w:val="150"/>
          <w:position w:val="6"/>
          <w:sz w:val="11"/>
        </w:rPr>
        <w:t> </w:t>
      </w:r>
      <w:r>
        <w:rPr>
          <w:color w:val="231F20"/>
          <w:sz w:val="19"/>
        </w:rPr>
        <w:t>EU Regulation 904/2010/EU of 7 October 2010 on administrative cooperation and the fight against fraud in the field of value added tax (OJEU L 268 of 12 October 2010).</w:t>
      </w:r>
    </w:p>
    <w:p>
      <w:pPr>
        <w:spacing w:line="225" w:lineRule="auto" w:before="2"/>
        <w:ind w:left="100" w:right="175" w:firstLine="0"/>
        <w:jc w:val="both"/>
        <w:rPr>
          <w:sz w:val="19"/>
        </w:rPr>
      </w:pPr>
      <w:r>
        <w:rPr>
          <w:color w:val="231F20"/>
          <w:position w:val="6"/>
          <w:sz w:val="11"/>
        </w:rPr>
        <w:t>4</w:t>
      </w:r>
      <w:r>
        <w:rPr>
          <w:color w:val="231F20"/>
          <w:spacing w:val="80"/>
          <w:position w:val="6"/>
          <w:sz w:val="11"/>
        </w:rPr>
        <w:t>  </w:t>
      </w:r>
      <w:r>
        <w:rPr>
          <w:color w:val="231F20"/>
          <w:sz w:val="19"/>
        </w:rPr>
        <w:t>EU Regulation 389/2012/EU of 2 May 2012 relating to administrative cooperation in</w:t>
      </w:r>
      <w:r>
        <w:rPr>
          <w:color w:val="231F20"/>
          <w:spacing w:val="40"/>
          <w:sz w:val="19"/>
        </w:rPr>
        <w:t> </w:t>
      </w:r>
      <w:r>
        <w:rPr>
          <w:color w:val="231F20"/>
          <w:sz w:val="19"/>
        </w:rPr>
        <w:t>the field of excise duties (OJEU L</w:t>
      </w:r>
      <w:r>
        <w:rPr>
          <w:color w:val="231F20"/>
          <w:spacing w:val="40"/>
          <w:sz w:val="19"/>
        </w:rPr>
        <w:t> </w:t>
      </w:r>
      <w:r>
        <w:rPr>
          <w:color w:val="231F20"/>
          <w:sz w:val="19"/>
        </w:rPr>
        <w:t>121, 8 May 2012). This regulation on administrative cooperation in the field of excise duties has not given rise, at the date of this study (January 2025), to any interpretative ruling by the Court of Justice.</w:t>
      </w:r>
    </w:p>
    <w:p>
      <w:pPr>
        <w:spacing w:line="225" w:lineRule="auto" w:before="4"/>
        <w:ind w:left="100" w:right="175" w:firstLine="0"/>
        <w:jc w:val="both"/>
        <w:rPr>
          <w:sz w:val="19"/>
        </w:rPr>
      </w:pPr>
      <w:r>
        <w:rPr>
          <w:color w:val="231F20"/>
          <w:position w:val="6"/>
          <w:sz w:val="11"/>
        </w:rPr>
        <w:t>5</w:t>
      </w:r>
      <w:r>
        <w:rPr>
          <w:color w:val="231F20"/>
          <w:spacing w:val="80"/>
          <w:w w:val="150"/>
          <w:position w:val="6"/>
          <w:sz w:val="11"/>
        </w:rPr>
        <w:t> </w:t>
      </w:r>
      <w:r>
        <w:rPr>
          <w:color w:val="231F20"/>
          <w:sz w:val="19"/>
        </w:rPr>
        <w:t>Directive 2010/24/EU of 16 March 2010 on mutual assistance in the recovery of debts relating to taxes, duties and other measures (OJEU L 84, 31 March 2010).</w:t>
      </w:r>
    </w:p>
    <w:p>
      <w:pPr>
        <w:spacing w:line="228" w:lineRule="auto" w:before="0"/>
        <w:ind w:left="100" w:right="174" w:hanging="1"/>
        <w:jc w:val="both"/>
        <w:rPr>
          <w:sz w:val="19"/>
        </w:rPr>
      </w:pPr>
      <w:r>
        <w:rPr>
          <w:color w:val="231F20"/>
          <w:position w:val="6"/>
          <w:sz w:val="11"/>
        </w:rPr>
        <w:t>6</w:t>
      </w:r>
      <w:r>
        <w:rPr>
          <w:color w:val="231F20"/>
          <w:spacing w:val="80"/>
          <w:position w:val="6"/>
          <w:sz w:val="11"/>
        </w:rPr>
        <w:t> </w:t>
      </w:r>
      <w:r>
        <w:rPr>
          <w:color w:val="231F20"/>
          <w:sz w:val="19"/>
        </w:rPr>
        <w:t>ECJ, 16 May 2017, case C-682/15, </w:t>
      </w:r>
      <w:r>
        <w:rPr>
          <w:i/>
          <w:color w:val="231F20"/>
          <w:sz w:val="19"/>
        </w:rPr>
        <w:t>Berlioz Investment Fund</w:t>
      </w:r>
      <w:r>
        <w:rPr>
          <w:color w:val="231F20"/>
          <w:sz w:val="19"/>
        </w:rPr>
        <w:t>. For a comment on this important ruling of the Court of Justice, see D. Berlin</w:t>
      </w:r>
      <w:r>
        <w:rPr>
          <w:i/>
          <w:color w:val="231F20"/>
          <w:sz w:val="19"/>
        </w:rPr>
        <w:t>, Souveraneité et protection des droits</w:t>
      </w:r>
      <w:r>
        <w:rPr>
          <w:i/>
          <w:color w:val="231F20"/>
          <w:sz w:val="19"/>
        </w:rPr>
        <w:t> foundationaux:</w:t>
      </w:r>
      <w:r>
        <w:rPr>
          <w:i/>
          <w:color w:val="231F20"/>
          <w:spacing w:val="-9"/>
          <w:sz w:val="19"/>
        </w:rPr>
        <w:t> </w:t>
      </w:r>
      <w:r>
        <w:rPr>
          <w:i/>
          <w:color w:val="231F20"/>
          <w:sz w:val="19"/>
        </w:rPr>
        <w:t>CJUE</w:t>
      </w:r>
      <w:r>
        <w:rPr>
          <w:i/>
          <w:color w:val="231F20"/>
          <w:spacing w:val="-9"/>
          <w:sz w:val="19"/>
        </w:rPr>
        <w:t> </w:t>
      </w:r>
      <w:r>
        <w:rPr>
          <w:i/>
          <w:color w:val="231F20"/>
          <w:sz w:val="19"/>
        </w:rPr>
        <w:t>16</w:t>
      </w:r>
      <w:r>
        <w:rPr>
          <w:i/>
          <w:color w:val="231F20"/>
          <w:spacing w:val="-9"/>
          <w:sz w:val="19"/>
        </w:rPr>
        <w:t> </w:t>
      </w:r>
      <w:r>
        <w:rPr>
          <w:i/>
          <w:color w:val="231F20"/>
          <w:sz w:val="19"/>
        </w:rPr>
        <w:t>mai</w:t>
      </w:r>
      <w:r>
        <w:rPr>
          <w:i/>
          <w:color w:val="231F20"/>
          <w:spacing w:val="-9"/>
          <w:sz w:val="19"/>
        </w:rPr>
        <w:t> </w:t>
      </w:r>
      <w:r>
        <w:rPr>
          <w:i/>
          <w:color w:val="231F20"/>
          <w:sz w:val="19"/>
        </w:rPr>
        <w:t>2017,</w:t>
      </w:r>
      <w:r>
        <w:rPr>
          <w:i/>
          <w:color w:val="231F20"/>
          <w:spacing w:val="-9"/>
          <w:sz w:val="19"/>
        </w:rPr>
        <w:t> </w:t>
      </w:r>
      <w:r>
        <w:rPr>
          <w:i/>
          <w:color w:val="231F20"/>
          <w:sz w:val="19"/>
        </w:rPr>
        <w:t>Berlioz,</w:t>
      </w:r>
      <w:r>
        <w:rPr>
          <w:i/>
          <w:color w:val="231F20"/>
          <w:spacing w:val="-9"/>
          <w:sz w:val="19"/>
        </w:rPr>
        <w:t> </w:t>
      </w:r>
      <w:r>
        <w:rPr>
          <w:i/>
          <w:color w:val="231F20"/>
          <w:sz w:val="19"/>
        </w:rPr>
        <w:t>affaire</w:t>
      </w:r>
      <w:r>
        <w:rPr>
          <w:i/>
          <w:color w:val="231F20"/>
          <w:spacing w:val="-9"/>
          <w:sz w:val="19"/>
        </w:rPr>
        <w:t> </w:t>
      </w:r>
      <w:r>
        <w:rPr>
          <w:i/>
          <w:color w:val="231F20"/>
          <w:sz w:val="19"/>
        </w:rPr>
        <w:t>C-682/15</w:t>
      </w:r>
      <w:r>
        <w:rPr>
          <w:color w:val="231F20"/>
          <w:sz w:val="19"/>
        </w:rPr>
        <w:t>,</w:t>
      </w:r>
      <w:r>
        <w:rPr>
          <w:color w:val="231F20"/>
          <w:spacing w:val="-9"/>
          <w:sz w:val="19"/>
        </w:rPr>
        <w:t> </w:t>
      </w:r>
      <w:r>
        <w:rPr>
          <w:color w:val="231F20"/>
          <w:sz w:val="19"/>
        </w:rPr>
        <w:t>in</w:t>
      </w:r>
      <w:r>
        <w:rPr>
          <w:color w:val="231F20"/>
          <w:spacing w:val="-9"/>
          <w:sz w:val="19"/>
        </w:rPr>
        <w:t> </w:t>
      </w:r>
      <w:r>
        <w:rPr>
          <w:i/>
          <w:color w:val="231F20"/>
          <w:sz w:val="19"/>
        </w:rPr>
        <w:t>Revue</w:t>
      </w:r>
      <w:r>
        <w:rPr>
          <w:i/>
          <w:color w:val="231F20"/>
          <w:spacing w:val="-9"/>
          <w:sz w:val="19"/>
        </w:rPr>
        <w:t> </w:t>
      </w:r>
      <w:r>
        <w:rPr>
          <w:i/>
          <w:color w:val="231F20"/>
          <w:sz w:val="19"/>
        </w:rPr>
        <w:t>des</w:t>
      </w:r>
      <w:r>
        <w:rPr>
          <w:i/>
          <w:color w:val="231F20"/>
          <w:spacing w:val="-9"/>
          <w:sz w:val="19"/>
        </w:rPr>
        <w:t> </w:t>
      </w:r>
      <w:r>
        <w:rPr>
          <w:i/>
          <w:color w:val="231F20"/>
          <w:sz w:val="19"/>
        </w:rPr>
        <w:t>Affaires</w:t>
      </w:r>
      <w:r>
        <w:rPr>
          <w:i/>
          <w:color w:val="231F20"/>
          <w:spacing w:val="-9"/>
          <w:sz w:val="19"/>
        </w:rPr>
        <w:t> </w:t>
      </w:r>
      <w:r>
        <w:rPr>
          <w:i/>
          <w:color w:val="231F20"/>
          <w:sz w:val="19"/>
        </w:rPr>
        <w:t>Européennes</w:t>
      </w:r>
      <w:r>
        <w:rPr>
          <w:color w:val="231F20"/>
          <w:sz w:val="19"/>
        </w:rPr>
        <w:t>, 2/2017, pp. 307-320; L. Neve, </w:t>
      </w:r>
      <w:r>
        <w:rPr>
          <w:i/>
          <w:color w:val="231F20"/>
          <w:sz w:val="19"/>
        </w:rPr>
        <w:t>Does the Berlioz decision of CJEU provide legal protection for</w:t>
      </w:r>
      <w:r>
        <w:rPr>
          <w:i/>
          <w:color w:val="231F20"/>
          <w:sz w:val="19"/>
        </w:rPr>
        <w:t> concerned persons in transnational area? Berlioz and remedies to ensure effective legal protection, C-682/15</w:t>
      </w:r>
      <w:r>
        <w:rPr>
          <w:color w:val="231F20"/>
          <w:sz w:val="19"/>
        </w:rPr>
        <w:t>, in </w:t>
      </w:r>
      <w:r>
        <w:rPr>
          <w:i/>
          <w:color w:val="231F20"/>
          <w:sz w:val="19"/>
        </w:rPr>
        <w:t>Review of European Administrative Law, </w:t>
      </w:r>
      <w:r>
        <w:rPr>
          <w:color w:val="231F20"/>
          <w:sz w:val="19"/>
        </w:rPr>
        <w:t>2/2017, pp. 95-119; E. Pantazantou, </w:t>
      </w:r>
      <w:r>
        <w:rPr>
          <w:i/>
          <w:color w:val="231F20"/>
          <w:sz w:val="19"/>
        </w:rPr>
        <w:t>Luxembourg: fundamental rights in the era of information exchange, the Berlioz case C-682/15,</w:t>
      </w:r>
      <w:r>
        <w:rPr>
          <w:i/>
          <w:color w:val="231F20"/>
          <w:spacing w:val="40"/>
          <w:sz w:val="19"/>
        </w:rPr>
        <w:t> </w:t>
      </w:r>
      <w:r>
        <w:rPr>
          <w:i/>
          <w:color w:val="231F20"/>
          <w:sz w:val="19"/>
        </w:rPr>
        <w:t>in CJEU: recent developments in direct taxation, </w:t>
      </w:r>
      <w:r>
        <w:rPr>
          <w:color w:val="231F20"/>
          <w:sz w:val="19"/>
        </w:rPr>
        <w:t>2018, pp. 127-151; W.H. Haslehner, </w:t>
      </w:r>
      <w:r>
        <w:rPr>
          <w:i/>
          <w:color w:val="231F20"/>
          <w:sz w:val="19"/>
        </w:rPr>
        <w:t>Luxembourg:</w:t>
      </w:r>
      <w:r>
        <w:rPr>
          <w:i/>
          <w:color w:val="231F20"/>
          <w:spacing w:val="-6"/>
          <w:sz w:val="19"/>
        </w:rPr>
        <w:t> </w:t>
      </w:r>
      <w:r>
        <w:rPr>
          <w:i/>
          <w:color w:val="231F20"/>
          <w:sz w:val="19"/>
        </w:rPr>
        <w:t>exchange</w:t>
      </w:r>
      <w:r>
        <w:rPr>
          <w:i/>
          <w:color w:val="231F20"/>
          <w:spacing w:val="-6"/>
          <w:sz w:val="19"/>
        </w:rPr>
        <w:t> </w:t>
      </w:r>
      <w:r>
        <w:rPr>
          <w:i/>
          <w:color w:val="231F20"/>
          <w:sz w:val="19"/>
        </w:rPr>
        <w:t>of</w:t>
      </w:r>
      <w:r>
        <w:rPr>
          <w:i/>
          <w:color w:val="231F20"/>
          <w:spacing w:val="-6"/>
          <w:sz w:val="19"/>
        </w:rPr>
        <w:t> </w:t>
      </w:r>
      <w:r>
        <w:rPr>
          <w:i/>
          <w:color w:val="231F20"/>
          <w:sz w:val="19"/>
        </w:rPr>
        <w:t>information</w:t>
      </w:r>
      <w:r>
        <w:rPr>
          <w:i/>
          <w:color w:val="231F20"/>
          <w:spacing w:val="-6"/>
          <w:sz w:val="19"/>
        </w:rPr>
        <w:t> </w:t>
      </w:r>
      <w:r>
        <w:rPr>
          <w:i/>
          <w:color w:val="231F20"/>
          <w:sz w:val="19"/>
        </w:rPr>
        <w:t>and</w:t>
      </w:r>
      <w:r>
        <w:rPr>
          <w:i/>
          <w:color w:val="231F20"/>
          <w:spacing w:val="-6"/>
          <w:sz w:val="19"/>
        </w:rPr>
        <w:t> </w:t>
      </w:r>
      <w:r>
        <w:rPr>
          <w:i/>
          <w:color w:val="231F20"/>
          <w:sz w:val="19"/>
        </w:rPr>
        <w:t>EU</w:t>
      </w:r>
      <w:r>
        <w:rPr>
          <w:i/>
          <w:color w:val="231F20"/>
          <w:spacing w:val="-6"/>
          <w:sz w:val="19"/>
        </w:rPr>
        <w:t> </w:t>
      </w:r>
      <w:r>
        <w:rPr>
          <w:i/>
          <w:color w:val="231F20"/>
          <w:sz w:val="19"/>
        </w:rPr>
        <w:t>fundamental</w:t>
      </w:r>
      <w:r>
        <w:rPr>
          <w:i/>
          <w:color w:val="231F20"/>
          <w:spacing w:val="-6"/>
          <w:sz w:val="19"/>
        </w:rPr>
        <w:t> </w:t>
      </w:r>
      <w:r>
        <w:rPr>
          <w:i/>
          <w:color w:val="231F20"/>
          <w:sz w:val="19"/>
        </w:rPr>
        <w:t>rights</w:t>
      </w:r>
      <w:r>
        <w:rPr>
          <w:i/>
          <w:color w:val="231F20"/>
          <w:spacing w:val="-6"/>
          <w:sz w:val="19"/>
        </w:rPr>
        <w:t> </w:t>
      </w:r>
      <w:r>
        <w:rPr>
          <w:i/>
          <w:color w:val="231F20"/>
          <w:sz w:val="19"/>
        </w:rPr>
        <w:t>(C-682/15,</w:t>
      </w:r>
      <w:r>
        <w:rPr>
          <w:i/>
          <w:color w:val="231F20"/>
          <w:spacing w:val="-6"/>
          <w:sz w:val="19"/>
        </w:rPr>
        <w:t> </w:t>
      </w:r>
      <w:r>
        <w:rPr>
          <w:i/>
          <w:color w:val="231F20"/>
          <w:sz w:val="19"/>
        </w:rPr>
        <w:t>Berlioz),</w:t>
      </w:r>
      <w:r>
        <w:rPr>
          <w:i/>
          <w:color w:val="231F20"/>
          <w:spacing w:val="-6"/>
          <w:sz w:val="19"/>
        </w:rPr>
        <w:t> </w:t>
      </w:r>
      <w:r>
        <w:rPr>
          <w:color w:val="231F20"/>
          <w:sz w:val="19"/>
        </w:rPr>
        <w:t>in</w:t>
      </w:r>
      <w:r>
        <w:rPr>
          <w:color w:val="231F20"/>
          <w:spacing w:val="-6"/>
          <w:sz w:val="19"/>
        </w:rPr>
        <w:t> </w:t>
      </w:r>
      <w:r>
        <w:rPr>
          <w:i/>
          <w:color w:val="231F20"/>
          <w:sz w:val="19"/>
        </w:rPr>
        <w:t>CJEU:</w:t>
      </w:r>
      <w:r>
        <w:rPr>
          <w:i/>
          <w:color w:val="231F20"/>
          <w:sz w:val="19"/>
        </w:rPr>
        <w:t> recent developments in direct taxation</w:t>
      </w:r>
      <w:r>
        <w:rPr>
          <w:color w:val="231F20"/>
          <w:sz w:val="19"/>
        </w:rPr>
        <w:t>, 2017, pp. 97-116.</w:t>
      </w:r>
    </w:p>
    <w:p>
      <w:pPr>
        <w:spacing w:line="225" w:lineRule="auto" w:before="0"/>
        <w:ind w:left="100" w:right="174" w:firstLine="0"/>
        <w:jc w:val="both"/>
        <w:rPr>
          <w:sz w:val="19"/>
        </w:rPr>
      </w:pPr>
      <w:r>
        <w:rPr>
          <w:color w:val="231F20"/>
          <w:position w:val="6"/>
          <w:sz w:val="11"/>
        </w:rPr>
        <w:t>7</w:t>
      </w:r>
      <w:r>
        <w:rPr>
          <w:color w:val="231F20"/>
          <w:spacing w:val="40"/>
          <w:position w:val="6"/>
          <w:sz w:val="11"/>
        </w:rPr>
        <w:t>  </w:t>
      </w:r>
      <w:r>
        <w:rPr>
          <w:color w:val="231F20"/>
          <w:sz w:val="19"/>
        </w:rPr>
        <w:t>ECJ, 6 October 2020, joined cases C-245/19 and C-246/19</w:t>
      </w:r>
      <w:r>
        <w:rPr>
          <w:i/>
          <w:color w:val="231F20"/>
          <w:sz w:val="19"/>
        </w:rPr>
        <w:t>, État luxembourgois v B </w:t>
      </w:r>
      <w:r>
        <w:rPr>
          <w:i/>
          <w:color w:val="231F20"/>
          <w:sz w:val="19"/>
        </w:rPr>
        <w:t>and</w:t>
      </w:r>
      <w:r>
        <w:rPr>
          <w:i/>
          <w:color w:val="231F20"/>
          <w:sz w:val="19"/>
        </w:rPr>
        <w:t> État luxembourgois v B, C, D and F.C. </w:t>
      </w:r>
      <w:r>
        <w:rPr>
          <w:color w:val="231F20"/>
          <w:sz w:val="19"/>
        </w:rPr>
        <w:t>Given the impossibility of quoting this ruling with the full</w:t>
      </w:r>
      <w:r>
        <w:rPr>
          <w:color w:val="231F20"/>
          <w:spacing w:val="-5"/>
          <w:sz w:val="19"/>
        </w:rPr>
        <w:t> </w:t>
      </w:r>
      <w:r>
        <w:rPr>
          <w:color w:val="231F20"/>
          <w:sz w:val="19"/>
        </w:rPr>
        <w:t>name</w:t>
      </w:r>
      <w:r>
        <w:rPr>
          <w:color w:val="231F20"/>
          <w:spacing w:val="-4"/>
          <w:sz w:val="19"/>
        </w:rPr>
        <w:t> </w:t>
      </w:r>
      <w:r>
        <w:rPr>
          <w:color w:val="231F20"/>
          <w:sz w:val="19"/>
        </w:rPr>
        <w:t>of</w:t>
      </w:r>
      <w:r>
        <w:rPr>
          <w:color w:val="231F20"/>
          <w:spacing w:val="-4"/>
          <w:sz w:val="19"/>
        </w:rPr>
        <w:t> </w:t>
      </w:r>
      <w:r>
        <w:rPr>
          <w:color w:val="231F20"/>
          <w:sz w:val="19"/>
        </w:rPr>
        <w:t>one</w:t>
      </w:r>
      <w:r>
        <w:rPr>
          <w:color w:val="231F20"/>
          <w:spacing w:val="-5"/>
          <w:sz w:val="19"/>
        </w:rPr>
        <w:t> </w:t>
      </w:r>
      <w:r>
        <w:rPr>
          <w:color w:val="231F20"/>
          <w:sz w:val="19"/>
        </w:rPr>
        <w:t>of</w:t>
      </w:r>
      <w:r>
        <w:rPr>
          <w:color w:val="231F20"/>
          <w:spacing w:val="-4"/>
          <w:sz w:val="19"/>
        </w:rPr>
        <w:t> </w:t>
      </w:r>
      <w:r>
        <w:rPr>
          <w:color w:val="231F20"/>
          <w:sz w:val="19"/>
        </w:rPr>
        <w:t>the</w:t>
      </w:r>
      <w:r>
        <w:rPr>
          <w:color w:val="231F20"/>
          <w:spacing w:val="-5"/>
          <w:sz w:val="19"/>
        </w:rPr>
        <w:t> </w:t>
      </w:r>
      <w:r>
        <w:rPr>
          <w:color w:val="231F20"/>
          <w:sz w:val="19"/>
        </w:rPr>
        <w:t>parties</w:t>
      </w:r>
      <w:r>
        <w:rPr>
          <w:color w:val="231F20"/>
          <w:spacing w:val="-5"/>
          <w:sz w:val="19"/>
        </w:rPr>
        <w:t> </w:t>
      </w:r>
      <w:r>
        <w:rPr>
          <w:color w:val="231F20"/>
          <w:sz w:val="19"/>
        </w:rPr>
        <w:t>in</w:t>
      </w:r>
      <w:r>
        <w:rPr>
          <w:color w:val="231F20"/>
          <w:spacing w:val="-5"/>
          <w:sz w:val="19"/>
        </w:rPr>
        <w:t> </w:t>
      </w:r>
      <w:r>
        <w:rPr>
          <w:color w:val="231F20"/>
          <w:sz w:val="19"/>
        </w:rPr>
        <w:t>the</w:t>
      </w:r>
      <w:r>
        <w:rPr>
          <w:color w:val="231F20"/>
          <w:spacing w:val="-5"/>
          <w:sz w:val="19"/>
        </w:rPr>
        <w:t> </w:t>
      </w:r>
      <w:r>
        <w:rPr>
          <w:color w:val="231F20"/>
          <w:sz w:val="19"/>
        </w:rPr>
        <w:t>main</w:t>
      </w:r>
      <w:r>
        <w:rPr>
          <w:color w:val="231F20"/>
          <w:spacing w:val="-4"/>
          <w:sz w:val="19"/>
        </w:rPr>
        <w:t> </w:t>
      </w:r>
      <w:r>
        <w:rPr>
          <w:color w:val="231F20"/>
          <w:sz w:val="19"/>
        </w:rPr>
        <w:t>proceedings,</w:t>
      </w:r>
      <w:r>
        <w:rPr>
          <w:color w:val="231F20"/>
          <w:spacing w:val="-5"/>
          <w:sz w:val="19"/>
        </w:rPr>
        <w:t> </w:t>
      </w:r>
      <w:r>
        <w:rPr>
          <w:color w:val="231F20"/>
          <w:sz w:val="19"/>
        </w:rPr>
        <w:t>this</w:t>
      </w:r>
      <w:r>
        <w:rPr>
          <w:color w:val="231F20"/>
          <w:spacing w:val="-4"/>
          <w:sz w:val="19"/>
        </w:rPr>
        <w:t> </w:t>
      </w:r>
      <w:r>
        <w:rPr>
          <w:color w:val="231F20"/>
          <w:sz w:val="19"/>
        </w:rPr>
        <w:t>ruling</w:t>
      </w:r>
      <w:r>
        <w:rPr>
          <w:color w:val="231F20"/>
          <w:spacing w:val="-4"/>
          <w:sz w:val="19"/>
        </w:rPr>
        <w:t> </w:t>
      </w:r>
      <w:r>
        <w:rPr>
          <w:color w:val="231F20"/>
          <w:sz w:val="19"/>
        </w:rPr>
        <w:t>of</w:t>
      </w:r>
      <w:r>
        <w:rPr>
          <w:color w:val="231F20"/>
          <w:spacing w:val="-5"/>
          <w:sz w:val="19"/>
        </w:rPr>
        <w:t> </w:t>
      </w:r>
      <w:r>
        <w:rPr>
          <w:color w:val="231F20"/>
          <w:sz w:val="19"/>
        </w:rPr>
        <w:t>the</w:t>
      </w:r>
      <w:r>
        <w:rPr>
          <w:color w:val="231F20"/>
          <w:spacing w:val="-5"/>
          <w:sz w:val="19"/>
        </w:rPr>
        <w:t> </w:t>
      </w:r>
      <w:r>
        <w:rPr>
          <w:color w:val="231F20"/>
          <w:sz w:val="19"/>
        </w:rPr>
        <w:t>Court</w:t>
      </w:r>
      <w:r>
        <w:rPr>
          <w:color w:val="231F20"/>
          <w:spacing w:val="-4"/>
          <w:sz w:val="19"/>
        </w:rPr>
        <w:t> </w:t>
      </w:r>
      <w:r>
        <w:rPr>
          <w:color w:val="231F20"/>
          <w:sz w:val="19"/>
        </w:rPr>
        <w:t>will</w:t>
      </w:r>
      <w:r>
        <w:rPr>
          <w:color w:val="231F20"/>
          <w:spacing w:val="-4"/>
          <w:sz w:val="19"/>
        </w:rPr>
        <w:t> </w:t>
      </w:r>
      <w:r>
        <w:rPr>
          <w:color w:val="231F20"/>
          <w:sz w:val="19"/>
        </w:rPr>
        <w:t>be</w:t>
      </w:r>
      <w:r>
        <w:rPr>
          <w:color w:val="231F20"/>
          <w:spacing w:val="-4"/>
          <w:sz w:val="19"/>
        </w:rPr>
        <w:t> </w:t>
      </w:r>
      <w:r>
        <w:rPr>
          <w:color w:val="231F20"/>
          <w:spacing w:val="-2"/>
          <w:sz w:val="19"/>
        </w:rPr>
        <w:t>quoted</w:t>
      </w:r>
    </w:p>
    <w:p>
      <w:pPr>
        <w:spacing w:after="0" w:line="225" w:lineRule="auto"/>
        <w:jc w:val="both"/>
        <w:rPr>
          <w:sz w:val="19"/>
        </w:rPr>
        <w:sectPr>
          <w:pgSz w:w="9640" w:h="13610"/>
          <w:pgMar w:header="0" w:footer="625" w:top="1260" w:bottom="820" w:left="1260" w:right="1240"/>
        </w:sectPr>
      </w:pPr>
    </w:p>
    <w:p>
      <w:pPr>
        <w:spacing w:line="225" w:lineRule="auto" w:before="117"/>
        <w:ind w:left="157" w:right="117" w:firstLine="0"/>
        <w:jc w:val="both"/>
        <w:rPr>
          <w:sz w:val="24"/>
        </w:rPr>
      </w:pPr>
      <w:r>
        <w:rPr/>
        <mc:AlternateContent>
          <mc:Choice Requires="wps">
            <w:drawing>
              <wp:anchor distT="0" distB="0" distL="0" distR="0" allowOverlap="1" layoutInCell="1" locked="0" behindDoc="0" simplePos="0" relativeHeight="15732736">
                <wp:simplePos x="0" y="0"/>
                <wp:positionH relativeFrom="page">
                  <wp:posOffset>5608609</wp:posOffset>
                </wp:positionH>
                <wp:positionV relativeFrom="page">
                  <wp:posOffset>2376001</wp:posOffset>
                </wp:positionV>
                <wp:extent cx="511809" cy="2412365"/>
                <wp:effectExtent l="0" t="0" r="0" b="0"/>
                <wp:wrapNone/>
                <wp:docPr id="24" name="Group 24"/>
                <wp:cNvGraphicFramePr>
                  <a:graphicFrameLocks/>
                </wp:cNvGraphicFramePr>
                <a:graphic>
                  <a:graphicData uri="http://schemas.microsoft.com/office/word/2010/wordprocessingGroup">
                    <wpg:wgp>
                      <wpg:cNvPr id="24" name="Group 24"/>
                      <wpg:cNvGrpSpPr/>
                      <wpg:grpSpPr>
                        <a:xfrm>
                          <a:off x="0" y="0"/>
                          <a:ext cx="511809" cy="2412365"/>
                          <a:chExt cx="511809" cy="2412365"/>
                        </a:xfrm>
                      </wpg:grpSpPr>
                      <wps:wsp>
                        <wps:cNvPr id="25" name="Graphic 25"/>
                        <wps:cNvSpPr/>
                        <wps:spPr>
                          <a:xfrm>
                            <a:off x="7393" y="3"/>
                            <a:ext cx="504190" cy="360045"/>
                          </a:xfrm>
                          <a:custGeom>
                            <a:avLst/>
                            <a:gdLst/>
                            <a:ahLst/>
                            <a:cxnLst/>
                            <a:rect l="l" t="t" r="r" b="b"/>
                            <a:pathLst>
                              <a:path w="504190" h="360045">
                                <a:moveTo>
                                  <a:pt x="503999" y="0"/>
                                </a:moveTo>
                                <a:lnTo>
                                  <a:pt x="0" y="0"/>
                                </a:lnTo>
                                <a:lnTo>
                                  <a:pt x="0" y="359994"/>
                                </a:lnTo>
                                <a:lnTo>
                                  <a:pt x="503999" y="359994"/>
                                </a:lnTo>
                                <a:lnTo>
                                  <a:pt x="503999" y="0"/>
                                </a:lnTo>
                                <a:close/>
                              </a:path>
                            </a:pathLst>
                          </a:custGeom>
                          <a:solidFill>
                            <a:srgbClr val="939598"/>
                          </a:solidFill>
                        </wps:spPr>
                        <wps:bodyPr wrap="square" lIns="0" tIns="0" rIns="0" bIns="0" rtlCol="0">
                          <a:prstTxWarp prst="textNoShape">
                            <a:avLst/>
                          </a:prstTxWarp>
                          <a:noAutofit/>
                        </wps:bodyPr>
                      </wps:wsp>
                      <wps:wsp>
                        <wps:cNvPr id="26" name="Graphic 26"/>
                        <wps:cNvSpPr/>
                        <wps:spPr>
                          <a:xfrm>
                            <a:off x="6350" y="0"/>
                            <a:ext cx="1270" cy="2412365"/>
                          </a:xfrm>
                          <a:custGeom>
                            <a:avLst/>
                            <a:gdLst/>
                            <a:ahLst/>
                            <a:cxnLst/>
                            <a:rect l="l" t="t" r="r" b="b"/>
                            <a:pathLst>
                              <a:path w="0" h="2412365">
                                <a:moveTo>
                                  <a:pt x="0" y="0"/>
                                </a:moveTo>
                                <a:lnTo>
                                  <a:pt x="0" y="2411996"/>
                                </a:lnTo>
                              </a:path>
                            </a:pathLst>
                          </a:custGeom>
                          <a:ln w="12700">
                            <a:solidFill>
                              <a:srgbClr val="939598"/>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441.622803pt;margin-top:187.0867pt;width:40.3pt;height:189.95pt;mso-position-horizontal-relative:page;mso-position-vertical-relative:page;z-index:15732736" id="docshapegroup20" coordorigin="8832,3742" coordsize="806,3799">
                <v:rect style="position:absolute;left:8844;top:3741;width:794;height:567" id="docshape21" filled="true" fillcolor="#939598" stroked="false">
                  <v:fill type="solid"/>
                </v:rect>
                <v:line style="position:absolute" from="8842,3742" to="8842,7540" stroked="true" strokeweight="1pt" strokecolor="#939598">
                  <v:stroke dashstyle="solid"/>
                </v:line>
                <w10:wrap type="none"/>
              </v:group>
            </w:pict>
          </mc:Fallback>
        </mc:AlternateContent>
      </w:r>
      <w:r>
        <w:rPr/>
        <mc:AlternateContent>
          <mc:Choice Requires="wps">
            <w:drawing>
              <wp:anchor distT="0" distB="0" distL="0" distR="0" allowOverlap="1" layoutInCell="1" locked="0" behindDoc="0" simplePos="0" relativeHeight="15733248">
                <wp:simplePos x="0" y="0"/>
                <wp:positionH relativeFrom="page">
                  <wp:posOffset>5635147</wp:posOffset>
                </wp:positionH>
                <wp:positionV relativeFrom="page">
                  <wp:posOffset>2795300</wp:posOffset>
                </wp:positionV>
                <wp:extent cx="299720" cy="1995805"/>
                <wp:effectExtent l="0" t="0" r="0" b="0"/>
                <wp:wrapNone/>
                <wp:docPr id="27" name="Textbox 27"/>
                <wp:cNvGraphicFramePr>
                  <a:graphicFrameLocks/>
                </wp:cNvGraphicFramePr>
                <a:graphic>
                  <a:graphicData uri="http://schemas.microsoft.com/office/word/2010/wordprocessingShape">
                    <wps:wsp>
                      <wps:cNvPr id="27" name="Textbox 27"/>
                      <wps:cNvSpPr txBox="1"/>
                      <wps:spPr>
                        <a:xfrm>
                          <a:off x="0" y="0"/>
                          <a:ext cx="299720" cy="1995805"/>
                        </a:xfrm>
                        <a:prstGeom prst="rect">
                          <a:avLst/>
                        </a:prstGeom>
                      </wps:spPr>
                      <wps:txbx>
                        <w:txbxContent>
                          <w:p>
                            <w:pPr>
                              <w:spacing w:before="20"/>
                              <w:ind w:left="20" w:right="0" w:firstLine="0"/>
                              <w:jc w:val="left"/>
                              <w:rPr>
                                <w:rFonts w:ascii="Minion Pro"/>
                                <w:sz w:val="32"/>
                              </w:rPr>
                            </w:pPr>
                            <w:r>
                              <w:rPr>
                                <w:rFonts w:ascii="Minion Pro"/>
                                <w:color w:val="231F20"/>
                                <w:sz w:val="32"/>
                              </w:rPr>
                              <w:t>Commented</w:t>
                            </w:r>
                            <w:r>
                              <w:rPr>
                                <w:rFonts w:ascii="Minion Pro"/>
                                <w:color w:val="231F20"/>
                                <w:spacing w:val="-10"/>
                                <w:sz w:val="32"/>
                              </w:rPr>
                              <w:t> </w:t>
                            </w:r>
                            <w:r>
                              <w:rPr>
                                <w:rFonts w:ascii="Minion Pro"/>
                                <w:color w:val="231F20"/>
                                <w:spacing w:val="-2"/>
                                <w:sz w:val="32"/>
                              </w:rPr>
                              <w:t>documents</w:t>
                            </w:r>
                          </w:p>
                        </w:txbxContent>
                      </wps:txbx>
                      <wps:bodyPr wrap="square" lIns="0" tIns="0" rIns="0" bIns="0" rtlCol="0" vert="vert">
                        <a:noAutofit/>
                      </wps:bodyPr>
                    </wps:wsp>
                  </a:graphicData>
                </a:graphic>
              </wp:anchor>
            </w:drawing>
          </mc:Choice>
          <mc:Fallback>
            <w:pict>
              <v:shape style="position:absolute;margin-left:443.712402pt;margin-top:220.102402pt;width:23.6pt;height:157.15pt;mso-position-horizontal-relative:page;mso-position-vertical-relative:page;z-index:15733248" type="#_x0000_t202" id="docshape22" filled="false" stroked="false">
                <v:textbox inset="0,0,0,0" style="layout-flow:vertical">
                  <w:txbxContent>
                    <w:p>
                      <w:pPr>
                        <w:spacing w:before="20"/>
                        <w:ind w:left="20" w:right="0" w:firstLine="0"/>
                        <w:jc w:val="left"/>
                        <w:rPr>
                          <w:rFonts w:ascii="Minion Pro"/>
                          <w:sz w:val="32"/>
                        </w:rPr>
                      </w:pPr>
                      <w:r>
                        <w:rPr>
                          <w:rFonts w:ascii="Minion Pro"/>
                          <w:color w:val="231F20"/>
                          <w:sz w:val="32"/>
                        </w:rPr>
                        <w:t>Commented</w:t>
                      </w:r>
                      <w:r>
                        <w:rPr>
                          <w:rFonts w:ascii="Minion Pro"/>
                          <w:color w:val="231F20"/>
                          <w:spacing w:val="-10"/>
                          <w:sz w:val="32"/>
                        </w:rPr>
                        <w:t> </w:t>
                      </w:r>
                      <w:r>
                        <w:rPr>
                          <w:rFonts w:ascii="Minion Pro"/>
                          <w:color w:val="231F20"/>
                          <w:spacing w:val="-2"/>
                          <w:sz w:val="32"/>
                        </w:rPr>
                        <w:t>documents</w:t>
                      </w:r>
                    </w:p>
                  </w:txbxContent>
                </v:textbox>
                <w10:wrap type="none"/>
              </v:shape>
            </w:pict>
          </mc:Fallback>
        </mc:AlternateContent>
      </w:r>
      <w:r>
        <w:rPr>
          <w:color w:val="231F20"/>
          <w:sz w:val="24"/>
        </w:rPr>
        <w:t>case</w:t>
      </w:r>
      <w:r>
        <w:rPr>
          <w:color w:val="231F20"/>
          <w:spacing w:val="-3"/>
          <w:sz w:val="24"/>
        </w:rPr>
        <w:t> </w:t>
      </w:r>
      <w:r>
        <w:rPr>
          <w:color w:val="231F20"/>
          <w:sz w:val="24"/>
        </w:rPr>
        <w:t>C-437/19</w:t>
      </w:r>
      <w:r>
        <w:rPr>
          <w:color w:val="231F20"/>
          <w:spacing w:val="-3"/>
          <w:sz w:val="24"/>
        </w:rPr>
        <w:t> </w:t>
      </w:r>
      <w:r>
        <w:rPr>
          <w:color w:val="231F20"/>
          <w:sz w:val="24"/>
        </w:rPr>
        <w:t>État</w:t>
      </w:r>
      <w:r>
        <w:rPr>
          <w:color w:val="231F20"/>
          <w:spacing w:val="-3"/>
          <w:sz w:val="24"/>
        </w:rPr>
        <w:t> </w:t>
      </w:r>
      <w:r>
        <w:rPr>
          <w:i/>
          <w:color w:val="231F20"/>
          <w:sz w:val="24"/>
        </w:rPr>
        <w:t>luxembourgeois</w:t>
      </w:r>
      <w:r>
        <w:rPr>
          <w:i/>
          <w:color w:val="231F20"/>
          <w:spacing w:val="-3"/>
          <w:sz w:val="24"/>
        </w:rPr>
        <w:t> </w:t>
      </w:r>
      <w:r>
        <w:rPr>
          <w:i/>
          <w:color w:val="231F20"/>
          <w:sz w:val="24"/>
        </w:rPr>
        <w:t>v.</w:t>
      </w:r>
      <w:r>
        <w:rPr>
          <w:i/>
          <w:color w:val="231F20"/>
          <w:spacing w:val="-3"/>
          <w:sz w:val="24"/>
        </w:rPr>
        <w:t> </w:t>
      </w:r>
      <w:r>
        <w:rPr>
          <w:i/>
          <w:color w:val="231F20"/>
          <w:sz w:val="24"/>
        </w:rPr>
        <w:t>L</w:t>
      </w:r>
      <w:r>
        <w:rPr>
          <w:color w:val="231F20"/>
          <w:position w:val="8"/>
          <w:sz w:val="14"/>
        </w:rPr>
        <w:t>8</w:t>
      </w:r>
      <w:r>
        <w:rPr>
          <w:color w:val="231F20"/>
          <w:sz w:val="24"/>
        </w:rPr>
        <w:t>,</w:t>
      </w:r>
      <w:r>
        <w:rPr>
          <w:color w:val="231F20"/>
          <w:spacing w:val="-3"/>
          <w:sz w:val="24"/>
        </w:rPr>
        <w:t> </w:t>
      </w:r>
      <w:r>
        <w:rPr>
          <w:color w:val="231F20"/>
          <w:sz w:val="24"/>
        </w:rPr>
        <w:t>case</w:t>
      </w:r>
      <w:r>
        <w:rPr>
          <w:color w:val="231F20"/>
          <w:spacing w:val="-3"/>
          <w:sz w:val="24"/>
        </w:rPr>
        <w:t> </w:t>
      </w:r>
      <w:r>
        <w:rPr>
          <w:color w:val="231F20"/>
          <w:sz w:val="24"/>
        </w:rPr>
        <w:t>C-694/20</w:t>
      </w:r>
      <w:r>
        <w:rPr>
          <w:color w:val="231F20"/>
          <w:spacing w:val="-3"/>
          <w:sz w:val="24"/>
        </w:rPr>
        <w:t> </w:t>
      </w:r>
      <w:r>
        <w:rPr>
          <w:i/>
          <w:color w:val="231F20"/>
          <w:sz w:val="24"/>
        </w:rPr>
        <w:t>Orde</w:t>
      </w:r>
      <w:r>
        <w:rPr>
          <w:i/>
          <w:color w:val="231F20"/>
          <w:spacing w:val="-3"/>
          <w:sz w:val="24"/>
        </w:rPr>
        <w:t> </w:t>
      </w:r>
      <w:r>
        <w:rPr>
          <w:i/>
          <w:color w:val="231F20"/>
          <w:sz w:val="24"/>
        </w:rPr>
        <w:t>van</w:t>
      </w:r>
      <w:r>
        <w:rPr>
          <w:i/>
          <w:color w:val="231F20"/>
          <w:spacing w:val="-13"/>
          <w:sz w:val="24"/>
        </w:rPr>
        <w:t> </w:t>
      </w:r>
      <w:r>
        <w:rPr>
          <w:i/>
          <w:color w:val="231F20"/>
          <w:sz w:val="24"/>
        </w:rPr>
        <w:t>Vlaamse</w:t>
      </w:r>
      <w:r>
        <w:rPr>
          <w:i/>
          <w:color w:val="231F20"/>
          <w:sz w:val="24"/>
        </w:rPr>
        <w:t> Balies v.</w:t>
      </w:r>
      <w:r>
        <w:rPr>
          <w:i/>
          <w:color w:val="231F20"/>
          <w:spacing w:val="-8"/>
          <w:sz w:val="24"/>
        </w:rPr>
        <w:t> </w:t>
      </w:r>
      <w:r>
        <w:rPr>
          <w:i/>
          <w:color w:val="231F20"/>
          <w:sz w:val="24"/>
        </w:rPr>
        <w:t>Vlaamse Regering</w:t>
      </w:r>
      <w:r>
        <w:rPr>
          <w:color w:val="231F20"/>
          <w:position w:val="8"/>
          <w:sz w:val="14"/>
        </w:rPr>
        <w:t>9</w:t>
      </w:r>
      <w:r>
        <w:rPr>
          <w:color w:val="231F20"/>
          <w:sz w:val="24"/>
        </w:rPr>
        <w:t>, case C-623/22 </w:t>
      </w:r>
      <w:r>
        <w:rPr>
          <w:i/>
          <w:color w:val="231F20"/>
          <w:sz w:val="24"/>
        </w:rPr>
        <w:t>Belgian Association of</w:t>
      </w:r>
      <w:r>
        <w:rPr>
          <w:i/>
          <w:color w:val="231F20"/>
          <w:spacing w:val="-8"/>
          <w:sz w:val="24"/>
        </w:rPr>
        <w:t> </w:t>
      </w:r>
      <w:r>
        <w:rPr>
          <w:i/>
          <w:color w:val="231F20"/>
          <w:sz w:val="24"/>
        </w:rPr>
        <w:t>Tax Law-</w:t>
      </w:r>
      <w:r>
        <w:rPr>
          <w:i/>
          <w:color w:val="231F20"/>
          <w:sz w:val="24"/>
        </w:rPr>
        <w:t> yers</w:t>
      </w:r>
      <w:r>
        <w:rPr>
          <w:i/>
          <w:color w:val="231F20"/>
          <w:spacing w:val="-2"/>
          <w:sz w:val="24"/>
        </w:rPr>
        <w:t> </w:t>
      </w:r>
      <w:r>
        <w:rPr>
          <w:i/>
          <w:color w:val="231F20"/>
          <w:sz w:val="24"/>
        </w:rPr>
        <w:t>(BATL)</w:t>
      </w:r>
      <w:r>
        <w:rPr>
          <w:i/>
          <w:color w:val="231F20"/>
          <w:spacing w:val="-2"/>
          <w:sz w:val="24"/>
        </w:rPr>
        <w:t> </w:t>
      </w:r>
      <w:r>
        <w:rPr>
          <w:i/>
          <w:color w:val="231F20"/>
          <w:sz w:val="24"/>
        </w:rPr>
        <w:t>v.</w:t>
      </w:r>
      <w:r>
        <w:rPr>
          <w:i/>
          <w:color w:val="231F20"/>
          <w:spacing w:val="-2"/>
          <w:sz w:val="24"/>
        </w:rPr>
        <w:t> </w:t>
      </w:r>
      <w:r>
        <w:rPr>
          <w:i/>
          <w:color w:val="231F20"/>
          <w:sz w:val="24"/>
        </w:rPr>
        <w:t>Prime</w:t>
      </w:r>
      <w:r>
        <w:rPr>
          <w:i/>
          <w:color w:val="231F20"/>
          <w:spacing w:val="-2"/>
          <w:sz w:val="24"/>
        </w:rPr>
        <w:t> </w:t>
      </w:r>
      <w:r>
        <w:rPr>
          <w:i/>
          <w:color w:val="231F20"/>
          <w:sz w:val="24"/>
        </w:rPr>
        <w:t>Minister</w:t>
      </w:r>
      <w:r>
        <w:rPr>
          <w:color w:val="231F20"/>
          <w:position w:val="8"/>
          <w:sz w:val="14"/>
        </w:rPr>
        <w:t>10</w:t>
      </w:r>
      <w:r>
        <w:rPr>
          <w:color w:val="231F20"/>
          <w:spacing w:val="23"/>
          <w:position w:val="8"/>
          <w:sz w:val="14"/>
        </w:rPr>
        <w:t> </w:t>
      </w:r>
      <w:r>
        <w:rPr>
          <w:color w:val="231F20"/>
          <w:sz w:val="24"/>
        </w:rPr>
        <w:t>and</w:t>
      </w:r>
      <w:r>
        <w:rPr>
          <w:color w:val="231F20"/>
          <w:spacing w:val="-2"/>
          <w:sz w:val="24"/>
        </w:rPr>
        <w:t> </w:t>
      </w:r>
      <w:r>
        <w:rPr>
          <w:color w:val="231F20"/>
          <w:sz w:val="24"/>
        </w:rPr>
        <w:t>case</w:t>
      </w:r>
      <w:r>
        <w:rPr>
          <w:color w:val="231F20"/>
          <w:spacing w:val="-2"/>
          <w:sz w:val="24"/>
        </w:rPr>
        <w:t> </w:t>
      </w:r>
      <w:r>
        <w:rPr>
          <w:color w:val="231F20"/>
          <w:sz w:val="24"/>
        </w:rPr>
        <w:t>C-432/23,</w:t>
      </w:r>
      <w:r>
        <w:rPr>
          <w:color w:val="231F20"/>
          <w:spacing w:val="-2"/>
          <w:sz w:val="24"/>
        </w:rPr>
        <w:t> </w:t>
      </w:r>
      <w:r>
        <w:rPr>
          <w:i/>
          <w:color w:val="231F20"/>
          <w:sz w:val="24"/>
        </w:rPr>
        <w:t>FSCS</w:t>
      </w:r>
      <w:r>
        <w:rPr>
          <w:i/>
          <w:color w:val="231F20"/>
          <w:spacing w:val="-2"/>
          <w:sz w:val="24"/>
        </w:rPr>
        <w:t> </w:t>
      </w:r>
      <w:r>
        <w:rPr>
          <w:i/>
          <w:color w:val="231F20"/>
          <w:sz w:val="24"/>
        </w:rPr>
        <w:t>(Law</w:t>
      </w:r>
      <w:r>
        <w:rPr>
          <w:i/>
          <w:color w:val="231F20"/>
          <w:spacing w:val="-2"/>
          <w:sz w:val="24"/>
        </w:rPr>
        <w:t> </w:t>
      </w:r>
      <w:r>
        <w:rPr>
          <w:i/>
          <w:color w:val="231F20"/>
          <w:sz w:val="24"/>
        </w:rPr>
        <w:t>Firm)</w:t>
      </w:r>
      <w:r>
        <w:rPr>
          <w:i/>
          <w:color w:val="231F20"/>
          <w:spacing w:val="-2"/>
          <w:sz w:val="24"/>
        </w:rPr>
        <w:t> </w:t>
      </w:r>
      <w:r>
        <w:rPr>
          <w:i/>
          <w:color w:val="231F20"/>
          <w:sz w:val="24"/>
        </w:rPr>
        <w:t>and</w:t>
      </w:r>
      <w:r>
        <w:rPr>
          <w:i/>
          <w:color w:val="231F20"/>
          <w:sz w:val="24"/>
        </w:rPr>
        <w:t> Luxembourg Bar Association v. Direct</w:t>
      </w:r>
      <w:r>
        <w:rPr>
          <w:i/>
          <w:color w:val="231F20"/>
          <w:spacing w:val="-7"/>
          <w:sz w:val="24"/>
        </w:rPr>
        <w:t> </w:t>
      </w:r>
      <w:r>
        <w:rPr>
          <w:i/>
          <w:color w:val="231F20"/>
          <w:sz w:val="24"/>
        </w:rPr>
        <w:t>Taxes Administration11</w:t>
      </w:r>
      <w:r>
        <w:rPr>
          <w:color w:val="231F20"/>
          <w:sz w:val="24"/>
        </w:rPr>
        <w:t>. These judg- ments are extremely important in terms of their content, as the </w:t>
      </w:r>
      <w:r>
        <w:rPr>
          <w:color w:val="231F20"/>
          <w:sz w:val="24"/>
        </w:rPr>
        <w:t>referring courts</w:t>
      </w:r>
      <w:r>
        <w:rPr>
          <w:color w:val="231F20"/>
          <w:spacing w:val="-1"/>
          <w:sz w:val="24"/>
        </w:rPr>
        <w:t> </w:t>
      </w:r>
      <w:r>
        <w:rPr>
          <w:color w:val="231F20"/>
          <w:sz w:val="24"/>
        </w:rPr>
        <w:t>asked</w:t>
      </w:r>
      <w:r>
        <w:rPr>
          <w:color w:val="231F20"/>
          <w:spacing w:val="-1"/>
          <w:sz w:val="24"/>
        </w:rPr>
        <w:t> </w:t>
      </w:r>
      <w:r>
        <w:rPr>
          <w:color w:val="231F20"/>
          <w:sz w:val="24"/>
        </w:rPr>
        <w:t>the</w:t>
      </w:r>
      <w:r>
        <w:rPr>
          <w:color w:val="231F20"/>
          <w:spacing w:val="-1"/>
          <w:sz w:val="24"/>
        </w:rPr>
        <w:t> </w:t>
      </w:r>
      <w:r>
        <w:rPr>
          <w:color w:val="231F20"/>
          <w:sz w:val="24"/>
        </w:rPr>
        <w:t>Court</w:t>
      </w:r>
      <w:r>
        <w:rPr>
          <w:color w:val="231F20"/>
          <w:spacing w:val="-1"/>
          <w:sz w:val="24"/>
        </w:rPr>
        <w:t> </w:t>
      </w:r>
      <w:r>
        <w:rPr>
          <w:color w:val="231F20"/>
          <w:sz w:val="24"/>
        </w:rPr>
        <w:t>to</w:t>
      </w:r>
      <w:r>
        <w:rPr>
          <w:color w:val="231F20"/>
          <w:spacing w:val="-1"/>
          <w:sz w:val="24"/>
        </w:rPr>
        <w:t> </w:t>
      </w:r>
      <w:r>
        <w:rPr>
          <w:color w:val="231F20"/>
          <w:sz w:val="24"/>
        </w:rPr>
        <w:t>interpret</w:t>
      </w:r>
      <w:r>
        <w:rPr>
          <w:color w:val="231F20"/>
          <w:spacing w:val="-1"/>
          <w:sz w:val="24"/>
        </w:rPr>
        <w:t> </w:t>
      </w:r>
      <w:r>
        <w:rPr>
          <w:color w:val="231F20"/>
          <w:sz w:val="24"/>
        </w:rPr>
        <w:t>some</w:t>
      </w:r>
      <w:r>
        <w:rPr>
          <w:color w:val="231F20"/>
          <w:spacing w:val="-1"/>
          <w:sz w:val="24"/>
        </w:rPr>
        <w:t> </w:t>
      </w:r>
      <w:r>
        <w:rPr>
          <w:color w:val="231F20"/>
          <w:sz w:val="24"/>
        </w:rPr>
        <w:t>key</w:t>
      </w:r>
      <w:r>
        <w:rPr>
          <w:color w:val="231F20"/>
          <w:spacing w:val="-1"/>
          <w:sz w:val="24"/>
        </w:rPr>
        <w:t> </w:t>
      </w:r>
      <w:r>
        <w:rPr>
          <w:color w:val="231F20"/>
          <w:sz w:val="24"/>
        </w:rPr>
        <w:t>provisions</w:t>
      </w:r>
      <w:r>
        <w:rPr>
          <w:color w:val="231F20"/>
          <w:spacing w:val="-1"/>
          <w:sz w:val="24"/>
        </w:rPr>
        <w:t> </w:t>
      </w:r>
      <w:r>
        <w:rPr>
          <w:color w:val="231F20"/>
          <w:sz w:val="24"/>
        </w:rPr>
        <w:t>of</w:t>
      </w:r>
      <w:r>
        <w:rPr>
          <w:color w:val="231F20"/>
          <w:spacing w:val="-1"/>
          <w:sz w:val="24"/>
        </w:rPr>
        <w:t> </w:t>
      </w:r>
      <w:r>
        <w:rPr>
          <w:color w:val="231F20"/>
          <w:sz w:val="24"/>
        </w:rPr>
        <w:t>the</w:t>
      </w:r>
      <w:r>
        <w:rPr>
          <w:color w:val="231F20"/>
          <w:spacing w:val="-1"/>
          <w:sz w:val="24"/>
        </w:rPr>
        <w:t> </w:t>
      </w:r>
      <w:r>
        <w:rPr>
          <w:color w:val="231F20"/>
          <w:sz w:val="24"/>
        </w:rPr>
        <w:t>directive</w:t>
      </w:r>
      <w:r>
        <w:rPr>
          <w:color w:val="231F20"/>
          <w:spacing w:val="-1"/>
          <w:sz w:val="24"/>
        </w:rPr>
        <w:t> </w:t>
      </w:r>
      <w:r>
        <w:rPr>
          <w:color w:val="231F20"/>
          <w:sz w:val="24"/>
        </w:rPr>
        <w:t>in light of two very important articles of the Charter of Fundamental Rights of the European Union (CFR or «Charter»): Article 7 («Right to respect for</w:t>
      </w:r>
      <w:r>
        <w:rPr>
          <w:color w:val="231F20"/>
          <w:spacing w:val="-6"/>
          <w:sz w:val="24"/>
        </w:rPr>
        <w:t> </w:t>
      </w:r>
      <w:r>
        <w:rPr>
          <w:color w:val="231F20"/>
          <w:sz w:val="24"/>
        </w:rPr>
        <w:t>private</w:t>
      </w:r>
      <w:r>
        <w:rPr>
          <w:color w:val="231F20"/>
          <w:spacing w:val="-6"/>
          <w:sz w:val="24"/>
        </w:rPr>
        <w:t> </w:t>
      </w:r>
      <w:r>
        <w:rPr>
          <w:color w:val="231F20"/>
          <w:sz w:val="24"/>
        </w:rPr>
        <w:t>life</w:t>
      </w:r>
      <w:r>
        <w:rPr>
          <w:color w:val="231F20"/>
          <w:spacing w:val="-6"/>
          <w:sz w:val="24"/>
        </w:rPr>
        <w:t> </w:t>
      </w:r>
      <w:r>
        <w:rPr>
          <w:color w:val="231F20"/>
          <w:sz w:val="24"/>
        </w:rPr>
        <w:t>and</w:t>
      </w:r>
      <w:r>
        <w:rPr>
          <w:color w:val="231F20"/>
          <w:spacing w:val="-6"/>
          <w:sz w:val="24"/>
        </w:rPr>
        <w:t> </w:t>
      </w:r>
      <w:r>
        <w:rPr>
          <w:color w:val="231F20"/>
          <w:sz w:val="24"/>
        </w:rPr>
        <w:t>communication»)</w:t>
      </w:r>
      <w:r>
        <w:rPr>
          <w:color w:val="231F20"/>
          <w:spacing w:val="-6"/>
          <w:sz w:val="24"/>
        </w:rPr>
        <w:t> </w:t>
      </w:r>
      <w:r>
        <w:rPr>
          <w:color w:val="231F20"/>
          <w:sz w:val="24"/>
        </w:rPr>
        <w:t>and</w:t>
      </w:r>
      <w:r>
        <w:rPr>
          <w:color w:val="231F20"/>
          <w:spacing w:val="-6"/>
          <w:sz w:val="24"/>
        </w:rPr>
        <w:t> </w:t>
      </w:r>
      <w:r>
        <w:rPr>
          <w:color w:val="231F20"/>
          <w:sz w:val="24"/>
        </w:rPr>
        <w:t>Article</w:t>
      </w:r>
      <w:r>
        <w:rPr>
          <w:color w:val="231F20"/>
          <w:spacing w:val="-6"/>
          <w:sz w:val="24"/>
        </w:rPr>
        <w:t> </w:t>
      </w:r>
      <w:r>
        <w:rPr>
          <w:color w:val="231F20"/>
          <w:sz w:val="24"/>
        </w:rPr>
        <w:t>47</w:t>
      </w:r>
      <w:r>
        <w:rPr>
          <w:color w:val="231F20"/>
          <w:spacing w:val="-6"/>
          <w:sz w:val="24"/>
        </w:rPr>
        <w:t> </w:t>
      </w:r>
      <w:r>
        <w:rPr>
          <w:color w:val="231F20"/>
          <w:sz w:val="24"/>
        </w:rPr>
        <w:t>(«Right</w:t>
      </w:r>
      <w:r>
        <w:rPr>
          <w:color w:val="231F20"/>
          <w:spacing w:val="-6"/>
          <w:sz w:val="24"/>
        </w:rPr>
        <w:t> </w:t>
      </w:r>
      <w:r>
        <w:rPr>
          <w:color w:val="231F20"/>
          <w:sz w:val="24"/>
        </w:rPr>
        <w:t>to</w:t>
      </w:r>
      <w:r>
        <w:rPr>
          <w:color w:val="231F20"/>
          <w:spacing w:val="-6"/>
          <w:sz w:val="24"/>
        </w:rPr>
        <w:t> </w:t>
      </w:r>
      <w:r>
        <w:rPr>
          <w:color w:val="231F20"/>
          <w:sz w:val="24"/>
        </w:rPr>
        <w:t>an</w:t>
      </w:r>
      <w:r>
        <w:rPr>
          <w:color w:val="231F20"/>
          <w:spacing w:val="-6"/>
          <w:sz w:val="24"/>
        </w:rPr>
        <w:t> </w:t>
      </w:r>
      <w:r>
        <w:rPr>
          <w:color w:val="231F20"/>
          <w:sz w:val="24"/>
        </w:rPr>
        <w:t>effective </w:t>
      </w:r>
      <w:r>
        <w:rPr>
          <w:color w:val="231F20"/>
          <w:spacing w:val="-2"/>
          <w:sz w:val="24"/>
        </w:rPr>
        <w:t>remedy»)</w:t>
      </w:r>
      <w:r>
        <w:rPr>
          <w:color w:val="231F20"/>
          <w:spacing w:val="-2"/>
          <w:position w:val="8"/>
          <w:sz w:val="14"/>
        </w:rPr>
        <w:t>12</w:t>
      </w:r>
      <w:r>
        <w:rPr>
          <w:color w:val="231F20"/>
          <w:spacing w:val="-2"/>
          <w:sz w:val="24"/>
        </w:rPr>
        <w:t>.</w:t>
      </w:r>
    </w:p>
    <w:p>
      <w:pPr>
        <w:pStyle w:val="BodyText"/>
        <w:spacing w:before="12"/>
        <w:rPr>
          <w:sz w:val="14"/>
        </w:rPr>
      </w:pPr>
      <w:r>
        <w:rPr/>
        <mc:AlternateContent>
          <mc:Choice Requires="wps">
            <w:drawing>
              <wp:anchor distT="0" distB="0" distL="0" distR="0" allowOverlap="1" layoutInCell="1" locked="0" behindDoc="1" simplePos="0" relativeHeight="487591424">
                <wp:simplePos x="0" y="0"/>
                <wp:positionH relativeFrom="page">
                  <wp:posOffset>900000</wp:posOffset>
                </wp:positionH>
                <wp:positionV relativeFrom="paragraph">
                  <wp:posOffset>135957</wp:posOffset>
                </wp:positionV>
                <wp:extent cx="792480" cy="1270"/>
                <wp:effectExtent l="0" t="0" r="0" b="0"/>
                <wp:wrapTopAndBottom/>
                <wp:docPr id="28" name="Graphic 28"/>
                <wp:cNvGraphicFramePr>
                  <a:graphicFrameLocks/>
                </wp:cNvGraphicFramePr>
                <a:graphic>
                  <a:graphicData uri="http://schemas.microsoft.com/office/word/2010/wordprocessingShape">
                    <wps:wsp>
                      <wps:cNvPr id="28" name="Graphic 28"/>
                      <wps:cNvSpPr/>
                      <wps:spPr>
                        <a:xfrm>
                          <a:off x="0" y="0"/>
                          <a:ext cx="792480" cy="1270"/>
                        </a:xfrm>
                        <a:custGeom>
                          <a:avLst/>
                          <a:gdLst/>
                          <a:ahLst/>
                          <a:cxnLst/>
                          <a:rect l="l" t="t" r="r" b="b"/>
                          <a:pathLst>
                            <a:path w="792480" h="0">
                              <a:moveTo>
                                <a:pt x="0" y="0"/>
                              </a:moveTo>
                              <a:lnTo>
                                <a:pt x="791997"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shape style="position:absolute;margin-left:70.866203pt;margin-top:10.7053pt;width:62.4pt;height:.1pt;mso-position-horizontal-relative:page;mso-position-vertical-relative:paragraph;z-index:-15725056;mso-wrap-distance-left:0;mso-wrap-distance-right:0" id="docshape23" coordorigin="1417,214" coordsize="1248,0" path="m1417,214l2665,214e" filled="false" stroked="true" strokeweight=".5pt" strokecolor="#231f20">
                <v:path arrowok="t"/>
                <v:stroke dashstyle="solid"/>
                <w10:wrap type="topAndBottom"/>
              </v:shape>
            </w:pict>
          </mc:Fallback>
        </mc:AlternateContent>
      </w:r>
    </w:p>
    <w:p>
      <w:pPr>
        <w:spacing w:line="228" w:lineRule="auto" w:before="199"/>
        <w:ind w:left="157" w:right="118" w:firstLine="0"/>
        <w:jc w:val="both"/>
        <w:rPr>
          <w:sz w:val="19"/>
        </w:rPr>
      </w:pPr>
      <w:r>
        <w:rPr>
          <w:color w:val="231F20"/>
          <w:sz w:val="19"/>
        </w:rPr>
        <w:t>only with the number of the first of the two preliminary ruling cases, namely C-245/19. For comments see: S. Moreno Gonzalez, </w:t>
      </w:r>
      <w:r>
        <w:rPr>
          <w:i/>
          <w:color w:val="231F20"/>
          <w:sz w:val="19"/>
        </w:rPr>
        <w:t>Cross-border exchange of tax information upon request</w:t>
      </w:r>
      <w:r>
        <w:rPr>
          <w:i/>
          <w:color w:val="231F20"/>
          <w:spacing w:val="80"/>
          <w:sz w:val="19"/>
        </w:rPr>
        <w:t> </w:t>
      </w:r>
      <w:r>
        <w:rPr>
          <w:i/>
          <w:color w:val="231F20"/>
          <w:sz w:val="19"/>
        </w:rPr>
        <w:t>and fundamental rights. Can the right balance be struck? Joined cases C-245/19 and C-246/19,</w:t>
      </w:r>
      <w:r>
        <w:rPr>
          <w:i/>
          <w:color w:val="231F20"/>
          <w:spacing w:val="40"/>
          <w:sz w:val="19"/>
        </w:rPr>
        <w:t> </w:t>
      </w:r>
      <w:r>
        <w:rPr>
          <w:color w:val="231F20"/>
          <w:sz w:val="19"/>
        </w:rPr>
        <w:t>in </w:t>
      </w:r>
      <w:r>
        <w:rPr>
          <w:i/>
          <w:color w:val="231F20"/>
          <w:sz w:val="19"/>
        </w:rPr>
        <w:t>Maastricht journal of European and comparative Law</w:t>
      </w:r>
      <w:r>
        <w:rPr>
          <w:color w:val="231F20"/>
          <w:sz w:val="19"/>
        </w:rPr>
        <w:t>, 5/2021pp. 714-730; T. Sendtke, </w:t>
      </w:r>
      <w:r>
        <w:rPr>
          <w:i/>
          <w:color w:val="231F20"/>
          <w:sz w:val="19"/>
        </w:rPr>
        <w:t>Rechtsschutz beim Informationsaustausch auf Ersuchen innerhalb der EU: zugleich </w:t>
      </w:r>
      <w:r>
        <w:rPr>
          <w:i/>
          <w:color w:val="231F20"/>
          <w:sz w:val="19"/>
        </w:rPr>
        <w:t>Anmerkung</w:t>
      </w:r>
      <w:r>
        <w:rPr>
          <w:i/>
          <w:color w:val="231F20"/>
          <w:sz w:val="19"/>
        </w:rPr>
        <w:t> </w:t>
      </w:r>
      <w:r>
        <w:rPr>
          <w:i/>
          <w:color w:val="231F20"/>
          <w:spacing w:val="-2"/>
          <w:sz w:val="19"/>
        </w:rPr>
        <w:t>zum</w:t>
      </w:r>
      <w:r>
        <w:rPr>
          <w:i/>
          <w:color w:val="231F20"/>
          <w:spacing w:val="-3"/>
          <w:sz w:val="19"/>
        </w:rPr>
        <w:t> </w:t>
      </w:r>
      <w:r>
        <w:rPr>
          <w:i/>
          <w:color w:val="231F20"/>
          <w:spacing w:val="-2"/>
          <w:sz w:val="19"/>
        </w:rPr>
        <w:t>Urteil</w:t>
      </w:r>
      <w:r>
        <w:rPr>
          <w:i/>
          <w:color w:val="231F20"/>
          <w:spacing w:val="-3"/>
          <w:sz w:val="19"/>
        </w:rPr>
        <w:t> </w:t>
      </w:r>
      <w:r>
        <w:rPr>
          <w:i/>
          <w:color w:val="231F20"/>
          <w:spacing w:val="-2"/>
          <w:sz w:val="19"/>
        </w:rPr>
        <w:t>des</w:t>
      </w:r>
      <w:r>
        <w:rPr>
          <w:i/>
          <w:color w:val="231F20"/>
          <w:spacing w:val="-3"/>
          <w:sz w:val="19"/>
        </w:rPr>
        <w:t> </w:t>
      </w:r>
      <w:r>
        <w:rPr>
          <w:i/>
          <w:color w:val="231F20"/>
          <w:spacing w:val="-2"/>
          <w:sz w:val="19"/>
        </w:rPr>
        <w:t>EuGH</w:t>
      </w:r>
      <w:r>
        <w:rPr>
          <w:i/>
          <w:color w:val="231F20"/>
          <w:spacing w:val="-3"/>
          <w:sz w:val="19"/>
        </w:rPr>
        <w:t> </w:t>
      </w:r>
      <w:r>
        <w:rPr>
          <w:i/>
          <w:color w:val="231F20"/>
          <w:spacing w:val="-2"/>
          <w:sz w:val="19"/>
        </w:rPr>
        <w:t>v.</w:t>
      </w:r>
      <w:r>
        <w:rPr>
          <w:i/>
          <w:color w:val="231F20"/>
          <w:spacing w:val="-3"/>
          <w:sz w:val="19"/>
        </w:rPr>
        <w:t> </w:t>
      </w:r>
      <w:r>
        <w:rPr>
          <w:i/>
          <w:color w:val="231F20"/>
          <w:spacing w:val="-2"/>
          <w:sz w:val="19"/>
        </w:rPr>
        <w:t>6.10.2020</w:t>
      </w:r>
      <w:r>
        <w:rPr>
          <w:color w:val="231F20"/>
          <w:spacing w:val="-2"/>
          <w:sz w:val="19"/>
        </w:rPr>
        <w:t>:</w:t>
      </w:r>
      <w:r>
        <w:rPr>
          <w:color w:val="231F20"/>
          <w:spacing w:val="-3"/>
          <w:sz w:val="19"/>
        </w:rPr>
        <w:t> </w:t>
      </w:r>
      <w:r>
        <w:rPr>
          <w:color w:val="231F20"/>
          <w:spacing w:val="-2"/>
          <w:sz w:val="19"/>
        </w:rPr>
        <w:t>C-</w:t>
      </w:r>
      <w:r>
        <w:rPr>
          <w:i/>
          <w:color w:val="231F20"/>
          <w:spacing w:val="-2"/>
          <w:sz w:val="19"/>
        </w:rPr>
        <w:t>245/19</w:t>
      </w:r>
      <w:r>
        <w:rPr>
          <w:i/>
          <w:color w:val="231F20"/>
          <w:spacing w:val="-3"/>
          <w:sz w:val="19"/>
        </w:rPr>
        <w:t> </w:t>
      </w:r>
      <w:r>
        <w:rPr>
          <w:i/>
          <w:color w:val="231F20"/>
          <w:spacing w:val="-2"/>
          <w:sz w:val="19"/>
        </w:rPr>
        <w:t>and</w:t>
      </w:r>
      <w:r>
        <w:rPr>
          <w:i/>
          <w:color w:val="231F20"/>
          <w:spacing w:val="-3"/>
          <w:sz w:val="19"/>
        </w:rPr>
        <w:t> </w:t>
      </w:r>
      <w:r>
        <w:rPr>
          <w:i/>
          <w:color w:val="231F20"/>
          <w:spacing w:val="-2"/>
          <w:sz w:val="19"/>
        </w:rPr>
        <w:t>C-246/19,</w:t>
      </w:r>
      <w:r>
        <w:rPr>
          <w:i/>
          <w:color w:val="231F20"/>
          <w:spacing w:val="-3"/>
          <w:sz w:val="19"/>
        </w:rPr>
        <w:t> </w:t>
      </w:r>
      <w:r>
        <w:rPr>
          <w:color w:val="231F20"/>
          <w:spacing w:val="-2"/>
          <w:sz w:val="19"/>
        </w:rPr>
        <w:t>in</w:t>
      </w:r>
      <w:r>
        <w:rPr>
          <w:color w:val="231F20"/>
          <w:spacing w:val="-3"/>
          <w:sz w:val="19"/>
        </w:rPr>
        <w:t> </w:t>
      </w:r>
      <w:r>
        <w:rPr>
          <w:i/>
          <w:color w:val="231F20"/>
          <w:spacing w:val="-2"/>
          <w:sz w:val="19"/>
        </w:rPr>
        <w:t>Internationale</w:t>
      </w:r>
      <w:r>
        <w:rPr>
          <w:i/>
          <w:color w:val="231F20"/>
          <w:spacing w:val="-3"/>
          <w:sz w:val="19"/>
        </w:rPr>
        <w:t> </w:t>
      </w:r>
      <w:r>
        <w:rPr>
          <w:i/>
          <w:color w:val="231F20"/>
          <w:spacing w:val="-2"/>
          <w:sz w:val="19"/>
        </w:rPr>
        <w:t>SteuerRundschau</w:t>
      </w:r>
      <w:r>
        <w:rPr>
          <w:color w:val="231F20"/>
          <w:spacing w:val="-2"/>
          <w:sz w:val="19"/>
        </w:rPr>
        <w:t>, </w:t>
      </w:r>
      <w:r>
        <w:rPr>
          <w:color w:val="231F20"/>
          <w:sz w:val="19"/>
        </w:rPr>
        <w:t>12/2020, pp. 431-438.</w:t>
      </w:r>
    </w:p>
    <w:p>
      <w:pPr>
        <w:spacing w:line="225" w:lineRule="auto" w:before="0"/>
        <w:ind w:left="157" w:right="117" w:firstLine="0"/>
        <w:jc w:val="both"/>
        <w:rPr>
          <w:sz w:val="19"/>
        </w:rPr>
      </w:pPr>
      <w:r>
        <w:rPr>
          <w:color w:val="231F20"/>
          <w:position w:val="6"/>
          <w:sz w:val="11"/>
        </w:rPr>
        <w:t>8</w:t>
      </w:r>
      <w:r>
        <w:rPr>
          <w:color w:val="231F20"/>
          <w:spacing w:val="40"/>
          <w:position w:val="6"/>
          <w:sz w:val="11"/>
        </w:rPr>
        <w:t>  </w:t>
      </w:r>
      <w:r>
        <w:rPr>
          <w:color w:val="231F20"/>
          <w:sz w:val="19"/>
        </w:rPr>
        <w:t>ECJ,</w:t>
      </w:r>
      <w:r>
        <w:rPr>
          <w:color w:val="231F20"/>
          <w:spacing w:val="21"/>
          <w:sz w:val="19"/>
        </w:rPr>
        <w:t> </w:t>
      </w:r>
      <w:r>
        <w:rPr>
          <w:color w:val="231F20"/>
          <w:sz w:val="19"/>
        </w:rPr>
        <w:t>25</w:t>
      </w:r>
      <w:r>
        <w:rPr>
          <w:color w:val="231F20"/>
          <w:spacing w:val="21"/>
          <w:sz w:val="19"/>
        </w:rPr>
        <w:t> </w:t>
      </w:r>
      <w:r>
        <w:rPr>
          <w:color w:val="231F20"/>
          <w:sz w:val="19"/>
        </w:rPr>
        <w:t>November</w:t>
      </w:r>
      <w:r>
        <w:rPr>
          <w:color w:val="231F20"/>
          <w:spacing w:val="21"/>
          <w:sz w:val="19"/>
        </w:rPr>
        <w:t> </w:t>
      </w:r>
      <w:r>
        <w:rPr>
          <w:color w:val="231F20"/>
          <w:sz w:val="19"/>
        </w:rPr>
        <w:t>2021,</w:t>
      </w:r>
      <w:r>
        <w:rPr>
          <w:color w:val="231F20"/>
          <w:spacing w:val="21"/>
          <w:sz w:val="19"/>
        </w:rPr>
        <w:t> </w:t>
      </w:r>
      <w:r>
        <w:rPr>
          <w:color w:val="231F20"/>
          <w:sz w:val="19"/>
        </w:rPr>
        <w:t>case</w:t>
      </w:r>
      <w:r>
        <w:rPr>
          <w:color w:val="231F20"/>
          <w:spacing w:val="21"/>
          <w:sz w:val="19"/>
        </w:rPr>
        <w:t> </w:t>
      </w:r>
      <w:r>
        <w:rPr>
          <w:color w:val="231F20"/>
          <w:sz w:val="19"/>
        </w:rPr>
        <w:t>C-437/19,</w:t>
      </w:r>
      <w:r>
        <w:rPr>
          <w:color w:val="231F20"/>
          <w:spacing w:val="21"/>
          <w:sz w:val="19"/>
        </w:rPr>
        <w:t> </w:t>
      </w:r>
      <w:r>
        <w:rPr>
          <w:color w:val="231F20"/>
          <w:sz w:val="19"/>
        </w:rPr>
        <w:t>État</w:t>
      </w:r>
      <w:r>
        <w:rPr>
          <w:color w:val="231F20"/>
          <w:spacing w:val="21"/>
          <w:sz w:val="19"/>
        </w:rPr>
        <w:t> </w:t>
      </w:r>
      <w:r>
        <w:rPr>
          <w:i/>
          <w:color w:val="231F20"/>
          <w:sz w:val="19"/>
        </w:rPr>
        <w:t>luxembourgeois</w:t>
      </w:r>
      <w:r>
        <w:rPr>
          <w:i/>
          <w:color w:val="231F20"/>
          <w:spacing w:val="21"/>
          <w:sz w:val="19"/>
        </w:rPr>
        <w:t> </w:t>
      </w:r>
      <w:r>
        <w:rPr>
          <w:i/>
          <w:color w:val="231F20"/>
          <w:sz w:val="19"/>
        </w:rPr>
        <w:t>v</w:t>
      </w:r>
      <w:r>
        <w:rPr>
          <w:i/>
          <w:color w:val="231F20"/>
          <w:spacing w:val="21"/>
          <w:sz w:val="19"/>
        </w:rPr>
        <w:t> </w:t>
      </w:r>
      <w:r>
        <w:rPr>
          <w:i/>
          <w:color w:val="231F20"/>
          <w:sz w:val="19"/>
        </w:rPr>
        <w:t>L</w:t>
      </w:r>
      <w:r>
        <w:rPr>
          <w:color w:val="231F20"/>
          <w:sz w:val="19"/>
        </w:rPr>
        <w:t>.</w:t>
      </w:r>
      <w:r>
        <w:rPr>
          <w:color w:val="231F20"/>
          <w:spacing w:val="21"/>
          <w:sz w:val="19"/>
        </w:rPr>
        <w:t> </w:t>
      </w:r>
      <w:r>
        <w:rPr>
          <w:color w:val="231F20"/>
          <w:sz w:val="19"/>
        </w:rPr>
        <w:t>Also,</w:t>
      </w:r>
      <w:r>
        <w:rPr>
          <w:color w:val="231F20"/>
          <w:spacing w:val="21"/>
          <w:sz w:val="19"/>
        </w:rPr>
        <w:t> </w:t>
      </w:r>
      <w:r>
        <w:rPr>
          <w:color w:val="231F20"/>
          <w:sz w:val="19"/>
        </w:rPr>
        <w:t>with</w:t>
      </w:r>
      <w:r>
        <w:rPr>
          <w:color w:val="231F20"/>
          <w:spacing w:val="21"/>
          <w:sz w:val="19"/>
        </w:rPr>
        <w:t> </w:t>
      </w:r>
      <w:r>
        <w:rPr>
          <w:color w:val="231F20"/>
          <w:sz w:val="19"/>
        </w:rPr>
        <w:t>reference to this sentence, as it is impossible to quote in full the name of the private party in the </w:t>
      </w:r>
      <w:r>
        <w:rPr>
          <w:color w:val="231F20"/>
          <w:sz w:val="19"/>
        </w:rPr>
        <w:t>main proceedings, only the case number will be mentioned.</w:t>
      </w:r>
    </w:p>
    <w:p>
      <w:pPr>
        <w:spacing w:line="228" w:lineRule="auto" w:before="0"/>
        <w:ind w:left="157" w:right="117" w:hanging="1"/>
        <w:jc w:val="both"/>
        <w:rPr>
          <w:sz w:val="19"/>
        </w:rPr>
      </w:pPr>
      <w:r>
        <w:rPr>
          <w:color w:val="231F20"/>
          <w:position w:val="6"/>
          <w:sz w:val="11"/>
        </w:rPr>
        <w:t>9</w:t>
      </w:r>
      <w:r>
        <w:rPr>
          <w:color w:val="231F20"/>
          <w:spacing w:val="80"/>
          <w:position w:val="6"/>
          <w:sz w:val="11"/>
        </w:rPr>
        <w:t>  </w:t>
      </w:r>
      <w:r>
        <w:rPr>
          <w:color w:val="231F20"/>
          <w:sz w:val="19"/>
        </w:rPr>
        <w:t>ECJ, 8 December 2022, case C-694/20, </w:t>
      </w:r>
      <w:r>
        <w:rPr>
          <w:i/>
          <w:color w:val="231F20"/>
          <w:sz w:val="19"/>
        </w:rPr>
        <w:t>Orde van</w:t>
      </w:r>
      <w:r>
        <w:rPr>
          <w:i/>
          <w:color w:val="231F20"/>
          <w:spacing w:val="-1"/>
          <w:sz w:val="19"/>
        </w:rPr>
        <w:t> </w:t>
      </w:r>
      <w:r>
        <w:rPr>
          <w:i/>
          <w:color w:val="231F20"/>
          <w:sz w:val="19"/>
        </w:rPr>
        <w:t>Vlaamse Balies and Belgian Association</w:t>
      </w:r>
      <w:r>
        <w:rPr>
          <w:i/>
          <w:color w:val="231F20"/>
          <w:spacing w:val="40"/>
          <w:sz w:val="19"/>
        </w:rPr>
        <w:t> </w:t>
      </w:r>
      <w:r>
        <w:rPr>
          <w:i/>
          <w:color w:val="231F20"/>
          <w:sz w:val="19"/>
        </w:rPr>
        <w:t>of Tax Lawyers v. Government of Flanders. </w:t>
      </w:r>
      <w:r>
        <w:rPr>
          <w:color w:val="231F20"/>
          <w:sz w:val="19"/>
        </w:rPr>
        <w:t>This ruling of the Court of Justice has been the subject</w:t>
      </w:r>
      <w:r>
        <w:rPr>
          <w:color w:val="231F20"/>
          <w:spacing w:val="31"/>
          <w:sz w:val="19"/>
        </w:rPr>
        <w:t> </w:t>
      </w:r>
      <w:r>
        <w:rPr>
          <w:color w:val="231F20"/>
          <w:sz w:val="19"/>
        </w:rPr>
        <w:t>of</w:t>
      </w:r>
      <w:r>
        <w:rPr>
          <w:color w:val="231F20"/>
          <w:spacing w:val="31"/>
          <w:sz w:val="19"/>
        </w:rPr>
        <w:t> </w:t>
      </w:r>
      <w:r>
        <w:rPr>
          <w:color w:val="231F20"/>
          <w:sz w:val="19"/>
        </w:rPr>
        <w:t>many</w:t>
      </w:r>
      <w:r>
        <w:rPr>
          <w:color w:val="231F20"/>
          <w:spacing w:val="31"/>
          <w:sz w:val="19"/>
        </w:rPr>
        <w:t> </w:t>
      </w:r>
      <w:r>
        <w:rPr>
          <w:color w:val="231F20"/>
          <w:sz w:val="19"/>
        </w:rPr>
        <w:t>comments</w:t>
      </w:r>
      <w:r>
        <w:rPr>
          <w:color w:val="231F20"/>
          <w:spacing w:val="31"/>
          <w:sz w:val="19"/>
        </w:rPr>
        <w:t> </w:t>
      </w:r>
      <w:r>
        <w:rPr>
          <w:color w:val="231F20"/>
          <w:sz w:val="19"/>
        </w:rPr>
        <w:t>in</w:t>
      </w:r>
      <w:r>
        <w:rPr>
          <w:color w:val="231F20"/>
          <w:spacing w:val="31"/>
          <w:sz w:val="19"/>
        </w:rPr>
        <w:t> </w:t>
      </w:r>
      <w:r>
        <w:rPr>
          <w:color w:val="231F20"/>
          <w:sz w:val="19"/>
        </w:rPr>
        <w:t>various</w:t>
      </w:r>
      <w:r>
        <w:rPr>
          <w:color w:val="231F20"/>
          <w:spacing w:val="31"/>
          <w:sz w:val="19"/>
        </w:rPr>
        <w:t> </w:t>
      </w:r>
      <w:r>
        <w:rPr>
          <w:color w:val="231F20"/>
          <w:sz w:val="19"/>
        </w:rPr>
        <w:t>languages:</w:t>
      </w:r>
      <w:r>
        <w:rPr>
          <w:color w:val="231F20"/>
          <w:spacing w:val="31"/>
          <w:sz w:val="19"/>
        </w:rPr>
        <w:t> </w:t>
      </w:r>
      <w:r>
        <w:rPr>
          <w:color w:val="231F20"/>
          <w:sz w:val="19"/>
        </w:rPr>
        <w:t>E.</w:t>
      </w:r>
      <w:r>
        <w:rPr>
          <w:color w:val="231F20"/>
          <w:spacing w:val="31"/>
          <w:sz w:val="19"/>
        </w:rPr>
        <w:t> </w:t>
      </w:r>
      <w:r>
        <w:rPr>
          <w:color w:val="231F20"/>
          <w:sz w:val="19"/>
        </w:rPr>
        <w:t>Sturli,</w:t>
      </w:r>
      <w:r>
        <w:rPr>
          <w:color w:val="231F20"/>
          <w:spacing w:val="31"/>
          <w:sz w:val="19"/>
        </w:rPr>
        <w:t> </w:t>
      </w:r>
      <w:r>
        <w:rPr>
          <w:color w:val="231F20"/>
          <w:sz w:val="19"/>
        </w:rPr>
        <w:t>H. Thibault,</w:t>
      </w:r>
      <w:r>
        <w:rPr>
          <w:color w:val="231F20"/>
          <w:spacing w:val="31"/>
          <w:sz w:val="19"/>
        </w:rPr>
        <w:t> </w:t>
      </w:r>
      <w:r>
        <w:rPr>
          <w:i/>
          <w:color w:val="231F20"/>
          <w:sz w:val="19"/>
        </w:rPr>
        <w:t>Extension</w:t>
      </w:r>
      <w:r>
        <w:rPr>
          <w:i/>
          <w:color w:val="231F20"/>
          <w:spacing w:val="31"/>
          <w:sz w:val="19"/>
        </w:rPr>
        <w:t> </w:t>
      </w:r>
      <w:r>
        <w:rPr>
          <w:i/>
          <w:color w:val="231F20"/>
          <w:sz w:val="19"/>
        </w:rPr>
        <w:t>of</w:t>
      </w:r>
      <w:r>
        <w:rPr>
          <w:i/>
          <w:color w:val="231F20"/>
          <w:spacing w:val="31"/>
          <w:sz w:val="19"/>
        </w:rPr>
        <w:t> </w:t>
      </w:r>
      <w:r>
        <w:rPr>
          <w:i/>
          <w:color w:val="231F20"/>
          <w:sz w:val="19"/>
        </w:rPr>
        <w:t>EU</w:t>
      </w:r>
      <w:r>
        <w:rPr>
          <w:i/>
          <w:color w:val="231F20"/>
          <w:sz w:val="19"/>
        </w:rPr>
        <w:t> legal professional privilege: case C-694/20 – Orde van Vlaamse Balies, </w:t>
      </w:r>
      <w:r>
        <w:rPr>
          <w:color w:val="231F20"/>
          <w:sz w:val="19"/>
        </w:rPr>
        <w:t>in </w:t>
      </w:r>
      <w:r>
        <w:rPr>
          <w:i/>
          <w:color w:val="231F20"/>
          <w:sz w:val="19"/>
        </w:rPr>
        <w:t>Journal of European</w:t>
      </w:r>
      <w:r>
        <w:rPr>
          <w:i/>
          <w:color w:val="231F20"/>
          <w:sz w:val="19"/>
        </w:rPr>
        <w:t> Competition Law and Practice, </w:t>
      </w:r>
      <w:r>
        <w:rPr>
          <w:color w:val="231F20"/>
          <w:sz w:val="19"/>
        </w:rPr>
        <w:t>2023; E. Münster, D. Fehling</w:t>
      </w:r>
      <w:r>
        <w:rPr>
          <w:i/>
          <w:color w:val="231F20"/>
          <w:sz w:val="19"/>
        </w:rPr>
        <w:t>, Das</w:t>
      </w:r>
      <w:r>
        <w:rPr>
          <w:i/>
          <w:color w:val="231F20"/>
          <w:spacing w:val="-12"/>
          <w:sz w:val="19"/>
        </w:rPr>
        <w:t> </w:t>
      </w:r>
      <w:r>
        <w:rPr>
          <w:i/>
          <w:color w:val="231F20"/>
          <w:sz w:val="19"/>
        </w:rPr>
        <w:t>Vorabentscheidungsersuchen</w:t>
      </w:r>
      <w:r>
        <w:rPr>
          <w:i/>
          <w:color w:val="231F20"/>
          <w:sz w:val="19"/>
        </w:rPr>
        <w:t> EUGH Aktenzeichen C-694/20 und die Bedeutung der EU-Grundrechtecharte </w:t>
      </w:r>
      <w:r>
        <w:rPr>
          <w:color w:val="231F20"/>
          <w:sz w:val="19"/>
        </w:rPr>
        <w:t>für die </w:t>
      </w:r>
      <w:r>
        <w:rPr>
          <w:i/>
          <w:color w:val="231F20"/>
          <w:sz w:val="19"/>
        </w:rPr>
        <w:t>direkte</w:t>
      </w:r>
      <w:r>
        <w:rPr>
          <w:i/>
          <w:color w:val="231F20"/>
          <w:sz w:val="19"/>
        </w:rPr>
        <w:t> Steuern,</w:t>
      </w:r>
      <w:r>
        <w:rPr>
          <w:i/>
          <w:color w:val="231F20"/>
          <w:spacing w:val="34"/>
          <w:sz w:val="19"/>
        </w:rPr>
        <w:t> </w:t>
      </w:r>
      <w:r>
        <w:rPr>
          <w:color w:val="231F20"/>
          <w:sz w:val="19"/>
        </w:rPr>
        <w:t>in</w:t>
      </w:r>
      <w:r>
        <w:rPr>
          <w:color w:val="231F20"/>
          <w:spacing w:val="34"/>
          <w:sz w:val="19"/>
        </w:rPr>
        <w:t> </w:t>
      </w:r>
      <w:r>
        <w:rPr>
          <w:i/>
          <w:color w:val="231F20"/>
          <w:sz w:val="19"/>
        </w:rPr>
        <w:t>Internationales</w:t>
      </w:r>
      <w:r>
        <w:rPr>
          <w:i/>
          <w:color w:val="231F20"/>
          <w:spacing w:val="34"/>
          <w:sz w:val="19"/>
        </w:rPr>
        <w:t> </w:t>
      </w:r>
      <w:r>
        <w:rPr>
          <w:i/>
          <w:color w:val="231F20"/>
          <w:sz w:val="19"/>
        </w:rPr>
        <w:t>Steuerrecht</w:t>
      </w:r>
      <w:r>
        <w:rPr>
          <w:color w:val="231F20"/>
          <w:sz w:val="19"/>
        </w:rPr>
        <w:t>,</w:t>
      </w:r>
      <w:r>
        <w:rPr>
          <w:color w:val="231F20"/>
          <w:spacing w:val="34"/>
          <w:sz w:val="19"/>
        </w:rPr>
        <w:t> </w:t>
      </w:r>
      <w:r>
        <w:rPr>
          <w:color w:val="231F20"/>
          <w:sz w:val="19"/>
        </w:rPr>
        <w:t>2021,</w:t>
      </w:r>
      <w:r>
        <w:rPr>
          <w:color w:val="231F20"/>
          <w:spacing w:val="34"/>
          <w:sz w:val="19"/>
        </w:rPr>
        <w:t> </w:t>
      </w:r>
      <w:r>
        <w:rPr>
          <w:color w:val="231F20"/>
          <w:sz w:val="19"/>
        </w:rPr>
        <w:t>Heft</w:t>
      </w:r>
      <w:r>
        <w:rPr>
          <w:color w:val="231F20"/>
          <w:spacing w:val="34"/>
          <w:sz w:val="19"/>
        </w:rPr>
        <w:t> </w:t>
      </w:r>
      <w:r>
        <w:rPr>
          <w:color w:val="231F20"/>
          <w:sz w:val="19"/>
        </w:rPr>
        <w:t>16,</w:t>
      </w:r>
      <w:r>
        <w:rPr>
          <w:color w:val="231F20"/>
          <w:spacing w:val="34"/>
          <w:sz w:val="19"/>
        </w:rPr>
        <w:t> </w:t>
      </w:r>
      <w:r>
        <w:rPr>
          <w:color w:val="231F20"/>
          <w:sz w:val="19"/>
        </w:rPr>
        <w:t>pp.</w:t>
      </w:r>
      <w:r>
        <w:rPr>
          <w:color w:val="231F20"/>
          <w:spacing w:val="34"/>
          <w:sz w:val="19"/>
        </w:rPr>
        <w:t> </w:t>
      </w:r>
      <w:r>
        <w:rPr>
          <w:color w:val="231F20"/>
          <w:sz w:val="19"/>
        </w:rPr>
        <w:t>621-628;</w:t>
      </w:r>
      <w:r>
        <w:rPr>
          <w:color w:val="231F20"/>
          <w:spacing w:val="34"/>
          <w:sz w:val="19"/>
        </w:rPr>
        <w:t> </w:t>
      </w:r>
      <w:r>
        <w:rPr>
          <w:color w:val="231F20"/>
          <w:sz w:val="19"/>
        </w:rPr>
        <w:t>N.</w:t>
      </w:r>
      <w:r>
        <w:rPr>
          <w:color w:val="231F20"/>
          <w:spacing w:val="34"/>
          <w:sz w:val="19"/>
        </w:rPr>
        <w:t> </w:t>
      </w:r>
      <w:r>
        <w:rPr>
          <w:color w:val="231F20"/>
          <w:sz w:val="19"/>
        </w:rPr>
        <w:t>Cecconi,</w:t>
      </w:r>
      <w:r>
        <w:rPr>
          <w:color w:val="231F20"/>
          <w:spacing w:val="33"/>
          <w:sz w:val="19"/>
        </w:rPr>
        <w:t> </w:t>
      </w:r>
      <w:r>
        <w:rPr>
          <w:i/>
          <w:color w:val="231F20"/>
          <w:sz w:val="19"/>
        </w:rPr>
        <w:t>Obbligo</w:t>
      </w:r>
      <w:r>
        <w:rPr>
          <w:i/>
          <w:color w:val="231F20"/>
          <w:sz w:val="19"/>
        </w:rPr>
        <w:t> di notifica degli intermediari e tutela del segreto professionale dopo la pronuncia CGUE dell’8 dicembre 2023</w:t>
      </w:r>
      <w:r>
        <w:rPr>
          <w:color w:val="231F20"/>
          <w:sz w:val="19"/>
        </w:rPr>
        <w:t>, in </w:t>
      </w:r>
      <w:r>
        <w:rPr>
          <w:i/>
          <w:color w:val="231F20"/>
          <w:sz w:val="19"/>
        </w:rPr>
        <w:t>Online supplement to the Riv.Trim.Dir.Trib., </w:t>
      </w:r>
      <w:r>
        <w:rPr>
          <w:color w:val="231F20"/>
          <w:sz w:val="19"/>
        </w:rPr>
        <w:t>28/2/2023.</w:t>
      </w:r>
    </w:p>
    <w:p>
      <w:pPr>
        <w:spacing w:line="216" w:lineRule="exact" w:before="0"/>
        <w:ind w:left="157" w:right="0" w:firstLine="0"/>
        <w:jc w:val="both"/>
        <w:rPr>
          <w:i/>
          <w:sz w:val="19"/>
        </w:rPr>
      </w:pPr>
      <w:r>
        <w:rPr>
          <w:color w:val="231F20"/>
          <w:position w:val="6"/>
          <w:sz w:val="11"/>
        </w:rPr>
        <w:t>10</w:t>
      </w:r>
      <w:r>
        <w:rPr>
          <w:color w:val="231F20"/>
          <w:spacing w:val="59"/>
          <w:position w:val="6"/>
          <w:sz w:val="11"/>
        </w:rPr>
        <w:t>  </w:t>
      </w:r>
      <w:r>
        <w:rPr>
          <w:color w:val="231F20"/>
          <w:sz w:val="19"/>
        </w:rPr>
        <w:t>ECJ,</w:t>
      </w:r>
      <w:r>
        <w:rPr>
          <w:color w:val="231F20"/>
          <w:spacing w:val="16"/>
          <w:sz w:val="19"/>
        </w:rPr>
        <w:t> </w:t>
      </w:r>
      <w:r>
        <w:rPr>
          <w:color w:val="231F20"/>
          <w:sz w:val="19"/>
        </w:rPr>
        <w:t>29</w:t>
      </w:r>
      <w:r>
        <w:rPr>
          <w:color w:val="231F20"/>
          <w:spacing w:val="15"/>
          <w:sz w:val="19"/>
        </w:rPr>
        <w:t> </w:t>
      </w:r>
      <w:r>
        <w:rPr>
          <w:color w:val="231F20"/>
          <w:sz w:val="19"/>
        </w:rPr>
        <w:t>July</w:t>
      </w:r>
      <w:r>
        <w:rPr>
          <w:color w:val="231F20"/>
          <w:spacing w:val="16"/>
          <w:sz w:val="19"/>
        </w:rPr>
        <w:t> </w:t>
      </w:r>
      <w:r>
        <w:rPr>
          <w:color w:val="231F20"/>
          <w:sz w:val="19"/>
        </w:rPr>
        <w:t>2024,</w:t>
      </w:r>
      <w:r>
        <w:rPr>
          <w:color w:val="231F20"/>
          <w:spacing w:val="16"/>
          <w:sz w:val="19"/>
        </w:rPr>
        <w:t> </w:t>
      </w:r>
      <w:r>
        <w:rPr>
          <w:color w:val="231F20"/>
          <w:sz w:val="19"/>
        </w:rPr>
        <w:t>case</w:t>
      </w:r>
      <w:r>
        <w:rPr>
          <w:color w:val="231F20"/>
          <w:spacing w:val="15"/>
          <w:sz w:val="19"/>
        </w:rPr>
        <w:t> </w:t>
      </w:r>
      <w:r>
        <w:rPr>
          <w:color w:val="231F20"/>
          <w:sz w:val="19"/>
        </w:rPr>
        <w:t>C-623/22,</w:t>
      </w:r>
      <w:r>
        <w:rPr>
          <w:color w:val="231F20"/>
          <w:spacing w:val="16"/>
          <w:sz w:val="19"/>
        </w:rPr>
        <w:t> </w:t>
      </w:r>
      <w:r>
        <w:rPr>
          <w:i/>
          <w:color w:val="231F20"/>
          <w:sz w:val="19"/>
        </w:rPr>
        <w:t>Belgian</w:t>
      </w:r>
      <w:r>
        <w:rPr>
          <w:i/>
          <w:color w:val="231F20"/>
          <w:spacing w:val="16"/>
          <w:sz w:val="19"/>
        </w:rPr>
        <w:t> </w:t>
      </w:r>
      <w:r>
        <w:rPr>
          <w:i/>
          <w:color w:val="231F20"/>
          <w:sz w:val="19"/>
        </w:rPr>
        <w:t>Association</w:t>
      </w:r>
      <w:r>
        <w:rPr>
          <w:i/>
          <w:color w:val="231F20"/>
          <w:spacing w:val="15"/>
          <w:sz w:val="19"/>
        </w:rPr>
        <w:t> </w:t>
      </w:r>
      <w:r>
        <w:rPr>
          <w:i/>
          <w:color w:val="231F20"/>
          <w:sz w:val="19"/>
        </w:rPr>
        <w:t>of</w:t>
      </w:r>
      <w:r>
        <w:rPr>
          <w:i/>
          <w:color w:val="231F20"/>
          <w:spacing w:val="6"/>
          <w:sz w:val="19"/>
        </w:rPr>
        <w:t> </w:t>
      </w:r>
      <w:r>
        <w:rPr>
          <w:i/>
          <w:color w:val="231F20"/>
          <w:sz w:val="19"/>
        </w:rPr>
        <w:t>Tax</w:t>
      </w:r>
      <w:r>
        <w:rPr>
          <w:i/>
          <w:color w:val="231F20"/>
          <w:spacing w:val="16"/>
          <w:sz w:val="19"/>
        </w:rPr>
        <w:t> </w:t>
      </w:r>
      <w:r>
        <w:rPr>
          <w:i/>
          <w:color w:val="231F20"/>
          <w:sz w:val="19"/>
        </w:rPr>
        <w:t>Lawyers</w:t>
      </w:r>
      <w:r>
        <w:rPr>
          <w:i/>
          <w:color w:val="231F20"/>
          <w:spacing w:val="16"/>
          <w:sz w:val="19"/>
        </w:rPr>
        <w:t> </w:t>
      </w:r>
      <w:r>
        <w:rPr>
          <w:i/>
          <w:color w:val="231F20"/>
          <w:sz w:val="19"/>
        </w:rPr>
        <w:t>v.</w:t>
      </w:r>
      <w:r>
        <w:rPr>
          <w:i/>
          <w:color w:val="231F20"/>
          <w:spacing w:val="15"/>
          <w:sz w:val="19"/>
        </w:rPr>
        <w:t> </w:t>
      </w:r>
      <w:r>
        <w:rPr>
          <w:i/>
          <w:color w:val="231F20"/>
          <w:sz w:val="19"/>
        </w:rPr>
        <w:t>Prime</w:t>
      </w:r>
      <w:r>
        <w:rPr>
          <w:i/>
          <w:color w:val="231F20"/>
          <w:spacing w:val="16"/>
          <w:sz w:val="19"/>
        </w:rPr>
        <w:t> </w:t>
      </w:r>
      <w:r>
        <w:rPr>
          <w:i/>
          <w:color w:val="231F20"/>
          <w:spacing w:val="-2"/>
          <w:sz w:val="19"/>
        </w:rPr>
        <w:t>Minister</w:t>
      </w:r>
    </w:p>
    <w:p>
      <w:pPr>
        <w:spacing w:line="225" w:lineRule="auto" w:before="2"/>
        <w:ind w:left="157" w:right="118" w:firstLine="0"/>
        <w:jc w:val="both"/>
        <w:rPr>
          <w:sz w:val="19"/>
        </w:rPr>
      </w:pPr>
      <w:r>
        <w:rPr>
          <w:color w:val="231F20"/>
          <w:sz w:val="19"/>
        </w:rPr>
        <w:t>early commented by P.J. Wouters, </w:t>
      </w:r>
      <w:r>
        <w:rPr>
          <w:i/>
          <w:color w:val="231F20"/>
          <w:sz w:val="19"/>
        </w:rPr>
        <w:t>Mandatory disclosure regime for cross border tax planning</w:t>
      </w:r>
      <w:r>
        <w:rPr>
          <w:i/>
          <w:color w:val="231F20"/>
          <w:sz w:val="19"/>
        </w:rPr>
        <w:t> </w:t>
      </w:r>
      <w:r>
        <w:rPr>
          <w:i/>
          <w:color w:val="231F20"/>
          <w:spacing w:val="-2"/>
          <w:sz w:val="19"/>
        </w:rPr>
        <w:t>arrangements</w:t>
      </w:r>
      <w:r>
        <w:rPr>
          <w:i/>
          <w:color w:val="231F20"/>
          <w:spacing w:val="-1"/>
          <w:sz w:val="19"/>
        </w:rPr>
        <w:t> </w:t>
      </w:r>
      <w:r>
        <w:rPr>
          <w:i/>
          <w:color w:val="231F20"/>
          <w:spacing w:val="-2"/>
          <w:sz w:val="19"/>
        </w:rPr>
        <w:t>(DAC</w:t>
      </w:r>
      <w:r>
        <w:rPr>
          <w:i/>
          <w:color w:val="231F20"/>
          <w:spacing w:val="-1"/>
          <w:sz w:val="19"/>
        </w:rPr>
        <w:t> </w:t>
      </w:r>
      <w:r>
        <w:rPr>
          <w:i/>
          <w:color w:val="231F20"/>
          <w:spacing w:val="-2"/>
          <w:sz w:val="19"/>
        </w:rPr>
        <w:t>6):</w:t>
      </w:r>
      <w:r>
        <w:rPr>
          <w:i/>
          <w:color w:val="231F20"/>
          <w:spacing w:val="-1"/>
          <w:sz w:val="19"/>
        </w:rPr>
        <w:t> </w:t>
      </w:r>
      <w:r>
        <w:rPr>
          <w:i/>
          <w:color w:val="231F20"/>
          <w:spacing w:val="-2"/>
          <w:sz w:val="19"/>
        </w:rPr>
        <w:t>ECJ</w:t>
      </w:r>
      <w:r>
        <w:rPr>
          <w:i/>
          <w:color w:val="231F20"/>
          <w:spacing w:val="-1"/>
          <w:sz w:val="19"/>
        </w:rPr>
        <w:t> </w:t>
      </w:r>
      <w:r>
        <w:rPr>
          <w:i/>
          <w:color w:val="231F20"/>
          <w:spacing w:val="-2"/>
          <w:sz w:val="19"/>
        </w:rPr>
        <w:t>confirms</w:t>
      </w:r>
      <w:r>
        <w:rPr>
          <w:i/>
          <w:color w:val="231F20"/>
          <w:spacing w:val="-1"/>
          <w:sz w:val="19"/>
        </w:rPr>
        <w:t> </w:t>
      </w:r>
      <w:r>
        <w:rPr>
          <w:i/>
          <w:color w:val="231F20"/>
          <w:spacing w:val="-2"/>
          <w:sz w:val="19"/>
        </w:rPr>
        <w:t>compatibility</w:t>
      </w:r>
      <w:r>
        <w:rPr>
          <w:i/>
          <w:color w:val="231F20"/>
          <w:sz w:val="19"/>
        </w:rPr>
        <w:t> </w:t>
      </w:r>
      <w:r>
        <w:rPr>
          <w:i/>
          <w:color w:val="231F20"/>
          <w:spacing w:val="-2"/>
          <w:sz w:val="19"/>
        </w:rPr>
        <w:t>with</w:t>
      </w:r>
      <w:r>
        <w:rPr>
          <w:i/>
          <w:color w:val="231F20"/>
          <w:spacing w:val="-1"/>
          <w:sz w:val="19"/>
        </w:rPr>
        <w:t> </w:t>
      </w:r>
      <w:r>
        <w:rPr>
          <w:i/>
          <w:color w:val="231F20"/>
          <w:spacing w:val="-2"/>
          <w:sz w:val="19"/>
        </w:rPr>
        <w:t>EU</w:t>
      </w:r>
      <w:r>
        <w:rPr>
          <w:i/>
          <w:color w:val="231F20"/>
          <w:spacing w:val="-1"/>
          <w:sz w:val="19"/>
        </w:rPr>
        <w:t> </w:t>
      </w:r>
      <w:r>
        <w:rPr>
          <w:i/>
          <w:color w:val="231F20"/>
          <w:spacing w:val="-2"/>
          <w:sz w:val="19"/>
        </w:rPr>
        <w:t>Law,</w:t>
      </w:r>
      <w:r>
        <w:rPr>
          <w:i/>
          <w:color w:val="231F20"/>
          <w:spacing w:val="-1"/>
          <w:sz w:val="19"/>
        </w:rPr>
        <w:t> </w:t>
      </w:r>
      <w:r>
        <w:rPr>
          <w:color w:val="231F20"/>
          <w:spacing w:val="-2"/>
          <w:sz w:val="19"/>
        </w:rPr>
        <w:t>in</w:t>
      </w:r>
      <w:r>
        <w:rPr>
          <w:color w:val="231F20"/>
          <w:spacing w:val="-1"/>
          <w:sz w:val="19"/>
        </w:rPr>
        <w:t> </w:t>
      </w:r>
      <w:r>
        <w:rPr>
          <w:i/>
          <w:color w:val="231F20"/>
          <w:spacing w:val="-2"/>
          <w:sz w:val="19"/>
        </w:rPr>
        <w:t>European</w:t>
      </w:r>
      <w:r>
        <w:rPr>
          <w:i/>
          <w:color w:val="231F20"/>
          <w:spacing w:val="-11"/>
          <w:sz w:val="19"/>
        </w:rPr>
        <w:t> </w:t>
      </w:r>
      <w:r>
        <w:rPr>
          <w:i/>
          <w:color w:val="231F20"/>
          <w:spacing w:val="-2"/>
          <w:sz w:val="19"/>
        </w:rPr>
        <w:t>Taxation</w:t>
      </w:r>
      <w:r>
        <w:rPr>
          <w:color w:val="231F20"/>
          <w:spacing w:val="-2"/>
          <w:sz w:val="19"/>
        </w:rPr>
        <w:t>,</w:t>
      </w:r>
      <w:r>
        <w:rPr>
          <w:color w:val="231F20"/>
          <w:spacing w:val="-1"/>
          <w:sz w:val="19"/>
        </w:rPr>
        <w:t> </w:t>
      </w:r>
      <w:r>
        <w:rPr>
          <w:color w:val="231F20"/>
          <w:spacing w:val="-2"/>
          <w:sz w:val="19"/>
        </w:rPr>
        <w:t>2024,</w:t>
      </w:r>
      <w:r>
        <w:rPr>
          <w:color w:val="231F20"/>
          <w:spacing w:val="-1"/>
          <w:sz w:val="19"/>
        </w:rPr>
        <w:t> </w:t>
      </w:r>
      <w:r>
        <w:rPr>
          <w:color w:val="231F20"/>
          <w:spacing w:val="-5"/>
          <w:sz w:val="19"/>
        </w:rPr>
        <w:t>4.</w:t>
      </w:r>
    </w:p>
    <w:p>
      <w:pPr>
        <w:spacing w:line="225" w:lineRule="auto" w:before="2"/>
        <w:ind w:left="157" w:right="117" w:firstLine="0"/>
        <w:jc w:val="both"/>
        <w:rPr>
          <w:sz w:val="19"/>
        </w:rPr>
      </w:pPr>
      <w:r>
        <w:rPr>
          <w:color w:val="231F20"/>
          <w:position w:val="6"/>
          <w:sz w:val="11"/>
        </w:rPr>
        <w:t>11</w:t>
      </w:r>
      <w:r>
        <w:rPr>
          <w:color w:val="231F20"/>
          <w:spacing w:val="80"/>
          <w:position w:val="6"/>
          <w:sz w:val="11"/>
        </w:rPr>
        <w:t> </w:t>
      </w:r>
      <w:r>
        <w:rPr>
          <w:color w:val="231F20"/>
          <w:sz w:val="19"/>
        </w:rPr>
        <w:t>ECJ, 26 September 2024, case C-432/23, </w:t>
      </w:r>
      <w:r>
        <w:rPr>
          <w:i/>
          <w:color w:val="231F20"/>
          <w:sz w:val="19"/>
        </w:rPr>
        <w:t>FSCS (Law Firm) and Luxembourg Bar</w:t>
      </w:r>
      <w:r>
        <w:rPr>
          <w:i/>
          <w:color w:val="231F20"/>
          <w:sz w:val="19"/>
        </w:rPr>
        <w:t> Association</w:t>
      </w:r>
      <w:r>
        <w:rPr>
          <w:i/>
          <w:color w:val="231F20"/>
          <w:spacing w:val="-9"/>
          <w:sz w:val="19"/>
        </w:rPr>
        <w:t> </w:t>
      </w:r>
      <w:r>
        <w:rPr>
          <w:i/>
          <w:color w:val="231F20"/>
          <w:sz w:val="19"/>
        </w:rPr>
        <w:t>v.</w:t>
      </w:r>
      <w:r>
        <w:rPr>
          <w:i/>
          <w:color w:val="231F20"/>
          <w:spacing w:val="-7"/>
          <w:sz w:val="19"/>
        </w:rPr>
        <w:t> </w:t>
      </w:r>
      <w:r>
        <w:rPr>
          <w:i/>
          <w:color w:val="231F20"/>
          <w:sz w:val="19"/>
        </w:rPr>
        <w:t>Direct</w:t>
      </w:r>
      <w:r>
        <w:rPr>
          <w:i/>
          <w:color w:val="231F20"/>
          <w:spacing w:val="-12"/>
          <w:sz w:val="19"/>
        </w:rPr>
        <w:t> </w:t>
      </w:r>
      <w:r>
        <w:rPr>
          <w:i/>
          <w:color w:val="231F20"/>
          <w:sz w:val="19"/>
        </w:rPr>
        <w:t>Taxes</w:t>
      </w:r>
      <w:r>
        <w:rPr>
          <w:i/>
          <w:color w:val="231F20"/>
          <w:spacing w:val="-7"/>
          <w:sz w:val="19"/>
        </w:rPr>
        <w:t> </w:t>
      </w:r>
      <w:r>
        <w:rPr>
          <w:i/>
          <w:color w:val="231F20"/>
          <w:sz w:val="19"/>
        </w:rPr>
        <w:t>Administration</w:t>
      </w:r>
      <w:r>
        <w:rPr>
          <w:color w:val="231F20"/>
          <w:sz w:val="19"/>
        </w:rPr>
        <w:t>.</w:t>
      </w:r>
      <w:r>
        <w:rPr>
          <w:color w:val="231F20"/>
          <w:spacing w:val="-7"/>
          <w:sz w:val="19"/>
        </w:rPr>
        <w:t> </w:t>
      </w:r>
      <w:r>
        <w:rPr>
          <w:color w:val="231F20"/>
          <w:sz w:val="19"/>
        </w:rPr>
        <w:t>First</w:t>
      </w:r>
      <w:r>
        <w:rPr>
          <w:color w:val="231F20"/>
          <w:spacing w:val="-7"/>
          <w:sz w:val="19"/>
        </w:rPr>
        <w:t> </w:t>
      </w:r>
      <w:r>
        <w:rPr>
          <w:color w:val="231F20"/>
          <w:sz w:val="19"/>
        </w:rPr>
        <w:t>comments:</w:t>
      </w:r>
      <w:r>
        <w:rPr>
          <w:color w:val="231F20"/>
          <w:spacing w:val="-7"/>
          <w:sz w:val="19"/>
        </w:rPr>
        <w:t> </w:t>
      </w:r>
      <w:r>
        <w:rPr>
          <w:color w:val="231F20"/>
          <w:sz w:val="19"/>
        </w:rPr>
        <w:t>A.</w:t>
      </w:r>
      <w:r>
        <w:rPr>
          <w:color w:val="231F20"/>
          <w:spacing w:val="-7"/>
          <w:sz w:val="19"/>
        </w:rPr>
        <w:t> </w:t>
      </w:r>
      <w:r>
        <w:rPr>
          <w:color w:val="231F20"/>
          <w:sz w:val="19"/>
        </w:rPr>
        <w:t>Xygka,</w:t>
      </w:r>
      <w:r>
        <w:rPr>
          <w:color w:val="231F20"/>
          <w:spacing w:val="-7"/>
          <w:sz w:val="19"/>
        </w:rPr>
        <w:t> </w:t>
      </w:r>
      <w:r>
        <w:rPr>
          <w:i/>
          <w:color w:val="231F20"/>
          <w:sz w:val="19"/>
        </w:rPr>
        <w:t>Professional</w:t>
      </w:r>
      <w:r>
        <w:rPr>
          <w:i/>
          <w:color w:val="231F20"/>
          <w:spacing w:val="-7"/>
          <w:sz w:val="19"/>
        </w:rPr>
        <w:t> </w:t>
      </w:r>
      <w:r>
        <w:rPr>
          <w:i/>
          <w:color w:val="231F20"/>
          <w:sz w:val="19"/>
        </w:rPr>
        <w:t>Secrecy</w:t>
      </w:r>
      <w:r>
        <w:rPr>
          <w:i/>
          <w:color w:val="231F20"/>
          <w:spacing w:val="-7"/>
          <w:sz w:val="19"/>
        </w:rPr>
        <w:t> </w:t>
      </w:r>
      <w:r>
        <w:rPr>
          <w:i/>
          <w:color w:val="231F20"/>
          <w:sz w:val="19"/>
        </w:rPr>
        <w:t>in</w:t>
      </w:r>
      <w:r>
        <w:rPr>
          <w:i/>
          <w:color w:val="231F20"/>
          <w:spacing w:val="-7"/>
          <w:sz w:val="19"/>
        </w:rPr>
        <w:t> </w:t>
      </w:r>
      <w:r>
        <w:rPr>
          <w:i/>
          <w:color w:val="231F20"/>
          <w:sz w:val="19"/>
        </w:rPr>
        <w:t>the</w:t>
      </w:r>
      <w:r>
        <w:rPr>
          <w:i/>
          <w:color w:val="231F20"/>
          <w:sz w:val="19"/>
        </w:rPr>
        <w:t> era of administrative cooperation directives: </w:t>
      </w:r>
      <w:r>
        <w:rPr>
          <w:color w:val="231F20"/>
          <w:sz w:val="19"/>
        </w:rPr>
        <w:t>case C-432/22, in </w:t>
      </w:r>
      <w:r>
        <w:rPr>
          <w:i/>
          <w:color w:val="231F20"/>
          <w:sz w:val="19"/>
        </w:rPr>
        <w:t>European taxation</w:t>
      </w:r>
      <w:r>
        <w:rPr>
          <w:color w:val="231F20"/>
          <w:sz w:val="19"/>
        </w:rPr>
        <w:t>, 2024, 22; L. Münch, </w:t>
      </w:r>
      <w:r>
        <w:rPr>
          <w:i/>
          <w:color w:val="231F20"/>
          <w:sz w:val="19"/>
        </w:rPr>
        <w:t>Zum Schutz berufrechtlichen</w:t>
      </w:r>
      <w:r>
        <w:rPr>
          <w:i/>
          <w:color w:val="231F20"/>
          <w:spacing w:val="-7"/>
          <w:sz w:val="19"/>
        </w:rPr>
        <w:t> </w:t>
      </w:r>
      <w:r>
        <w:rPr>
          <w:i/>
          <w:color w:val="231F20"/>
          <w:sz w:val="19"/>
        </w:rPr>
        <w:t>Verschwiegenheitrecht durch die DAC 6, </w:t>
      </w:r>
      <w:r>
        <w:rPr>
          <w:color w:val="231F20"/>
          <w:sz w:val="19"/>
        </w:rPr>
        <w:t>in </w:t>
      </w:r>
      <w:r>
        <w:rPr>
          <w:i/>
          <w:color w:val="231F20"/>
          <w:sz w:val="19"/>
        </w:rPr>
        <w:t>Internationale</w:t>
      </w:r>
      <w:r>
        <w:rPr>
          <w:i/>
          <w:color w:val="231F20"/>
          <w:sz w:val="19"/>
        </w:rPr>
        <w:t> Steuer-Rundseher</w:t>
      </w:r>
      <w:r>
        <w:rPr>
          <w:color w:val="231F20"/>
          <w:sz w:val="19"/>
        </w:rPr>
        <w:t>, 824-7, p. 234-238.</w:t>
      </w:r>
    </w:p>
    <w:p>
      <w:pPr>
        <w:spacing w:line="225" w:lineRule="auto" w:before="5"/>
        <w:ind w:left="157" w:right="117" w:firstLine="0"/>
        <w:jc w:val="both"/>
        <w:rPr>
          <w:i/>
          <w:sz w:val="19"/>
        </w:rPr>
      </w:pPr>
      <w:r>
        <w:rPr>
          <w:color w:val="231F20"/>
          <w:position w:val="6"/>
          <w:sz w:val="11"/>
        </w:rPr>
        <w:t>12</w:t>
      </w:r>
      <w:r>
        <w:rPr>
          <w:color w:val="231F20"/>
          <w:spacing w:val="28"/>
          <w:position w:val="6"/>
          <w:sz w:val="11"/>
        </w:rPr>
        <w:t> </w:t>
      </w:r>
      <w:r>
        <w:rPr>
          <w:color w:val="231F20"/>
          <w:sz w:val="19"/>
        </w:rPr>
        <w:t>On</w:t>
      </w:r>
      <w:r>
        <w:rPr>
          <w:color w:val="231F20"/>
          <w:spacing w:val="-12"/>
          <w:sz w:val="19"/>
        </w:rPr>
        <w:t> </w:t>
      </w:r>
      <w:r>
        <w:rPr>
          <w:color w:val="231F20"/>
          <w:sz w:val="19"/>
        </w:rPr>
        <w:t>the</w:t>
      </w:r>
      <w:r>
        <w:rPr>
          <w:color w:val="231F20"/>
          <w:spacing w:val="-11"/>
          <w:sz w:val="19"/>
        </w:rPr>
        <w:t> </w:t>
      </w:r>
      <w:r>
        <w:rPr>
          <w:color w:val="231F20"/>
          <w:sz w:val="19"/>
        </w:rPr>
        <w:t>art.</w:t>
      </w:r>
      <w:r>
        <w:rPr>
          <w:color w:val="231F20"/>
          <w:spacing w:val="-12"/>
          <w:sz w:val="19"/>
        </w:rPr>
        <w:t> </w:t>
      </w:r>
      <w:r>
        <w:rPr>
          <w:color w:val="231F20"/>
          <w:sz w:val="19"/>
        </w:rPr>
        <w:t>47</w:t>
      </w:r>
      <w:r>
        <w:rPr>
          <w:color w:val="231F20"/>
          <w:spacing w:val="-12"/>
          <w:sz w:val="19"/>
        </w:rPr>
        <w:t> </w:t>
      </w:r>
      <w:r>
        <w:rPr>
          <w:color w:val="231F20"/>
          <w:sz w:val="19"/>
        </w:rPr>
        <w:t>of</w:t>
      </w:r>
      <w:r>
        <w:rPr>
          <w:color w:val="231F20"/>
          <w:spacing w:val="-12"/>
          <w:sz w:val="19"/>
        </w:rPr>
        <w:t> </w:t>
      </w:r>
      <w:r>
        <w:rPr>
          <w:color w:val="231F20"/>
          <w:sz w:val="19"/>
        </w:rPr>
        <w:t>the</w:t>
      </w:r>
      <w:r>
        <w:rPr>
          <w:color w:val="231F20"/>
          <w:spacing w:val="-12"/>
          <w:sz w:val="19"/>
        </w:rPr>
        <w:t> </w:t>
      </w:r>
      <w:r>
        <w:rPr>
          <w:color w:val="231F20"/>
          <w:sz w:val="19"/>
        </w:rPr>
        <w:t>Charter</w:t>
      </w:r>
      <w:r>
        <w:rPr>
          <w:color w:val="231F20"/>
          <w:spacing w:val="-12"/>
          <w:sz w:val="19"/>
        </w:rPr>
        <w:t> </w:t>
      </w:r>
      <w:r>
        <w:rPr>
          <w:color w:val="231F20"/>
          <w:sz w:val="19"/>
        </w:rPr>
        <w:t>of</w:t>
      </w:r>
      <w:r>
        <w:rPr>
          <w:color w:val="231F20"/>
          <w:spacing w:val="-12"/>
          <w:sz w:val="19"/>
        </w:rPr>
        <w:t> </w:t>
      </w:r>
      <w:r>
        <w:rPr>
          <w:color w:val="231F20"/>
          <w:sz w:val="19"/>
        </w:rPr>
        <w:t>Fundamental</w:t>
      </w:r>
      <w:r>
        <w:rPr>
          <w:color w:val="231F20"/>
          <w:spacing w:val="-12"/>
          <w:sz w:val="19"/>
        </w:rPr>
        <w:t> </w:t>
      </w:r>
      <w:r>
        <w:rPr>
          <w:color w:val="231F20"/>
          <w:sz w:val="19"/>
        </w:rPr>
        <w:t>Rights</w:t>
      </w:r>
      <w:r>
        <w:rPr>
          <w:color w:val="231F20"/>
          <w:spacing w:val="-11"/>
          <w:sz w:val="19"/>
        </w:rPr>
        <w:t> </w:t>
      </w:r>
      <w:r>
        <w:rPr>
          <w:color w:val="231F20"/>
          <w:sz w:val="19"/>
        </w:rPr>
        <w:t>and</w:t>
      </w:r>
      <w:r>
        <w:rPr>
          <w:color w:val="231F20"/>
          <w:spacing w:val="-12"/>
          <w:sz w:val="19"/>
        </w:rPr>
        <w:t> </w:t>
      </w:r>
      <w:r>
        <w:rPr>
          <w:color w:val="231F20"/>
          <w:sz w:val="19"/>
        </w:rPr>
        <w:t>on</w:t>
      </w:r>
      <w:r>
        <w:rPr>
          <w:color w:val="231F20"/>
          <w:spacing w:val="-12"/>
          <w:sz w:val="19"/>
        </w:rPr>
        <w:t> </w:t>
      </w:r>
      <w:r>
        <w:rPr>
          <w:color w:val="231F20"/>
          <w:sz w:val="19"/>
        </w:rPr>
        <w:t>the</w:t>
      </w:r>
      <w:r>
        <w:rPr>
          <w:color w:val="231F20"/>
          <w:spacing w:val="-12"/>
          <w:sz w:val="19"/>
        </w:rPr>
        <w:t> </w:t>
      </w:r>
      <w:r>
        <w:rPr>
          <w:color w:val="231F20"/>
          <w:sz w:val="19"/>
        </w:rPr>
        <w:t>principle</w:t>
      </w:r>
      <w:r>
        <w:rPr>
          <w:color w:val="231F20"/>
          <w:spacing w:val="-12"/>
          <w:sz w:val="19"/>
        </w:rPr>
        <w:t> </w:t>
      </w:r>
      <w:r>
        <w:rPr>
          <w:color w:val="231F20"/>
          <w:sz w:val="19"/>
        </w:rPr>
        <w:t>of</w:t>
      </w:r>
      <w:r>
        <w:rPr>
          <w:color w:val="231F20"/>
          <w:spacing w:val="-12"/>
          <w:sz w:val="19"/>
        </w:rPr>
        <w:t> </w:t>
      </w:r>
      <w:r>
        <w:rPr>
          <w:color w:val="231F20"/>
          <w:sz w:val="19"/>
        </w:rPr>
        <w:t>the</w:t>
      </w:r>
      <w:r>
        <w:rPr>
          <w:color w:val="231F20"/>
          <w:spacing w:val="-12"/>
          <w:sz w:val="19"/>
        </w:rPr>
        <w:t> </w:t>
      </w:r>
      <w:r>
        <w:rPr>
          <w:color w:val="231F20"/>
          <w:sz w:val="19"/>
        </w:rPr>
        <w:t>effectiveness </w:t>
      </w:r>
      <w:r>
        <w:rPr>
          <w:color w:val="231F20"/>
          <w:spacing w:val="-2"/>
          <w:sz w:val="19"/>
        </w:rPr>
        <w:t>of</w:t>
      </w:r>
      <w:r>
        <w:rPr>
          <w:color w:val="231F20"/>
          <w:spacing w:val="-4"/>
          <w:sz w:val="19"/>
        </w:rPr>
        <w:t> </w:t>
      </w:r>
      <w:r>
        <w:rPr>
          <w:color w:val="231F20"/>
          <w:spacing w:val="-2"/>
          <w:sz w:val="19"/>
        </w:rPr>
        <w:t>judicial</w:t>
      </w:r>
      <w:r>
        <w:rPr>
          <w:color w:val="231F20"/>
          <w:spacing w:val="-4"/>
          <w:sz w:val="19"/>
        </w:rPr>
        <w:t> </w:t>
      </w:r>
      <w:r>
        <w:rPr>
          <w:color w:val="231F20"/>
          <w:spacing w:val="-2"/>
          <w:sz w:val="19"/>
        </w:rPr>
        <w:t>protection</w:t>
      </w:r>
      <w:r>
        <w:rPr>
          <w:color w:val="231F20"/>
          <w:spacing w:val="-4"/>
          <w:sz w:val="19"/>
        </w:rPr>
        <w:t> </w:t>
      </w:r>
      <w:r>
        <w:rPr>
          <w:color w:val="231F20"/>
          <w:spacing w:val="-2"/>
          <w:sz w:val="19"/>
        </w:rPr>
        <w:t>of</w:t>
      </w:r>
      <w:r>
        <w:rPr>
          <w:color w:val="231F20"/>
          <w:spacing w:val="-5"/>
          <w:sz w:val="19"/>
        </w:rPr>
        <w:t> </w:t>
      </w:r>
      <w:r>
        <w:rPr>
          <w:color w:val="231F20"/>
          <w:spacing w:val="-2"/>
          <w:sz w:val="19"/>
        </w:rPr>
        <w:t>individuals</w:t>
      </w:r>
      <w:r>
        <w:rPr>
          <w:color w:val="231F20"/>
          <w:spacing w:val="-4"/>
          <w:sz w:val="19"/>
        </w:rPr>
        <w:t> </w:t>
      </w:r>
      <w:r>
        <w:rPr>
          <w:color w:val="231F20"/>
          <w:spacing w:val="-2"/>
          <w:sz w:val="19"/>
        </w:rPr>
        <w:t>in</w:t>
      </w:r>
      <w:r>
        <w:rPr>
          <w:color w:val="231F20"/>
          <w:spacing w:val="-4"/>
          <w:sz w:val="19"/>
        </w:rPr>
        <w:t> </w:t>
      </w:r>
      <w:r>
        <w:rPr>
          <w:color w:val="231F20"/>
          <w:spacing w:val="-2"/>
          <w:sz w:val="19"/>
        </w:rPr>
        <w:t>the</w:t>
      </w:r>
      <w:r>
        <w:rPr>
          <w:color w:val="231F20"/>
          <w:spacing w:val="-4"/>
          <w:sz w:val="19"/>
        </w:rPr>
        <w:t> </w:t>
      </w:r>
      <w:r>
        <w:rPr>
          <w:color w:val="231F20"/>
          <w:spacing w:val="-2"/>
          <w:sz w:val="19"/>
        </w:rPr>
        <w:t>area</w:t>
      </w:r>
      <w:r>
        <w:rPr>
          <w:color w:val="231F20"/>
          <w:spacing w:val="-5"/>
          <w:sz w:val="19"/>
        </w:rPr>
        <w:t> </w:t>
      </w:r>
      <w:r>
        <w:rPr>
          <w:color w:val="231F20"/>
          <w:spacing w:val="-2"/>
          <w:sz w:val="19"/>
        </w:rPr>
        <w:t>of</w:t>
      </w:r>
      <w:r>
        <w:rPr>
          <w:color w:val="231F20"/>
          <w:spacing w:val="-4"/>
          <w:sz w:val="19"/>
        </w:rPr>
        <w:t> </w:t>
      </w:r>
      <w:r>
        <w:rPr>
          <w:color w:val="231F20"/>
          <w:spacing w:val="-2"/>
          <w:sz w:val="19"/>
        </w:rPr>
        <w:t>tax</w:t>
      </w:r>
      <w:r>
        <w:rPr>
          <w:color w:val="231F20"/>
          <w:spacing w:val="-4"/>
          <w:sz w:val="19"/>
        </w:rPr>
        <w:t> </w:t>
      </w:r>
      <w:r>
        <w:rPr>
          <w:color w:val="231F20"/>
          <w:spacing w:val="-2"/>
          <w:sz w:val="19"/>
        </w:rPr>
        <w:t>law,</w:t>
      </w:r>
      <w:r>
        <w:rPr>
          <w:color w:val="231F20"/>
          <w:spacing w:val="-4"/>
          <w:sz w:val="19"/>
        </w:rPr>
        <w:t> </w:t>
      </w:r>
      <w:r>
        <w:rPr>
          <w:color w:val="231F20"/>
          <w:spacing w:val="-2"/>
          <w:sz w:val="19"/>
        </w:rPr>
        <w:t>see</w:t>
      </w:r>
      <w:r>
        <w:rPr>
          <w:color w:val="231F20"/>
          <w:spacing w:val="-5"/>
          <w:sz w:val="19"/>
        </w:rPr>
        <w:t> </w:t>
      </w:r>
      <w:r>
        <w:rPr>
          <w:color w:val="231F20"/>
          <w:spacing w:val="-2"/>
          <w:sz w:val="19"/>
        </w:rPr>
        <w:t>R.</w:t>
      </w:r>
      <w:r>
        <w:rPr>
          <w:color w:val="231F20"/>
          <w:spacing w:val="-4"/>
          <w:sz w:val="19"/>
        </w:rPr>
        <w:t> </w:t>
      </w:r>
      <w:r>
        <w:rPr>
          <w:color w:val="231F20"/>
          <w:spacing w:val="-2"/>
          <w:sz w:val="19"/>
        </w:rPr>
        <w:t>Alfano</w:t>
      </w:r>
      <w:r>
        <w:rPr>
          <w:i/>
          <w:color w:val="231F20"/>
          <w:spacing w:val="-2"/>
          <w:sz w:val="19"/>
        </w:rPr>
        <w:t>,</w:t>
      </w:r>
      <w:r>
        <w:rPr>
          <w:i/>
          <w:color w:val="231F20"/>
          <w:spacing w:val="-4"/>
          <w:sz w:val="19"/>
        </w:rPr>
        <w:t> </w:t>
      </w:r>
      <w:r>
        <w:rPr>
          <w:i/>
          <w:color w:val="231F20"/>
          <w:spacing w:val="-2"/>
          <w:sz w:val="19"/>
        </w:rPr>
        <w:t>Sanzioni</w:t>
      </w:r>
      <w:r>
        <w:rPr>
          <w:i/>
          <w:color w:val="231F20"/>
          <w:spacing w:val="-4"/>
          <w:sz w:val="19"/>
        </w:rPr>
        <w:t> </w:t>
      </w:r>
      <w:r>
        <w:rPr>
          <w:i/>
          <w:color w:val="231F20"/>
          <w:spacing w:val="-2"/>
          <w:sz w:val="19"/>
        </w:rPr>
        <w:t>amministrative</w:t>
      </w:r>
      <w:r>
        <w:rPr>
          <w:i/>
          <w:color w:val="231F20"/>
          <w:spacing w:val="-2"/>
          <w:sz w:val="19"/>
        </w:rPr>
        <w:t> </w:t>
      </w:r>
      <w:r>
        <w:rPr>
          <w:i/>
          <w:color w:val="231F20"/>
          <w:sz w:val="19"/>
        </w:rPr>
        <w:t>tributarie e tutela del contribuente, </w:t>
      </w:r>
      <w:r>
        <w:rPr>
          <w:color w:val="231F20"/>
          <w:sz w:val="19"/>
        </w:rPr>
        <w:t>Napoli, 2020, pp.166-170. There are many studies dealing specifically with the art. 47 of the Charter, </w:t>
      </w:r>
      <w:r>
        <w:rPr>
          <w:i/>
          <w:color w:val="231F20"/>
          <w:sz w:val="19"/>
        </w:rPr>
        <w:t>ex multis: </w:t>
      </w:r>
      <w:r>
        <w:rPr>
          <w:color w:val="231F20"/>
          <w:sz w:val="19"/>
        </w:rPr>
        <w:t>R. Mastroianni, </w:t>
      </w:r>
      <w:r>
        <w:rPr>
          <w:i/>
          <w:color w:val="231F20"/>
          <w:sz w:val="19"/>
        </w:rPr>
        <w:t>L’effettività della tutela</w:t>
      </w:r>
      <w:r>
        <w:rPr>
          <w:i/>
          <w:color w:val="231F20"/>
          <w:sz w:val="19"/>
        </w:rPr>
        <w:t> giurisdizionale alla prova della Carta dei diritti fondamentali, </w:t>
      </w:r>
      <w:r>
        <w:rPr>
          <w:color w:val="231F20"/>
          <w:sz w:val="19"/>
        </w:rPr>
        <w:t>in </w:t>
      </w:r>
      <w:r>
        <w:rPr>
          <w:i/>
          <w:color w:val="231F20"/>
          <w:sz w:val="19"/>
        </w:rPr>
        <w:t>Liber amicorum in onore di</w:t>
      </w:r>
      <w:r>
        <w:rPr>
          <w:i/>
          <w:color w:val="231F20"/>
          <w:sz w:val="19"/>
        </w:rPr>
        <w:t> Antonio Tizzano</w:t>
      </w:r>
      <w:r>
        <w:rPr>
          <w:color w:val="231F20"/>
          <w:sz w:val="19"/>
        </w:rPr>
        <w:t>, Napoli, 2018; A. M. Romito, </w:t>
      </w:r>
      <w:r>
        <w:rPr>
          <w:i/>
          <w:color w:val="231F20"/>
          <w:sz w:val="19"/>
        </w:rPr>
        <w:t>La tutela giurisdizionale nell’Unione europea</w:t>
      </w:r>
      <w:r>
        <w:rPr>
          <w:i/>
          <w:color w:val="231F20"/>
          <w:sz w:val="19"/>
        </w:rPr>
        <w:t> fra</w:t>
      </w:r>
      <w:r>
        <w:rPr>
          <w:i/>
          <w:color w:val="231F20"/>
          <w:spacing w:val="20"/>
          <w:sz w:val="19"/>
        </w:rPr>
        <w:t> </w:t>
      </w:r>
      <w:r>
        <w:rPr>
          <w:i/>
          <w:color w:val="231F20"/>
          <w:sz w:val="19"/>
        </w:rPr>
        <w:t>effettività</w:t>
      </w:r>
      <w:r>
        <w:rPr>
          <w:i/>
          <w:color w:val="231F20"/>
          <w:spacing w:val="20"/>
          <w:sz w:val="19"/>
        </w:rPr>
        <w:t> </w:t>
      </w:r>
      <w:r>
        <w:rPr>
          <w:i/>
          <w:color w:val="231F20"/>
          <w:sz w:val="19"/>
        </w:rPr>
        <w:t>del</w:t>
      </w:r>
      <w:r>
        <w:rPr>
          <w:i/>
          <w:color w:val="231F20"/>
          <w:spacing w:val="21"/>
          <w:sz w:val="19"/>
        </w:rPr>
        <w:t> </w:t>
      </w:r>
      <w:r>
        <w:rPr>
          <w:i/>
          <w:color w:val="231F20"/>
          <w:sz w:val="19"/>
        </w:rPr>
        <w:t>sistema</w:t>
      </w:r>
      <w:r>
        <w:rPr>
          <w:i/>
          <w:color w:val="231F20"/>
          <w:spacing w:val="20"/>
          <w:sz w:val="19"/>
        </w:rPr>
        <w:t> </w:t>
      </w:r>
      <w:r>
        <w:rPr>
          <w:i/>
          <w:color w:val="231F20"/>
          <w:sz w:val="19"/>
        </w:rPr>
        <w:t>e</w:t>
      </w:r>
      <w:r>
        <w:rPr>
          <w:i/>
          <w:color w:val="231F20"/>
          <w:spacing w:val="21"/>
          <w:sz w:val="19"/>
        </w:rPr>
        <w:t> </w:t>
      </w:r>
      <w:r>
        <w:rPr>
          <w:i/>
          <w:color w:val="231F20"/>
          <w:sz w:val="19"/>
        </w:rPr>
        <w:t>garanzie</w:t>
      </w:r>
      <w:r>
        <w:rPr>
          <w:i/>
          <w:color w:val="231F20"/>
          <w:spacing w:val="20"/>
          <w:sz w:val="19"/>
        </w:rPr>
        <w:t> </w:t>
      </w:r>
      <w:r>
        <w:rPr>
          <w:i/>
          <w:color w:val="231F20"/>
          <w:sz w:val="19"/>
        </w:rPr>
        <w:t>individuali</w:t>
      </w:r>
      <w:r>
        <w:rPr>
          <w:color w:val="231F20"/>
          <w:sz w:val="19"/>
        </w:rPr>
        <w:t>,</w:t>
      </w:r>
      <w:r>
        <w:rPr>
          <w:color w:val="231F20"/>
          <w:spacing w:val="21"/>
          <w:sz w:val="19"/>
        </w:rPr>
        <w:t> </w:t>
      </w:r>
      <w:r>
        <w:rPr>
          <w:color w:val="231F20"/>
          <w:sz w:val="19"/>
        </w:rPr>
        <w:t>Bari,</w:t>
      </w:r>
      <w:r>
        <w:rPr>
          <w:color w:val="231F20"/>
          <w:spacing w:val="20"/>
          <w:sz w:val="19"/>
        </w:rPr>
        <w:t> </w:t>
      </w:r>
      <w:r>
        <w:rPr>
          <w:color w:val="231F20"/>
          <w:sz w:val="19"/>
        </w:rPr>
        <w:t>2015;</w:t>
      </w:r>
      <w:r>
        <w:rPr>
          <w:color w:val="231F20"/>
          <w:spacing w:val="20"/>
          <w:sz w:val="19"/>
        </w:rPr>
        <w:t> </w:t>
      </w:r>
      <w:r>
        <w:rPr>
          <w:color w:val="231F20"/>
          <w:sz w:val="19"/>
        </w:rPr>
        <w:t>G.</w:t>
      </w:r>
      <w:r>
        <w:rPr>
          <w:color w:val="231F20"/>
          <w:spacing w:val="18"/>
          <w:sz w:val="19"/>
        </w:rPr>
        <w:t> </w:t>
      </w:r>
      <w:r>
        <w:rPr>
          <w:color w:val="231F20"/>
          <w:sz w:val="19"/>
        </w:rPr>
        <w:t>Vitale,</w:t>
      </w:r>
      <w:r>
        <w:rPr>
          <w:color w:val="231F20"/>
          <w:spacing w:val="20"/>
          <w:sz w:val="19"/>
        </w:rPr>
        <w:t> </w:t>
      </w:r>
      <w:r>
        <w:rPr>
          <w:i/>
          <w:color w:val="231F20"/>
          <w:sz w:val="19"/>
        </w:rPr>
        <w:t>Principio</w:t>
      </w:r>
      <w:r>
        <w:rPr>
          <w:i/>
          <w:color w:val="231F20"/>
          <w:spacing w:val="21"/>
          <w:sz w:val="19"/>
        </w:rPr>
        <w:t> </w:t>
      </w:r>
      <w:r>
        <w:rPr>
          <w:i/>
          <w:color w:val="231F20"/>
          <w:sz w:val="19"/>
        </w:rPr>
        <w:t>di</w:t>
      </w:r>
      <w:r>
        <w:rPr>
          <w:i/>
          <w:color w:val="231F20"/>
          <w:spacing w:val="20"/>
          <w:sz w:val="19"/>
        </w:rPr>
        <w:t> </w:t>
      </w:r>
      <w:r>
        <w:rPr>
          <w:i/>
          <w:color w:val="231F20"/>
          <w:spacing w:val="-2"/>
          <w:sz w:val="19"/>
        </w:rPr>
        <w:t>effettività</w:t>
      </w:r>
    </w:p>
    <w:p>
      <w:pPr>
        <w:spacing w:after="0" w:line="225" w:lineRule="auto"/>
        <w:jc w:val="both"/>
        <w:rPr>
          <w:sz w:val="19"/>
        </w:rPr>
        <w:sectPr>
          <w:pgSz w:w="9640" w:h="13610"/>
          <w:pgMar w:header="0" w:footer="625" w:top="1260" w:bottom="820" w:left="1260" w:right="1240"/>
        </w:sectPr>
      </w:pPr>
    </w:p>
    <w:p>
      <w:pPr>
        <w:pStyle w:val="ListParagraph"/>
        <w:numPr>
          <w:ilvl w:val="1"/>
          <w:numId w:val="1"/>
        </w:numPr>
        <w:tabs>
          <w:tab w:pos="500" w:val="left" w:leader="none"/>
        </w:tabs>
        <w:spacing w:line="244" w:lineRule="auto" w:before="110" w:after="0"/>
        <w:ind w:left="100" w:right="176" w:firstLine="0"/>
        <w:jc w:val="left"/>
        <w:rPr>
          <w:b/>
          <w:sz w:val="24"/>
        </w:rPr>
      </w:pPr>
      <w:r>
        <w:rPr>
          <w:b/>
          <w:color w:val="231F20"/>
          <w:spacing w:val="-2"/>
          <w:sz w:val="24"/>
        </w:rPr>
        <w:t>Applicability</w:t>
      </w:r>
      <w:r>
        <w:rPr>
          <w:b/>
          <w:color w:val="231F20"/>
          <w:spacing w:val="-19"/>
          <w:sz w:val="24"/>
        </w:rPr>
        <w:t> </w:t>
      </w:r>
      <w:r>
        <w:rPr>
          <w:b/>
          <w:color w:val="231F20"/>
          <w:spacing w:val="-2"/>
          <w:sz w:val="24"/>
        </w:rPr>
        <w:t>of</w:t>
      </w:r>
      <w:r>
        <w:rPr>
          <w:b/>
          <w:color w:val="231F20"/>
          <w:spacing w:val="-19"/>
          <w:sz w:val="24"/>
        </w:rPr>
        <w:t> </w:t>
      </w:r>
      <w:r>
        <w:rPr>
          <w:b/>
          <w:color w:val="231F20"/>
          <w:spacing w:val="-2"/>
          <w:sz w:val="24"/>
        </w:rPr>
        <w:t>the</w:t>
      </w:r>
      <w:r>
        <w:rPr>
          <w:b/>
          <w:color w:val="231F20"/>
          <w:spacing w:val="-19"/>
          <w:sz w:val="24"/>
        </w:rPr>
        <w:t> </w:t>
      </w:r>
      <w:r>
        <w:rPr>
          <w:b/>
          <w:color w:val="231F20"/>
          <w:spacing w:val="-2"/>
          <w:sz w:val="24"/>
        </w:rPr>
        <w:t>Charter</w:t>
      </w:r>
      <w:r>
        <w:rPr>
          <w:b/>
          <w:color w:val="231F20"/>
          <w:spacing w:val="-19"/>
          <w:sz w:val="24"/>
        </w:rPr>
        <w:t> </w:t>
      </w:r>
      <w:r>
        <w:rPr>
          <w:b/>
          <w:color w:val="231F20"/>
          <w:spacing w:val="-2"/>
          <w:sz w:val="24"/>
        </w:rPr>
        <w:t>of</w:t>
      </w:r>
      <w:r>
        <w:rPr>
          <w:b/>
          <w:color w:val="231F20"/>
          <w:spacing w:val="-19"/>
          <w:sz w:val="24"/>
        </w:rPr>
        <w:t> </w:t>
      </w:r>
      <w:r>
        <w:rPr>
          <w:b/>
          <w:color w:val="231F20"/>
          <w:spacing w:val="-2"/>
          <w:sz w:val="24"/>
        </w:rPr>
        <w:t>Fundamental</w:t>
      </w:r>
      <w:r>
        <w:rPr>
          <w:b/>
          <w:color w:val="231F20"/>
          <w:spacing w:val="-19"/>
          <w:sz w:val="24"/>
        </w:rPr>
        <w:t> </w:t>
      </w:r>
      <w:r>
        <w:rPr>
          <w:b/>
          <w:color w:val="231F20"/>
          <w:spacing w:val="-2"/>
          <w:sz w:val="24"/>
        </w:rPr>
        <w:t>Rights</w:t>
      </w:r>
      <w:r>
        <w:rPr>
          <w:b/>
          <w:color w:val="231F20"/>
          <w:spacing w:val="-19"/>
          <w:sz w:val="24"/>
        </w:rPr>
        <w:t> </w:t>
      </w:r>
      <w:r>
        <w:rPr>
          <w:b/>
          <w:color w:val="231F20"/>
          <w:spacing w:val="-2"/>
          <w:sz w:val="24"/>
        </w:rPr>
        <w:t>to</w:t>
      </w:r>
      <w:r>
        <w:rPr>
          <w:b/>
          <w:color w:val="231F20"/>
          <w:spacing w:val="-19"/>
          <w:sz w:val="24"/>
        </w:rPr>
        <w:t> </w:t>
      </w:r>
      <w:r>
        <w:rPr>
          <w:b/>
          <w:color w:val="231F20"/>
          <w:spacing w:val="-2"/>
          <w:sz w:val="24"/>
        </w:rPr>
        <w:t>the</w:t>
      </w:r>
      <w:r>
        <w:rPr>
          <w:b/>
          <w:color w:val="231F20"/>
          <w:spacing w:val="-19"/>
          <w:sz w:val="24"/>
        </w:rPr>
        <w:t> </w:t>
      </w:r>
      <w:r>
        <w:rPr>
          <w:b/>
          <w:color w:val="231F20"/>
          <w:spacing w:val="-2"/>
          <w:sz w:val="24"/>
        </w:rPr>
        <w:t>Information </w:t>
      </w:r>
      <w:r>
        <w:rPr>
          <w:b/>
          <w:color w:val="231F20"/>
          <w:sz w:val="24"/>
        </w:rPr>
        <w:t>Exchange Procedure</w:t>
      </w:r>
    </w:p>
    <w:p>
      <w:pPr>
        <w:pStyle w:val="BodyText"/>
        <w:spacing w:line="225" w:lineRule="auto" w:before="263"/>
        <w:ind w:left="100" w:right="174"/>
        <w:jc w:val="both"/>
      </w:pPr>
      <w:r>
        <w:rPr>
          <w:color w:val="231F20"/>
        </w:rPr>
        <w:t>In the first of these judgments, the European judges had to preliminarily determine «upstream» whether national regulations concerning tax </w:t>
      </w:r>
      <w:r>
        <w:rPr>
          <w:color w:val="231F20"/>
        </w:rPr>
        <w:t>sanc- tions</w:t>
      </w:r>
      <w:r>
        <w:rPr>
          <w:color w:val="231F20"/>
          <w:position w:val="8"/>
          <w:sz w:val="14"/>
        </w:rPr>
        <w:t>13</w:t>
      </w:r>
      <w:r>
        <w:rPr>
          <w:color w:val="231F20"/>
          <w:spacing w:val="23"/>
          <w:position w:val="8"/>
          <w:sz w:val="14"/>
        </w:rPr>
        <w:t> </w:t>
      </w:r>
      <w:r>
        <w:rPr>
          <w:color w:val="231F20"/>
        </w:rPr>
        <w:t>constituted</w:t>
      </w:r>
      <w:r>
        <w:rPr>
          <w:color w:val="231F20"/>
          <w:spacing w:val="-2"/>
        </w:rPr>
        <w:t> </w:t>
      </w:r>
      <w:r>
        <w:rPr>
          <w:color w:val="231F20"/>
        </w:rPr>
        <w:t>«implementation</w:t>
      </w:r>
      <w:r>
        <w:rPr>
          <w:color w:val="231F20"/>
          <w:spacing w:val="-2"/>
        </w:rPr>
        <w:t> </w:t>
      </w:r>
      <w:r>
        <w:rPr>
          <w:color w:val="231F20"/>
        </w:rPr>
        <w:t>of</w:t>
      </w:r>
      <w:r>
        <w:rPr>
          <w:color w:val="231F20"/>
          <w:spacing w:val="-2"/>
        </w:rPr>
        <w:t> </w:t>
      </w:r>
      <w:r>
        <w:rPr>
          <w:color w:val="231F20"/>
        </w:rPr>
        <w:t>Union</w:t>
      </w:r>
      <w:r>
        <w:rPr>
          <w:color w:val="231F20"/>
          <w:spacing w:val="-2"/>
        </w:rPr>
        <w:t> </w:t>
      </w:r>
      <w:r>
        <w:rPr>
          <w:color w:val="231F20"/>
        </w:rPr>
        <w:t>law»</w:t>
      </w:r>
      <w:r>
        <w:rPr>
          <w:color w:val="231F20"/>
          <w:spacing w:val="-2"/>
        </w:rPr>
        <w:t> </w:t>
      </w:r>
      <w:r>
        <w:rPr>
          <w:color w:val="231F20"/>
        </w:rPr>
        <w:t>within</w:t>
      </w:r>
      <w:r>
        <w:rPr>
          <w:color w:val="231F20"/>
          <w:spacing w:val="-2"/>
        </w:rPr>
        <w:t> </w:t>
      </w:r>
      <w:r>
        <w:rPr>
          <w:color w:val="231F20"/>
        </w:rPr>
        <w:t>the</w:t>
      </w:r>
      <w:r>
        <w:rPr>
          <w:color w:val="231F20"/>
          <w:spacing w:val="-2"/>
        </w:rPr>
        <w:t> </w:t>
      </w:r>
      <w:r>
        <w:rPr>
          <w:color w:val="231F20"/>
        </w:rPr>
        <w:t>meaning</w:t>
      </w:r>
      <w:r>
        <w:rPr>
          <w:color w:val="231F20"/>
          <w:spacing w:val="-2"/>
        </w:rPr>
        <w:t> </w:t>
      </w:r>
      <w:r>
        <w:rPr>
          <w:color w:val="231F20"/>
        </w:rPr>
        <w:t>of Article</w:t>
      </w:r>
      <w:r>
        <w:rPr>
          <w:color w:val="231F20"/>
          <w:spacing w:val="-9"/>
        </w:rPr>
        <w:t> </w:t>
      </w:r>
      <w:r>
        <w:rPr>
          <w:color w:val="231F20"/>
        </w:rPr>
        <w:t>51(1)</w:t>
      </w:r>
      <w:r>
        <w:rPr>
          <w:color w:val="231F20"/>
          <w:spacing w:val="-9"/>
        </w:rPr>
        <w:t> </w:t>
      </w:r>
      <w:r>
        <w:rPr>
          <w:color w:val="231F20"/>
        </w:rPr>
        <w:t>of</w:t>
      </w:r>
      <w:r>
        <w:rPr>
          <w:color w:val="231F20"/>
          <w:spacing w:val="-9"/>
        </w:rPr>
        <w:t> </w:t>
      </w:r>
      <w:r>
        <w:rPr>
          <w:color w:val="231F20"/>
        </w:rPr>
        <w:t>the</w:t>
      </w:r>
      <w:r>
        <w:rPr>
          <w:color w:val="231F20"/>
          <w:spacing w:val="-9"/>
        </w:rPr>
        <w:t> </w:t>
      </w:r>
      <w:r>
        <w:rPr>
          <w:color w:val="231F20"/>
        </w:rPr>
        <w:t>Charter.</w:t>
      </w:r>
      <w:r>
        <w:rPr>
          <w:color w:val="231F20"/>
          <w:spacing w:val="-9"/>
        </w:rPr>
        <w:t> </w:t>
      </w:r>
      <w:r>
        <w:rPr>
          <w:color w:val="231F20"/>
        </w:rPr>
        <w:t>The</w:t>
      </w:r>
      <w:r>
        <w:rPr>
          <w:color w:val="231F20"/>
          <w:spacing w:val="-9"/>
        </w:rPr>
        <w:t> </w:t>
      </w:r>
      <w:r>
        <w:rPr>
          <w:color w:val="231F20"/>
        </w:rPr>
        <w:t>Court</w:t>
      </w:r>
      <w:r>
        <w:rPr>
          <w:color w:val="231F20"/>
          <w:spacing w:val="-9"/>
        </w:rPr>
        <w:t> </w:t>
      </w:r>
      <w:r>
        <w:rPr>
          <w:color w:val="231F20"/>
        </w:rPr>
        <w:t>ruled</w:t>
      </w:r>
      <w:r>
        <w:rPr>
          <w:color w:val="231F20"/>
          <w:spacing w:val="-9"/>
        </w:rPr>
        <w:t> </w:t>
      </w:r>
      <w:r>
        <w:rPr>
          <w:color w:val="231F20"/>
        </w:rPr>
        <w:t>that</w:t>
      </w:r>
      <w:r>
        <w:rPr>
          <w:color w:val="231F20"/>
          <w:spacing w:val="-9"/>
        </w:rPr>
        <w:t> </w:t>
      </w:r>
      <w:r>
        <w:rPr>
          <w:color w:val="231F20"/>
        </w:rPr>
        <w:t>the</w:t>
      </w:r>
      <w:r>
        <w:rPr>
          <w:color w:val="231F20"/>
          <w:spacing w:val="-9"/>
        </w:rPr>
        <w:t> </w:t>
      </w:r>
      <w:r>
        <w:rPr>
          <w:color w:val="231F20"/>
        </w:rPr>
        <w:t>CFR</w:t>
      </w:r>
      <w:r>
        <w:rPr>
          <w:color w:val="231F20"/>
          <w:spacing w:val="-9"/>
        </w:rPr>
        <w:t> </w:t>
      </w:r>
      <w:r>
        <w:rPr>
          <w:color w:val="231F20"/>
        </w:rPr>
        <w:t>fully</w:t>
      </w:r>
      <w:r>
        <w:rPr>
          <w:color w:val="231F20"/>
          <w:spacing w:val="-9"/>
        </w:rPr>
        <w:t> </w:t>
      </w:r>
      <w:r>
        <w:rPr>
          <w:color w:val="231F20"/>
        </w:rPr>
        <w:t>applies</w:t>
      </w:r>
      <w:r>
        <w:rPr>
          <w:color w:val="231F20"/>
          <w:spacing w:val="-9"/>
        </w:rPr>
        <w:t> </w:t>
      </w:r>
      <w:r>
        <w:rPr>
          <w:color w:val="231F20"/>
        </w:rPr>
        <w:t>to all</w:t>
      </w:r>
      <w:r>
        <w:rPr>
          <w:color w:val="231F20"/>
          <w:spacing w:val="-9"/>
        </w:rPr>
        <w:t> </w:t>
      </w:r>
      <w:r>
        <w:rPr>
          <w:color w:val="231F20"/>
        </w:rPr>
        <w:t>national</w:t>
      </w:r>
      <w:r>
        <w:rPr>
          <w:color w:val="231F20"/>
          <w:spacing w:val="-9"/>
        </w:rPr>
        <w:t> </w:t>
      </w:r>
      <w:r>
        <w:rPr>
          <w:color w:val="231F20"/>
        </w:rPr>
        <w:t>legislation</w:t>
      </w:r>
      <w:r>
        <w:rPr>
          <w:color w:val="231F20"/>
          <w:spacing w:val="-9"/>
        </w:rPr>
        <w:t> </w:t>
      </w:r>
      <w:r>
        <w:rPr>
          <w:color w:val="231F20"/>
        </w:rPr>
        <w:t>governing</w:t>
      </w:r>
      <w:r>
        <w:rPr>
          <w:color w:val="231F20"/>
          <w:spacing w:val="-9"/>
        </w:rPr>
        <w:t> </w:t>
      </w:r>
      <w:r>
        <w:rPr>
          <w:color w:val="231F20"/>
        </w:rPr>
        <w:t>the</w:t>
      </w:r>
      <w:r>
        <w:rPr>
          <w:color w:val="231F20"/>
          <w:spacing w:val="-9"/>
        </w:rPr>
        <w:t> </w:t>
      </w:r>
      <w:r>
        <w:rPr>
          <w:color w:val="231F20"/>
        </w:rPr>
        <w:t>exchange</w:t>
      </w:r>
      <w:r>
        <w:rPr>
          <w:color w:val="231F20"/>
          <w:spacing w:val="-9"/>
        </w:rPr>
        <w:t> </w:t>
      </w:r>
      <w:r>
        <w:rPr>
          <w:color w:val="231F20"/>
        </w:rPr>
        <w:t>of</w:t>
      </w:r>
      <w:r>
        <w:rPr>
          <w:color w:val="231F20"/>
          <w:spacing w:val="-9"/>
        </w:rPr>
        <w:t> </w:t>
      </w:r>
      <w:r>
        <w:rPr>
          <w:color w:val="231F20"/>
        </w:rPr>
        <w:t>information</w:t>
      </w:r>
      <w:r>
        <w:rPr>
          <w:color w:val="231F20"/>
          <w:spacing w:val="-9"/>
        </w:rPr>
        <w:t> </w:t>
      </w:r>
      <w:r>
        <w:rPr>
          <w:color w:val="231F20"/>
        </w:rPr>
        <w:t>with</w:t>
      </w:r>
      <w:r>
        <w:rPr>
          <w:color w:val="231F20"/>
          <w:spacing w:val="-9"/>
        </w:rPr>
        <w:t> </w:t>
      </w:r>
      <w:r>
        <w:rPr>
          <w:color w:val="231F20"/>
        </w:rPr>
        <w:t>admin- istrations of other States, including provisions that impose sanctions on holders</w:t>
      </w:r>
      <w:r>
        <w:rPr>
          <w:color w:val="231F20"/>
          <w:spacing w:val="-7"/>
        </w:rPr>
        <w:t> </w:t>
      </w:r>
      <w:r>
        <w:rPr>
          <w:color w:val="231F20"/>
        </w:rPr>
        <w:t>of</w:t>
      </w:r>
      <w:r>
        <w:rPr>
          <w:color w:val="231F20"/>
          <w:spacing w:val="-7"/>
        </w:rPr>
        <w:t> </w:t>
      </w:r>
      <w:r>
        <w:rPr>
          <w:color w:val="231F20"/>
        </w:rPr>
        <w:t>requested</w:t>
      </w:r>
      <w:r>
        <w:rPr>
          <w:color w:val="231F20"/>
          <w:spacing w:val="-7"/>
        </w:rPr>
        <w:t> </w:t>
      </w:r>
      <w:r>
        <w:rPr>
          <w:color w:val="231F20"/>
        </w:rPr>
        <w:t>information</w:t>
      </w:r>
      <w:r>
        <w:rPr>
          <w:color w:val="231F20"/>
          <w:spacing w:val="-7"/>
        </w:rPr>
        <w:t> </w:t>
      </w:r>
      <w:r>
        <w:rPr>
          <w:color w:val="231F20"/>
        </w:rPr>
        <w:t>if</w:t>
      </w:r>
      <w:r>
        <w:rPr>
          <w:color w:val="231F20"/>
          <w:spacing w:val="-7"/>
        </w:rPr>
        <w:t> </w:t>
      </w:r>
      <w:r>
        <w:rPr>
          <w:color w:val="231F20"/>
        </w:rPr>
        <w:t>they</w:t>
      </w:r>
      <w:r>
        <w:rPr>
          <w:color w:val="231F20"/>
          <w:spacing w:val="-7"/>
        </w:rPr>
        <w:t> </w:t>
      </w:r>
      <w:r>
        <w:rPr>
          <w:color w:val="231F20"/>
        </w:rPr>
        <w:t>refuse</w:t>
      </w:r>
      <w:r>
        <w:rPr>
          <w:color w:val="231F20"/>
          <w:spacing w:val="-7"/>
        </w:rPr>
        <w:t> </w:t>
      </w:r>
      <w:r>
        <w:rPr>
          <w:color w:val="231F20"/>
        </w:rPr>
        <w:t>to</w:t>
      </w:r>
      <w:r>
        <w:rPr>
          <w:color w:val="231F20"/>
          <w:spacing w:val="-7"/>
        </w:rPr>
        <w:t> </w:t>
      </w:r>
      <w:r>
        <w:rPr>
          <w:color w:val="231F20"/>
        </w:rPr>
        <w:t>provide</w:t>
      </w:r>
      <w:r>
        <w:rPr>
          <w:color w:val="231F20"/>
          <w:spacing w:val="-7"/>
        </w:rPr>
        <w:t> </w:t>
      </w:r>
      <w:r>
        <w:rPr>
          <w:color w:val="231F20"/>
        </w:rPr>
        <w:t>it,</w:t>
      </w:r>
      <w:r>
        <w:rPr>
          <w:color w:val="231F20"/>
          <w:spacing w:val="-7"/>
        </w:rPr>
        <w:t> </w:t>
      </w:r>
      <w:r>
        <w:rPr>
          <w:color w:val="231F20"/>
        </w:rPr>
        <w:t>as</w:t>
      </w:r>
      <w:r>
        <w:rPr>
          <w:color w:val="231F20"/>
          <w:spacing w:val="-7"/>
        </w:rPr>
        <w:t> </w:t>
      </w:r>
      <w:r>
        <w:rPr>
          <w:color w:val="231F20"/>
        </w:rPr>
        <w:t>the</w:t>
      </w:r>
      <w:r>
        <w:rPr>
          <w:color w:val="231F20"/>
          <w:spacing w:val="-7"/>
        </w:rPr>
        <w:t> </w:t>
      </w:r>
      <w:r>
        <w:rPr>
          <w:color w:val="231F20"/>
        </w:rPr>
        <w:t>imposi- tion</w:t>
      </w:r>
      <w:r>
        <w:rPr>
          <w:color w:val="231F20"/>
          <w:spacing w:val="-2"/>
        </w:rPr>
        <w:t> </w:t>
      </w:r>
      <w:r>
        <w:rPr>
          <w:color w:val="231F20"/>
        </w:rPr>
        <w:t>of</w:t>
      </w:r>
      <w:r>
        <w:rPr>
          <w:color w:val="231F20"/>
          <w:spacing w:val="-2"/>
        </w:rPr>
        <w:t> </w:t>
      </w:r>
      <w:r>
        <w:rPr>
          <w:color w:val="231F20"/>
        </w:rPr>
        <w:t>such</w:t>
      </w:r>
      <w:r>
        <w:rPr>
          <w:color w:val="231F20"/>
          <w:spacing w:val="-2"/>
        </w:rPr>
        <w:t> </w:t>
      </w:r>
      <w:r>
        <w:rPr>
          <w:color w:val="231F20"/>
        </w:rPr>
        <w:t>sanctions</w:t>
      </w:r>
      <w:r>
        <w:rPr>
          <w:color w:val="231F20"/>
          <w:spacing w:val="-2"/>
        </w:rPr>
        <w:t> </w:t>
      </w:r>
      <w:r>
        <w:rPr>
          <w:color w:val="231F20"/>
        </w:rPr>
        <w:t>is</w:t>
      </w:r>
      <w:r>
        <w:rPr>
          <w:color w:val="231F20"/>
          <w:spacing w:val="-2"/>
        </w:rPr>
        <w:t> </w:t>
      </w:r>
      <w:r>
        <w:rPr>
          <w:color w:val="231F20"/>
        </w:rPr>
        <w:t>essential</w:t>
      </w:r>
      <w:r>
        <w:rPr>
          <w:color w:val="231F20"/>
          <w:spacing w:val="-2"/>
        </w:rPr>
        <w:t> </w:t>
      </w:r>
      <w:r>
        <w:rPr>
          <w:color w:val="231F20"/>
        </w:rPr>
        <w:t>to</w:t>
      </w:r>
      <w:r>
        <w:rPr>
          <w:color w:val="231F20"/>
          <w:spacing w:val="-2"/>
        </w:rPr>
        <w:t> </w:t>
      </w:r>
      <w:r>
        <w:rPr>
          <w:color w:val="231F20"/>
        </w:rPr>
        <w:t>ensure</w:t>
      </w:r>
      <w:r>
        <w:rPr>
          <w:color w:val="231F20"/>
          <w:spacing w:val="-2"/>
        </w:rPr>
        <w:t> </w:t>
      </w:r>
      <w:r>
        <w:rPr>
          <w:color w:val="231F20"/>
        </w:rPr>
        <w:t>the</w:t>
      </w:r>
      <w:r>
        <w:rPr>
          <w:color w:val="231F20"/>
          <w:spacing w:val="-2"/>
        </w:rPr>
        <w:t> </w:t>
      </w:r>
      <w:r>
        <w:rPr>
          <w:color w:val="231F20"/>
        </w:rPr>
        <w:t>«useful</w:t>
      </w:r>
      <w:r>
        <w:rPr>
          <w:color w:val="231F20"/>
          <w:spacing w:val="-2"/>
        </w:rPr>
        <w:t> </w:t>
      </w:r>
      <w:r>
        <w:rPr>
          <w:color w:val="231F20"/>
        </w:rPr>
        <w:t>effect»</w:t>
      </w:r>
      <w:r>
        <w:rPr>
          <w:color w:val="231F20"/>
          <w:spacing w:val="-2"/>
        </w:rPr>
        <w:t> </w:t>
      </w:r>
      <w:r>
        <w:rPr>
          <w:color w:val="231F20"/>
        </w:rPr>
        <w:t>(«effet</w:t>
      </w:r>
      <w:r>
        <w:rPr>
          <w:color w:val="231F20"/>
          <w:spacing w:val="-2"/>
        </w:rPr>
        <w:t> </w:t>
      </w:r>
      <w:r>
        <w:rPr>
          <w:color w:val="231F20"/>
        </w:rPr>
        <w:t>utile» in French) of the directive as a whole</w:t>
      </w:r>
      <w:r>
        <w:rPr>
          <w:color w:val="231F20"/>
          <w:position w:val="8"/>
          <w:sz w:val="14"/>
        </w:rPr>
        <w:t>14</w:t>
      </w:r>
      <w:r>
        <w:rPr>
          <w:color w:val="231F20"/>
        </w:rPr>
        <w:t>. In this case, the issue specifically arose concerning national rules on sanctions, but clearly, as will be seen later, the general principle stated by the Court as regards the applicability of the Charter applies to all procedures of cooperation between Member States tax administrations governed by Union directives or regulations.</w:t>
      </w:r>
    </w:p>
    <w:p>
      <w:pPr>
        <w:pStyle w:val="BodyText"/>
        <w:spacing w:before="157"/>
      </w:pPr>
    </w:p>
    <w:p>
      <w:pPr>
        <w:pStyle w:val="ListParagraph"/>
        <w:numPr>
          <w:ilvl w:val="1"/>
          <w:numId w:val="1"/>
        </w:numPr>
        <w:tabs>
          <w:tab w:pos="526" w:val="left" w:leader="none"/>
        </w:tabs>
        <w:spacing w:line="244" w:lineRule="auto" w:before="1" w:after="0"/>
        <w:ind w:left="100" w:right="567" w:firstLine="0"/>
        <w:jc w:val="left"/>
        <w:rPr>
          <w:b/>
          <w:sz w:val="24"/>
        </w:rPr>
      </w:pPr>
      <w:r>
        <w:rPr>
          <w:b/>
          <w:color w:val="231F20"/>
          <w:sz w:val="24"/>
        </w:rPr>
        <w:t>Right</w:t>
      </w:r>
      <w:r>
        <w:rPr>
          <w:b/>
          <w:color w:val="231F20"/>
          <w:spacing w:val="-5"/>
          <w:sz w:val="24"/>
        </w:rPr>
        <w:t> </w:t>
      </w:r>
      <w:r>
        <w:rPr>
          <w:b/>
          <w:color w:val="231F20"/>
          <w:sz w:val="24"/>
        </w:rPr>
        <w:t>of</w:t>
      </w:r>
      <w:r>
        <w:rPr>
          <w:b/>
          <w:color w:val="231F20"/>
          <w:spacing w:val="-5"/>
          <w:sz w:val="24"/>
        </w:rPr>
        <w:t> </w:t>
      </w:r>
      <w:r>
        <w:rPr>
          <w:b/>
          <w:color w:val="231F20"/>
          <w:sz w:val="24"/>
        </w:rPr>
        <w:t>the</w:t>
      </w:r>
      <w:r>
        <w:rPr>
          <w:b/>
          <w:color w:val="231F20"/>
          <w:spacing w:val="-5"/>
          <w:sz w:val="24"/>
        </w:rPr>
        <w:t> </w:t>
      </w:r>
      <w:r>
        <w:rPr>
          <w:b/>
          <w:color w:val="231F20"/>
          <w:sz w:val="24"/>
        </w:rPr>
        <w:t>Holder</w:t>
      </w:r>
      <w:r>
        <w:rPr>
          <w:b/>
          <w:color w:val="231F20"/>
          <w:spacing w:val="-5"/>
          <w:sz w:val="24"/>
        </w:rPr>
        <w:t> </w:t>
      </w:r>
      <w:r>
        <w:rPr>
          <w:b/>
          <w:color w:val="231F20"/>
          <w:sz w:val="24"/>
        </w:rPr>
        <w:t>of</w:t>
      </w:r>
      <w:r>
        <w:rPr>
          <w:b/>
          <w:color w:val="231F20"/>
          <w:spacing w:val="-5"/>
          <w:sz w:val="24"/>
        </w:rPr>
        <w:t> </w:t>
      </w:r>
      <w:r>
        <w:rPr>
          <w:b/>
          <w:color w:val="231F20"/>
          <w:sz w:val="24"/>
        </w:rPr>
        <w:t>Information</w:t>
      </w:r>
      <w:r>
        <w:rPr>
          <w:b/>
          <w:color w:val="231F20"/>
          <w:spacing w:val="-5"/>
          <w:sz w:val="24"/>
        </w:rPr>
        <w:t> </w:t>
      </w:r>
      <w:r>
        <w:rPr>
          <w:b/>
          <w:color w:val="231F20"/>
          <w:sz w:val="24"/>
        </w:rPr>
        <w:t>to</w:t>
      </w:r>
      <w:r>
        <w:rPr>
          <w:b/>
          <w:color w:val="231F20"/>
          <w:spacing w:val="-5"/>
          <w:sz w:val="24"/>
        </w:rPr>
        <w:t> </w:t>
      </w:r>
      <w:r>
        <w:rPr>
          <w:b/>
          <w:color w:val="231F20"/>
          <w:sz w:val="24"/>
        </w:rPr>
        <w:t>Challenge</w:t>
      </w:r>
      <w:r>
        <w:rPr>
          <w:b/>
          <w:color w:val="231F20"/>
          <w:spacing w:val="-5"/>
          <w:sz w:val="24"/>
        </w:rPr>
        <w:t> </w:t>
      </w:r>
      <w:r>
        <w:rPr>
          <w:b/>
          <w:color w:val="231F20"/>
          <w:sz w:val="24"/>
        </w:rPr>
        <w:t>the</w:t>
      </w:r>
      <w:r>
        <w:rPr>
          <w:b/>
          <w:color w:val="231F20"/>
          <w:spacing w:val="-5"/>
          <w:sz w:val="24"/>
        </w:rPr>
        <w:t> </w:t>
      </w:r>
      <w:r>
        <w:rPr>
          <w:b/>
          <w:color w:val="231F20"/>
          <w:sz w:val="24"/>
        </w:rPr>
        <w:t>Injunction Decision of the requested Tax Authority</w:t>
      </w:r>
    </w:p>
    <w:p>
      <w:pPr>
        <w:pStyle w:val="BodyText"/>
        <w:spacing w:line="225" w:lineRule="auto" w:before="263"/>
        <w:ind w:left="100" w:right="174"/>
        <w:jc w:val="both"/>
      </w:pPr>
      <w:r>
        <w:rPr>
          <w:color w:val="231F20"/>
        </w:rPr>
        <w:t>On the basis of this general principle the Union judges declared that the judicial protection guaranteed by Article 47 of the Charter could be in- voked</w:t>
      </w:r>
      <w:r>
        <w:rPr>
          <w:color w:val="231F20"/>
          <w:spacing w:val="-5"/>
        </w:rPr>
        <w:t> </w:t>
      </w:r>
      <w:r>
        <w:rPr>
          <w:color w:val="231F20"/>
        </w:rPr>
        <w:t>by</w:t>
      </w:r>
      <w:r>
        <w:rPr>
          <w:color w:val="231F20"/>
          <w:spacing w:val="-5"/>
        </w:rPr>
        <w:t> </w:t>
      </w:r>
      <w:r>
        <w:rPr>
          <w:color w:val="231F20"/>
        </w:rPr>
        <w:t>the</w:t>
      </w:r>
      <w:r>
        <w:rPr>
          <w:color w:val="231F20"/>
          <w:spacing w:val="-5"/>
        </w:rPr>
        <w:t> </w:t>
      </w:r>
      <w:r>
        <w:rPr>
          <w:color w:val="231F20"/>
        </w:rPr>
        <w:t>company</w:t>
      </w:r>
      <w:r>
        <w:rPr>
          <w:color w:val="231F20"/>
          <w:spacing w:val="-5"/>
        </w:rPr>
        <w:t> </w:t>
      </w:r>
      <w:r>
        <w:rPr>
          <w:color w:val="231F20"/>
        </w:rPr>
        <w:t>holding</w:t>
      </w:r>
      <w:r>
        <w:rPr>
          <w:color w:val="231F20"/>
          <w:spacing w:val="-5"/>
        </w:rPr>
        <w:t> </w:t>
      </w:r>
      <w:r>
        <w:rPr>
          <w:color w:val="231F20"/>
        </w:rPr>
        <w:t>the</w:t>
      </w:r>
      <w:r>
        <w:rPr>
          <w:color w:val="231F20"/>
          <w:spacing w:val="-5"/>
        </w:rPr>
        <w:t> </w:t>
      </w:r>
      <w:r>
        <w:rPr>
          <w:color w:val="231F20"/>
        </w:rPr>
        <w:t>information,</w:t>
      </w:r>
      <w:r>
        <w:rPr>
          <w:color w:val="231F20"/>
          <w:spacing w:val="-5"/>
        </w:rPr>
        <w:t> </w:t>
      </w:r>
      <w:r>
        <w:rPr>
          <w:color w:val="231F20"/>
        </w:rPr>
        <w:t>not</w:t>
      </w:r>
      <w:r>
        <w:rPr>
          <w:color w:val="231F20"/>
          <w:spacing w:val="-5"/>
        </w:rPr>
        <w:t> </w:t>
      </w:r>
      <w:r>
        <w:rPr>
          <w:color w:val="231F20"/>
        </w:rPr>
        <w:t>only</w:t>
      </w:r>
      <w:r>
        <w:rPr>
          <w:color w:val="231F20"/>
          <w:spacing w:val="-5"/>
        </w:rPr>
        <w:t> </w:t>
      </w:r>
      <w:r>
        <w:rPr>
          <w:color w:val="231F20"/>
        </w:rPr>
        <w:t>against</w:t>
      </w:r>
      <w:r>
        <w:rPr>
          <w:color w:val="231F20"/>
          <w:spacing w:val="-5"/>
        </w:rPr>
        <w:t> </w:t>
      </w:r>
      <w:r>
        <w:rPr>
          <w:color w:val="231F20"/>
        </w:rPr>
        <w:t>the</w:t>
      </w:r>
      <w:r>
        <w:rPr>
          <w:color w:val="231F20"/>
          <w:spacing w:val="-5"/>
        </w:rPr>
        <w:t> </w:t>
      </w:r>
      <w:r>
        <w:rPr>
          <w:color w:val="231F20"/>
        </w:rPr>
        <w:t>deci- sion</w:t>
      </w:r>
      <w:r>
        <w:rPr>
          <w:color w:val="231F20"/>
          <w:spacing w:val="-7"/>
        </w:rPr>
        <w:t> </w:t>
      </w:r>
      <w:r>
        <w:rPr>
          <w:color w:val="231F20"/>
        </w:rPr>
        <w:t>by</w:t>
      </w:r>
      <w:r>
        <w:rPr>
          <w:color w:val="231F20"/>
          <w:spacing w:val="-7"/>
        </w:rPr>
        <w:t> </w:t>
      </w:r>
      <w:r>
        <w:rPr>
          <w:color w:val="231F20"/>
        </w:rPr>
        <w:t>which</w:t>
      </w:r>
      <w:r>
        <w:rPr>
          <w:color w:val="231F20"/>
          <w:spacing w:val="-7"/>
        </w:rPr>
        <w:t> </w:t>
      </w:r>
      <w:r>
        <w:rPr>
          <w:color w:val="231F20"/>
        </w:rPr>
        <w:t>the</w:t>
      </w:r>
      <w:r>
        <w:rPr>
          <w:color w:val="231F20"/>
          <w:spacing w:val="-7"/>
        </w:rPr>
        <w:t> </w:t>
      </w:r>
      <w:r>
        <w:rPr>
          <w:color w:val="231F20"/>
        </w:rPr>
        <w:t>Luxembourg</w:t>
      </w:r>
      <w:r>
        <w:rPr>
          <w:color w:val="231F20"/>
          <w:spacing w:val="-7"/>
        </w:rPr>
        <w:t> </w:t>
      </w:r>
      <w:r>
        <w:rPr>
          <w:color w:val="231F20"/>
        </w:rPr>
        <w:t>tax</w:t>
      </w:r>
      <w:r>
        <w:rPr>
          <w:color w:val="231F20"/>
          <w:spacing w:val="-7"/>
        </w:rPr>
        <w:t> </w:t>
      </w:r>
      <w:r>
        <w:rPr>
          <w:color w:val="231F20"/>
        </w:rPr>
        <w:t>administration</w:t>
      </w:r>
      <w:r>
        <w:rPr>
          <w:color w:val="231F20"/>
          <w:spacing w:val="-7"/>
        </w:rPr>
        <w:t> </w:t>
      </w:r>
      <w:r>
        <w:rPr>
          <w:color w:val="231F20"/>
        </w:rPr>
        <w:t>had</w:t>
      </w:r>
      <w:r>
        <w:rPr>
          <w:color w:val="231F20"/>
          <w:spacing w:val="-7"/>
        </w:rPr>
        <w:t> </w:t>
      </w:r>
      <w:r>
        <w:rPr>
          <w:color w:val="231F20"/>
        </w:rPr>
        <w:t>imposed</w:t>
      </w:r>
      <w:r>
        <w:rPr>
          <w:color w:val="231F20"/>
          <w:spacing w:val="-7"/>
        </w:rPr>
        <w:t> </w:t>
      </w:r>
      <w:r>
        <w:rPr>
          <w:color w:val="231F20"/>
        </w:rPr>
        <w:t>a</w:t>
      </w:r>
      <w:r>
        <w:rPr>
          <w:color w:val="231F20"/>
          <w:spacing w:val="-7"/>
        </w:rPr>
        <w:t> </w:t>
      </w:r>
      <w:r>
        <w:rPr>
          <w:color w:val="231F20"/>
        </w:rPr>
        <w:t>sanction for refusing to provide some of the requested information but also against the</w:t>
      </w:r>
      <w:r>
        <w:rPr>
          <w:color w:val="231F20"/>
          <w:spacing w:val="-1"/>
        </w:rPr>
        <w:t> </w:t>
      </w:r>
      <w:r>
        <w:rPr>
          <w:color w:val="231F20"/>
        </w:rPr>
        <w:t>administrative</w:t>
      </w:r>
      <w:r>
        <w:rPr>
          <w:color w:val="231F20"/>
          <w:spacing w:val="-1"/>
        </w:rPr>
        <w:t> </w:t>
      </w:r>
      <w:r>
        <w:rPr>
          <w:color w:val="231F20"/>
        </w:rPr>
        <w:t>act</w:t>
      </w:r>
      <w:r>
        <w:rPr>
          <w:color w:val="231F20"/>
          <w:spacing w:val="-1"/>
        </w:rPr>
        <w:t> </w:t>
      </w:r>
      <w:r>
        <w:rPr>
          <w:color w:val="231F20"/>
        </w:rPr>
        <w:t>of</w:t>
      </w:r>
      <w:r>
        <w:rPr>
          <w:color w:val="231F20"/>
          <w:spacing w:val="-1"/>
        </w:rPr>
        <w:t> </w:t>
      </w:r>
      <w:r>
        <w:rPr>
          <w:color w:val="231F20"/>
        </w:rPr>
        <w:t>request</w:t>
      </w:r>
      <w:r>
        <w:rPr>
          <w:color w:val="231F20"/>
          <w:spacing w:val="-1"/>
        </w:rPr>
        <w:t> </w:t>
      </w:r>
      <w:r>
        <w:rPr>
          <w:color w:val="231F20"/>
        </w:rPr>
        <w:t>for</w:t>
      </w:r>
      <w:r>
        <w:rPr>
          <w:color w:val="231F20"/>
          <w:spacing w:val="-1"/>
        </w:rPr>
        <w:t> </w:t>
      </w:r>
      <w:r>
        <w:rPr>
          <w:color w:val="231F20"/>
        </w:rPr>
        <w:t>information</w:t>
      </w:r>
      <w:r>
        <w:rPr>
          <w:color w:val="231F20"/>
          <w:spacing w:val="-1"/>
        </w:rPr>
        <w:t> </w:t>
      </w:r>
      <w:r>
        <w:rPr>
          <w:color w:val="231F20"/>
        </w:rPr>
        <w:t>notified</w:t>
      </w:r>
      <w:r>
        <w:rPr>
          <w:color w:val="231F20"/>
          <w:spacing w:val="-1"/>
        </w:rPr>
        <w:t> </w:t>
      </w:r>
      <w:r>
        <w:rPr>
          <w:color w:val="231F20"/>
        </w:rPr>
        <w:t>by</w:t>
      </w:r>
      <w:r>
        <w:rPr>
          <w:color w:val="231F20"/>
          <w:spacing w:val="-1"/>
        </w:rPr>
        <w:t> </w:t>
      </w:r>
      <w:r>
        <w:rPr>
          <w:color w:val="231F20"/>
        </w:rPr>
        <w:t>the</w:t>
      </w:r>
      <w:r>
        <w:rPr>
          <w:color w:val="231F20"/>
          <w:spacing w:val="-1"/>
        </w:rPr>
        <w:t> </w:t>
      </w:r>
      <w:r>
        <w:rPr>
          <w:color w:val="231F20"/>
        </w:rPr>
        <w:t>requested authority pursuant articles 5 and 18 of Directive 2011/16/EU</w:t>
      </w:r>
      <w:r>
        <w:rPr>
          <w:color w:val="231F20"/>
          <w:position w:val="8"/>
          <w:sz w:val="14"/>
        </w:rPr>
        <w:t>15</w:t>
      </w:r>
      <w:r>
        <w:rPr>
          <w:color w:val="231F20"/>
        </w:rPr>
        <w:t>. </w:t>
      </w:r>
      <w:r>
        <w:rPr>
          <w:color w:val="231F20"/>
        </w:rPr>
        <w:t>Conse- quently,</w:t>
      </w:r>
      <w:r>
        <w:rPr>
          <w:color w:val="231F20"/>
          <w:spacing w:val="-6"/>
        </w:rPr>
        <w:t> </w:t>
      </w:r>
      <w:r>
        <w:rPr>
          <w:color w:val="231F20"/>
        </w:rPr>
        <w:t>a</w:t>
      </w:r>
      <w:r>
        <w:rPr>
          <w:color w:val="231F20"/>
          <w:spacing w:val="-6"/>
        </w:rPr>
        <w:t> </w:t>
      </w:r>
      <w:r>
        <w:rPr>
          <w:color w:val="231F20"/>
        </w:rPr>
        <w:t>Member</w:t>
      </w:r>
      <w:r>
        <w:rPr>
          <w:color w:val="231F20"/>
          <w:spacing w:val="-6"/>
        </w:rPr>
        <w:t> </w:t>
      </w:r>
      <w:r>
        <w:rPr>
          <w:color w:val="231F20"/>
        </w:rPr>
        <w:t>State</w:t>
      </w:r>
      <w:r>
        <w:rPr>
          <w:color w:val="231F20"/>
          <w:spacing w:val="-6"/>
        </w:rPr>
        <w:t> </w:t>
      </w:r>
      <w:r>
        <w:rPr>
          <w:color w:val="231F20"/>
        </w:rPr>
        <w:t>law</w:t>
      </w:r>
      <w:r>
        <w:rPr>
          <w:color w:val="231F20"/>
          <w:spacing w:val="-6"/>
        </w:rPr>
        <w:t> </w:t>
      </w:r>
      <w:r>
        <w:rPr>
          <w:color w:val="231F20"/>
        </w:rPr>
        <w:t>that</w:t>
      </w:r>
      <w:r>
        <w:rPr>
          <w:color w:val="231F20"/>
          <w:spacing w:val="-6"/>
        </w:rPr>
        <w:t> </w:t>
      </w:r>
      <w:r>
        <w:rPr>
          <w:color w:val="231F20"/>
        </w:rPr>
        <w:t>excluded</w:t>
      </w:r>
      <w:r>
        <w:rPr>
          <w:color w:val="231F20"/>
          <w:spacing w:val="-6"/>
        </w:rPr>
        <w:t> </w:t>
      </w:r>
      <w:r>
        <w:rPr>
          <w:color w:val="231F20"/>
        </w:rPr>
        <w:t>any</w:t>
      </w:r>
      <w:r>
        <w:rPr>
          <w:color w:val="231F20"/>
          <w:spacing w:val="-6"/>
        </w:rPr>
        <w:t> </w:t>
      </w:r>
      <w:r>
        <w:rPr>
          <w:color w:val="231F20"/>
        </w:rPr>
        <w:t>possibility</w:t>
      </w:r>
      <w:r>
        <w:rPr>
          <w:color w:val="231F20"/>
          <w:spacing w:val="-6"/>
        </w:rPr>
        <w:t> </w:t>
      </w:r>
      <w:r>
        <w:rPr>
          <w:color w:val="231F20"/>
        </w:rPr>
        <w:t>of</w:t>
      </w:r>
      <w:r>
        <w:rPr>
          <w:color w:val="231F20"/>
          <w:spacing w:val="-6"/>
        </w:rPr>
        <w:t> </w:t>
      </w:r>
      <w:r>
        <w:rPr>
          <w:color w:val="231F20"/>
        </w:rPr>
        <w:t>appeal</w:t>
      </w:r>
      <w:r>
        <w:rPr>
          <w:color w:val="231F20"/>
          <w:spacing w:val="-6"/>
        </w:rPr>
        <w:t> </w:t>
      </w:r>
      <w:r>
        <w:rPr>
          <w:color w:val="231F20"/>
        </w:rPr>
        <w:t>by</w:t>
      </w:r>
      <w:r>
        <w:rPr>
          <w:color w:val="231F20"/>
          <w:spacing w:val="-6"/>
        </w:rPr>
        <w:t> </w:t>
      </w:r>
      <w:r>
        <w:rPr>
          <w:color w:val="231F20"/>
        </w:rPr>
        <w:t>the holder</w:t>
      </w:r>
      <w:r>
        <w:rPr>
          <w:color w:val="231F20"/>
          <w:spacing w:val="5"/>
        </w:rPr>
        <w:t> </w:t>
      </w:r>
      <w:r>
        <w:rPr>
          <w:color w:val="231F20"/>
        </w:rPr>
        <w:t>of</w:t>
      </w:r>
      <w:r>
        <w:rPr>
          <w:color w:val="231F20"/>
          <w:spacing w:val="5"/>
        </w:rPr>
        <w:t> </w:t>
      </w:r>
      <w:r>
        <w:rPr>
          <w:color w:val="231F20"/>
        </w:rPr>
        <w:t>the</w:t>
      </w:r>
      <w:r>
        <w:rPr>
          <w:color w:val="231F20"/>
          <w:spacing w:val="5"/>
        </w:rPr>
        <w:t> </w:t>
      </w:r>
      <w:r>
        <w:rPr>
          <w:color w:val="231F20"/>
        </w:rPr>
        <w:t>information</w:t>
      </w:r>
      <w:r>
        <w:rPr>
          <w:color w:val="231F20"/>
          <w:spacing w:val="5"/>
        </w:rPr>
        <w:t> </w:t>
      </w:r>
      <w:r>
        <w:rPr>
          <w:color w:val="231F20"/>
        </w:rPr>
        <w:t>against</w:t>
      </w:r>
      <w:r>
        <w:rPr>
          <w:color w:val="231F20"/>
          <w:spacing w:val="5"/>
        </w:rPr>
        <w:t> </w:t>
      </w:r>
      <w:r>
        <w:rPr>
          <w:color w:val="231F20"/>
        </w:rPr>
        <w:t>the</w:t>
      </w:r>
      <w:r>
        <w:rPr>
          <w:color w:val="231F20"/>
          <w:spacing w:val="5"/>
        </w:rPr>
        <w:t> </w:t>
      </w:r>
      <w:r>
        <w:rPr>
          <w:color w:val="231F20"/>
        </w:rPr>
        <w:t>injunction</w:t>
      </w:r>
      <w:r>
        <w:rPr>
          <w:color w:val="231F20"/>
          <w:spacing w:val="5"/>
        </w:rPr>
        <w:t> </w:t>
      </w:r>
      <w:r>
        <w:rPr>
          <w:color w:val="231F20"/>
        </w:rPr>
        <w:t>decision</w:t>
      </w:r>
      <w:r>
        <w:rPr>
          <w:color w:val="231F20"/>
          <w:spacing w:val="5"/>
        </w:rPr>
        <w:t> </w:t>
      </w:r>
      <w:r>
        <w:rPr>
          <w:color w:val="231F20"/>
        </w:rPr>
        <w:t>of</w:t>
      </w:r>
      <w:r>
        <w:rPr>
          <w:color w:val="231F20"/>
          <w:spacing w:val="5"/>
        </w:rPr>
        <w:t> </w:t>
      </w:r>
      <w:r>
        <w:rPr>
          <w:color w:val="231F20"/>
        </w:rPr>
        <w:t>the</w:t>
      </w:r>
      <w:r>
        <w:rPr>
          <w:color w:val="231F20"/>
          <w:spacing w:val="5"/>
        </w:rPr>
        <w:t> </w:t>
      </w:r>
      <w:r>
        <w:rPr>
          <w:color w:val="231F20"/>
          <w:spacing w:val="-2"/>
        </w:rPr>
        <w:t>requested</w:t>
      </w:r>
    </w:p>
    <w:p>
      <w:pPr>
        <w:pStyle w:val="BodyText"/>
        <w:spacing w:before="12"/>
        <w:rPr>
          <w:sz w:val="6"/>
        </w:rPr>
      </w:pPr>
      <w:r>
        <w:rPr/>
        <mc:AlternateContent>
          <mc:Choice Requires="wps">
            <w:drawing>
              <wp:anchor distT="0" distB="0" distL="0" distR="0" allowOverlap="1" layoutInCell="1" locked="0" behindDoc="1" simplePos="0" relativeHeight="487592960">
                <wp:simplePos x="0" y="0"/>
                <wp:positionH relativeFrom="page">
                  <wp:posOffset>864000</wp:posOffset>
                </wp:positionH>
                <wp:positionV relativeFrom="paragraph">
                  <wp:posOffset>71535</wp:posOffset>
                </wp:positionV>
                <wp:extent cx="792480" cy="1270"/>
                <wp:effectExtent l="0" t="0" r="0" b="0"/>
                <wp:wrapTopAndBottom/>
                <wp:docPr id="29" name="Graphic 29"/>
                <wp:cNvGraphicFramePr>
                  <a:graphicFrameLocks/>
                </wp:cNvGraphicFramePr>
                <a:graphic>
                  <a:graphicData uri="http://schemas.microsoft.com/office/word/2010/wordprocessingShape">
                    <wps:wsp>
                      <wps:cNvPr id="29" name="Graphic 29"/>
                      <wps:cNvSpPr/>
                      <wps:spPr>
                        <a:xfrm>
                          <a:off x="0" y="0"/>
                          <a:ext cx="792480" cy="1270"/>
                        </a:xfrm>
                        <a:custGeom>
                          <a:avLst/>
                          <a:gdLst/>
                          <a:ahLst/>
                          <a:cxnLst/>
                          <a:rect l="l" t="t" r="r" b="b"/>
                          <a:pathLst>
                            <a:path w="792480" h="0">
                              <a:moveTo>
                                <a:pt x="0" y="0"/>
                              </a:moveTo>
                              <a:lnTo>
                                <a:pt x="791997"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shape style="position:absolute;margin-left:68.031502pt;margin-top:5.63274pt;width:62.4pt;height:.1pt;mso-position-horizontal-relative:page;mso-position-vertical-relative:paragraph;z-index:-15723520;mso-wrap-distance-left:0;mso-wrap-distance-right:0" id="docshape24" coordorigin="1361,113" coordsize="1248,0" path="m1361,113l2608,113e" filled="false" stroked="true" strokeweight=".5pt" strokecolor="#231f20">
                <v:path arrowok="t"/>
                <v:stroke dashstyle="solid"/>
                <w10:wrap type="topAndBottom"/>
              </v:shape>
            </w:pict>
          </mc:Fallback>
        </mc:AlternateContent>
      </w:r>
    </w:p>
    <w:p>
      <w:pPr>
        <w:spacing w:line="225" w:lineRule="auto" w:before="201"/>
        <w:ind w:left="100" w:right="174" w:firstLine="0"/>
        <w:jc w:val="both"/>
        <w:rPr>
          <w:sz w:val="19"/>
        </w:rPr>
      </w:pPr>
      <w:r>
        <w:rPr>
          <w:i/>
          <w:color w:val="231F20"/>
          <w:sz w:val="19"/>
        </w:rPr>
        <w:t>della</w:t>
      </w:r>
      <w:r>
        <w:rPr>
          <w:i/>
          <w:color w:val="231F20"/>
          <w:spacing w:val="-4"/>
          <w:sz w:val="19"/>
        </w:rPr>
        <w:t> </w:t>
      </w:r>
      <w:r>
        <w:rPr>
          <w:i/>
          <w:color w:val="231F20"/>
          <w:sz w:val="19"/>
        </w:rPr>
        <w:t>tutela</w:t>
      </w:r>
      <w:r>
        <w:rPr>
          <w:i/>
          <w:color w:val="231F20"/>
          <w:spacing w:val="-5"/>
          <w:sz w:val="19"/>
        </w:rPr>
        <w:t> </w:t>
      </w:r>
      <w:r>
        <w:rPr>
          <w:i/>
          <w:color w:val="231F20"/>
          <w:sz w:val="19"/>
        </w:rPr>
        <w:t>giurisdizionale</w:t>
      </w:r>
      <w:r>
        <w:rPr>
          <w:i/>
          <w:color w:val="231F20"/>
          <w:spacing w:val="-4"/>
          <w:sz w:val="19"/>
        </w:rPr>
        <w:t> </w:t>
      </w:r>
      <w:r>
        <w:rPr>
          <w:i/>
          <w:color w:val="231F20"/>
          <w:sz w:val="19"/>
        </w:rPr>
        <w:t>nella</w:t>
      </w:r>
      <w:r>
        <w:rPr>
          <w:i/>
          <w:color w:val="231F20"/>
          <w:spacing w:val="-5"/>
          <w:sz w:val="19"/>
        </w:rPr>
        <w:t> </w:t>
      </w:r>
      <w:r>
        <w:rPr>
          <w:i/>
          <w:color w:val="231F20"/>
          <w:sz w:val="19"/>
        </w:rPr>
        <w:t>Carta</w:t>
      </w:r>
      <w:r>
        <w:rPr>
          <w:i/>
          <w:color w:val="231F20"/>
          <w:spacing w:val="-4"/>
          <w:sz w:val="19"/>
        </w:rPr>
        <w:t> </w:t>
      </w:r>
      <w:r>
        <w:rPr>
          <w:i/>
          <w:color w:val="231F20"/>
          <w:sz w:val="19"/>
        </w:rPr>
        <w:t>dei</w:t>
      </w:r>
      <w:r>
        <w:rPr>
          <w:i/>
          <w:color w:val="231F20"/>
          <w:spacing w:val="-5"/>
          <w:sz w:val="19"/>
        </w:rPr>
        <w:t> </w:t>
      </w:r>
      <w:r>
        <w:rPr>
          <w:i/>
          <w:color w:val="231F20"/>
          <w:sz w:val="19"/>
        </w:rPr>
        <w:t>diritti</w:t>
      </w:r>
      <w:r>
        <w:rPr>
          <w:i/>
          <w:color w:val="231F20"/>
          <w:spacing w:val="-4"/>
          <w:sz w:val="19"/>
        </w:rPr>
        <w:t> </w:t>
      </w:r>
      <w:r>
        <w:rPr>
          <w:i/>
          <w:color w:val="231F20"/>
          <w:sz w:val="19"/>
        </w:rPr>
        <w:t>fondamentali,</w:t>
      </w:r>
      <w:r>
        <w:rPr>
          <w:i/>
          <w:color w:val="231F20"/>
          <w:spacing w:val="39"/>
          <w:sz w:val="19"/>
        </w:rPr>
        <w:t> </w:t>
      </w:r>
      <w:r>
        <w:rPr>
          <w:color w:val="231F20"/>
          <w:sz w:val="19"/>
        </w:rPr>
        <w:t>in</w:t>
      </w:r>
      <w:r>
        <w:rPr>
          <w:color w:val="231F20"/>
          <w:spacing w:val="-4"/>
          <w:sz w:val="19"/>
        </w:rPr>
        <w:t> </w:t>
      </w:r>
      <w:r>
        <w:rPr>
          <w:i/>
          <w:color w:val="231F20"/>
          <w:sz w:val="19"/>
        </w:rPr>
        <w:t>Federalismi.it</w:t>
      </w:r>
      <w:r>
        <w:rPr>
          <w:color w:val="231F20"/>
          <w:sz w:val="19"/>
        </w:rPr>
        <w:t>,</w:t>
      </w:r>
      <w:r>
        <w:rPr>
          <w:color w:val="231F20"/>
          <w:spacing w:val="-5"/>
          <w:sz w:val="19"/>
        </w:rPr>
        <w:t> </w:t>
      </w:r>
      <w:r>
        <w:rPr>
          <w:color w:val="231F20"/>
          <w:sz w:val="19"/>
        </w:rPr>
        <w:t>n.</w:t>
      </w:r>
      <w:r>
        <w:rPr>
          <w:color w:val="231F20"/>
          <w:spacing w:val="-4"/>
          <w:sz w:val="19"/>
        </w:rPr>
        <w:t> </w:t>
      </w:r>
      <w:r>
        <w:rPr>
          <w:color w:val="231F20"/>
          <w:sz w:val="19"/>
        </w:rPr>
        <w:t>5/2018.</w:t>
      </w:r>
      <w:r>
        <w:rPr>
          <w:color w:val="231F20"/>
          <w:spacing w:val="-5"/>
          <w:sz w:val="19"/>
        </w:rPr>
        <w:t> </w:t>
      </w:r>
      <w:r>
        <w:rPr>
          <w:color w:val="231F20"/>
          <w:sz w:val="19"/>
        </w:rPr>
        <w:t>See also the monumental </w:t>
      </w:r>
      <w:r>
        <w:rPr>
          <w:i/>
          <w:color w:val="231F20"/>
          <w:sz w:val="19"/>
        </w:rPr>
        <w:t>Commentary of the EU Treaties</w:t>
      </w:r>
      <w:r>
        <w:rPr>
          <w:color w:val="231F20"/>
          <w:sz w:val="19"/>
        </w:rPr>
        <w:t>, by M. Kellerbauer, M. Klamer and J. Tomkin</w:t>
      </w:r>
      <w:r>
        <w:rPr>
          <w:color w:val="231F20"/>
          <w:spacing w:val="-3"/>
          <w:sz w:val="19"/>
        </w:rPr>
        <w:t> </w:t>
      </w:r>
      <w:r>
        <w:rPr>
          <w:color w:val="231F20"/>
          <w:sz w:val="19"/>
        </w:rPr>
        <w:t>(editors),</w:t>
      </w:r>
      <w:r>
        <w:rPr>
          <w:color w:val="231F20"/>
          <w:spacing w:val="-3"/>
          <w:sz w:val="19"/>
        </w:rPr>
        <w:t> </w:t>
      </w:r>
      <w:r>
        <w:rPr>
          <w:color w:val="231F20"/>
          <w:sz w:val="19"/>
        </w:rPr>
        <w:t>Oxford,</w:t>
      </w:r>
      <w:r>
        <w:rPr>
          <w:color w:val="231F20"/>
          <w:spacing w:val="-3"/>
          <w:sz w:val="19"/>
        </w:rPr>
        <w:t> </w:t>
      </w:r>
      <w:r>
        <w:rPr>
          <w:color w:val="231F20"/>
          <w:sz w:val="19"/>
        </w:rPr>
        <w:t>2024</w:t>
      </w:r>
      <w:r>
        <w:rPr>
          <w:color w:val="231F20"/>
          <w:spacing w:val="-3"/>
          <w:sz w:val="19"/>
        </w:rPr>
        <w:t> </w:t>
      </w:r>
      <w:r>
        <w:rPr>
          <w:color w:val="231F20"/>
          <w:sz w:val="19"/>
        </w:rPr>
        <w:t>(second</w:t>
      </w:r>
      <w:r>
        <w:rPr>
          <w:color w:val="231F20"/>
          <w:spacing w:val="-3"/>
          <w:sz w:val="19"/>
        </w:rPr>
        <w:t> </w:t>
      </w:r>
      <w:r>
        <w:rPr>
          <w:color w:val="231F20"/>
          <w:sz w:val="19"/>
        </w:rPr>
        <w:t>edition).</w:t>
      </w:r>
      <w:r>
        <w:rPr>
          <w:color w:val="231F20"/>
          <w:spacing w:val="-3"/>
          <w:sz w:val="19"/>
        </w:rPr>
        <w:t> </w:t>
      </w:r>
      <w:r>
        <w:rPr>
          <w:color w:val="231F20"/>
          <w:sz w:val="19"/>
        </w:rPr>
        <w:t>The</w:t>
      </w:r>
      <w:r>
        <w:rPr>
          <w:color w:val="231F20"/>
          <w:spacing w:val="-3"/>
          <w:sz w:val="19"/>
        </w:rPr>
        <w:t> </w:t>
      </w:r>
      <w:r>
        <w:rPr>
          <w:color w:val="231F20"/>
          <w:sz w:val="19"/>
        </w:rPr>
        <w:t>comment</w:t>
      </w:r>
      <w:r>
        <w:rPr>
          <w:color w:val="231F20"/>
          <w:spacing w:val="-3"/>
          <w:sz w:val="19"/>
        </w:rPr>
        <w:t> </w:t>
      </w:r>
      <w:r>
        <w:rPr>
          <w:color w:val="231F20"/>
          <w:sz w:val="19"/>
        </w:rPr>
        <w:t>to</w:t>
      </w:r>
      <w:r>
        <w:rPr>
          <w:color w:val="231F20"/>
          <w:spacing w:val="-3"/>
          <w:sz w:val="19"/>
        </w:rPr>
        <w:t> </w:t>
      </w:r>
      <w:r>
        <w:rPr>
          <w:color w:val="231F20"/>
          <w:sz w:val="19"/>
        </w:rPr>
        <w:t>art.</w:t>
      </w:r>
      <w:r>
        <w:rPr>
          <w:color w:val="231F20"/>
          <w:spacing w:val="-3"/>
          <w:sz w:val="19"/>
        </w:rPr>
        <w:t> </w:t>
      </w:r>
      <w:r>
        <w:rPr>
          <w:color w:val="231F20"/>
          <w:sz w:val="19"/>
        </w:rPr>
        <w:t>47</w:t>
      </w:r>
      <w:r>
        <w:rPr>
          <w:color w:val="231F20"/>
          <w:spacing w:val="-3"/>
          <w:sz w:val="19"/>
        </w:rPr>
        <w:t> </w:t>
      </w:r>
      <w:r>
        <w:rPr>
          <w:color w:val="231F20"/>
          <w:sz w:val="19"/>
        </w:rPr>
        <w:t>of</w:t>
      </w:r>
      <w:r>
        <w:rPr>
          <w:color w:val="231F20"/>
          <w:spacing w:val="-3"/>
          <w:sz w:val="19"/>
        </w:rPr>
        <w:t> </w:t>
      </w:r>
      <w:r>
        <w:rPr>
          <w:color w:val="231F20"/>
          <w:sz w:val="19"/>
        </w:rPr>
        <w:t>the</w:t>
      </w:r>
      <w:r>
        <w:rPr>
          <w:color w:val="231F20"/>
          <w:spacing w:val="-3"/>
          <w:sz w:val="19"/>
        </w:rPr>
        <w:t> </w:t>
      </w:r>
      <w:r>
        <w:rPr>
          <w:color w:val="231F20"/>
          <w:sz w:val="19"/>
        </w:rPr>
        <w:t>Charter</w:t>
      </w:r>
      <w:r>
        <w:rPr>
          <w:color w:val="231F20"/>
          <w:spacing w:val="-3"/>
          <w:sz w:val="19"/>
        </w:rPr>
        <w:t> </w:t>
      </w:r>
      <w:r>
        <w:rPr>
          <w:color w:val="231F20"/>
          <w:sz w:val="19"/>
        </w:rPr>
        <w:t>has been written by D. Martin and T. Lock.</w:t>
      </w:r>
    </w:p>
    <w:p>
      <w:pPr>
        <w:spacing w:line="225" w:lineRule="auto" w:before="4"/>
        <w:ind w:left="100" w:right="174" w:firstLine="0"/>
        <w:jc w:val="both"/>
        <w:rPr>
          <w:sz w:val="19"/>
        </w:rPr>
      </w:pPr>
      <w:r>
        <w:rPr>
          <w:color w:val="231F20"/>
          <w:position w:val="6"/>
          <w:sz w:val="11"/>
        </w:rPr>
        <w:t>13</w:t>
      </w:r>
      <w:r>
        <w:rPr>
          <w:color w:val="231F20"/>
          <w:spacing w:val="80"/>
          <w:w w:val="150"/>
          <w:position w:val="6"/>
          <w:sz w:val="11"/>
        </w:rPr>
        <w:t> </w:t>
      </w:r>
      <w:r>
        <w:rPr>
          <w:color w:val="231F20"/>
          <w:sz w:val="19"/>
        </w:rPr>
        <w:t>The</w:t>
      </w:r>
      <w:r>
        <w:rPr>
          <w:color w:val="231F20"/>
          <w:spacing w:val="-9"/>
          <w:sz w:val="19"/>
        </w:rPr>
        <w:t> </w:t>
      </w:r>
      <w:r>
        <w:rPr>
          <w:color w:val="231F20"/>
          <w:sz w:val="19"/>
        </w:rPr>
        <w:t>main</w:t>
      </w:r>
      <w:r>
        <w:rPr>
          <w:color w:val="231F20"/>
          <w:spacing w:val="-9"/>
          <w:sz w:val="19"/>
        </w:rPr>
        <w:t> </w:t>
      </w:r>
      <w:r>
        <w:rPr>
          <w:color w:val="231F20"/>
          <w:sz w:val="19"/>
        </w:rPr>
        <w:t>proceedings</w:t>
      </w:r>
      <w:r>
        <w:rPr>
          <w:color w:val="231F20"/>
          <w:spacing w:val="-9"/>
          <w:sz w:val="19"/>
        </w:rPr>
        <w:t> </w:t>
      </w:r>
      <w:r>
        <w:rPr>
          <w:color w:val="231F20"/>
          <w:sz w:val="19"/>
        </w:rPr>
        <w:t>in</w:t>
      </w:r>
      <w:r>
        <w:rPr>
          <w:color w:val="231F20"/>
          <w:spacing w:val="-9"/>
          <w:sz w:val="19"/>
        </w:rPr>
        <w:t> </w:t>
      </w:r>
      <w:r>
        <w:rPr>
          <w:color w:val="231F20"/>
          <w:sz w:val="19"/>
        </w:rPr>
        <w:t>the</w:t>
      </w:r>
      <w:r>
        <w:rPr>
          <w:color w:val="231F20"/>
          <w:spacing w:val="-9"/>
          <w:sz w:val="19"/>
        </w:rPr>
        <w:t> </w:t>
      </w:r>
      <w:r>
        <w:rPr>
          <w:i/>
          <w:color w:val="231F20"/>
          <w:sz w:val="19"/>
        </w:rPr>
        <w:t>Berlioz</w:t>
      </w:r>
      <w:r>
        <w:rPr>
          <w:i/>
          <w:color w:val="231F20"/>
          <w:spacing w:val="-9"/>
          <w:sz w:val="19"/>
        </w:rPr>
        <w:t> </w:t>
      </w:r>
      <w:r>
        <w:rPr>
          <w:color w:val="231F20"/>
          <w:sz w:val="19"/>
        </w:rPr>
        <w:t>case</w:t>
      </w:r>
      <w:r>
        <w:rPr>
          <w:color w:val="231F20"/>
          <w:spacing w:val="-9"/>
          <w:sz w:val="19"/>
        </w:rPr>
        <w:t> </w:t>
      </w:r>
      <w:r>
        <w:rPr>
          <w:color w:val="231F20"/>
          <w:sz w:val="19"/>
        </w:rPr>
        <w:t>in</w:t>
      </w:r>
      <w:r>
        <w:rPr>
          <w:color w:val="231F20"/>
          <w:spacing w:val="-9"/>
          <w:sz w:val="19"/>
        </w:rPr>
        <w:t> </w:t>
      </w:r>
      <w:r>
        <w:rPr>
          <w:color w:val="231F20"/>
          <w:sz w:val="19"/>
        </w:rPr>
        <w:t>fact</w:t>
      </w:r>
      <w:r>
        <w:rPr>
          <w:color w:val="231F20"/>
          <w:spacing w:val="-9"/>
          <w:sz w:val="19"/>
        </w:rPr>
        <w:t> </w:t>
      </w:r>
      <w:r>
        <w:rPr>
          <w:color w:val="231F20"/>
          <w:sz w:val="19"/>
        </w:rPr>
        <w:t>concerned</w:t>
      </w:r>
      <w:r>
        <w:rPr>
          <w:color w:val="231F20"/>
          <w:spacing w:val="-9"/>
          <w:sz w:val="19"/>
        </w:rPr>
        <w:t> </w:t>
      </w:r>
      <w:r>
        <w:rPr>
          <w:color w:val="231F20"/>
          <w:sz w:val="19"/>
        </w:rPr>
        <w:t>the</w:t>
      </w:r>
      <w:r>
        <w:rPr>
          <w:color w:val="231F20"/>
          <w:spacing w:val="-9"/>
          <w:sz w:val="19"/>
        </w:rPr>
        <w:t> </w:t>
      </w:r>
      <w:r>
        <w:rPr>
          <w:color w:val="231F20"/>
          <w:sz w:val="19"/>
        </w:rPr>
        <w:t>administrative</w:t>
      </w:r>
      <w:r>
        <w:rPr>
          <w:color w:val="231F20"/>
          <w:spacing w:val="-9"/>
          <w:sz w:val="19"/>
        </w:rPr>
        <w:t> </w:t>
      </w:r>
      <w:r>
        <w:rPr>
          <w:color w:val="231F20"/>
          <w:sz w:val="19"/>
        </w:rPr>
        <w:t>sanction</w:t>
      </w:r>
      <w:r>
        <w:rPr>
          <w:color w:val="231F20"/>
          <w:spacing w:val="-9"/>
          <w:sz w:val="19"/>
        </w:rPr>
        <w:t> </w:t>
      </w:r>
      <w:r>
        <w:rPr>
          <w:color w:val="231F20"/>
          <w:sz w:val="19"/>
        </w:rPr>
        <w:t>that the</w:t>
      </w:r>
      <w:r>
        <w:rPr>
          <w:color w:val="231F20"/>
          <w:spacing w:val="-3"/>
          <w:sz w:val="19"/>
        </w:rPr>
        <w:t> </w:t>
      </w:r>
      <w:r>
        <w:rPr>
          <w:color w:val="231F20"/>
          <w:sz w:val="19"/>
        </w:rPr>
        <w:t>Luxembourg</w:t>
      </w:r>
      <w:r>
        <w:rPr>
          <w:color w:val="231F20"/>
          <w:spacing w:val="-3"/>
          <w:sz w:val="19"/>
        </w:rPr>
        <w:t> </w:t>
      </w:r>
      <w:r>
        <w:rPr>
          <w:color w:val="231F20"/>
          <w:sz w:val="19"/>
        </w:rPr>
        <w:t>tax</w:t>
      </w:r>
      <w:r>
        <w:rPr>
          <w:color w:val="231F20"/>
          <w:spacing w:val="-3"/>
          <w:sz w:val="19"/>
        </w:rPr>
        <w:t> </w:t>
      </w:r>
      <w:r>
        <w:rPr>
          <w:color w:val="231F20"/>
          <w:sz w:val="19"/>
        </w:rPr>
        <w:t>administration</w:t>
      </w:r>
      <w:r>
        <w:rPr>
          <w:color w:val="231F20"/>
          <w:spacing w:val="-3"/>
          <w:sz w:val="19"/>
        </w:rPr>
        <w:t> </w:t>
      </w:r>
      <w:r>
        <w:rPr>
          <w:color w:val="231F20"/>
          <w:sz w:val="19"/>
        </w:rPr>
        <w:t>had</w:t>
      </w:r>
      <w:r>
        <w:rPr>
          <w:color w:val="231F20"/>
          <w:spacing w:val="-3"/>
          <w:sz w:val="19"/>
        </w:rPr>
        <w:t> </w:t>
      </w:r>
      <w:r>
        <w:rPr>
          <w:color w:val="231F20"/>
          <w:sz w:val="19"/>
        </w:rPr>
        <w:t>imposed</w:t>
      </w:r>
      <w:r>
        <w:rPr>
          <w:color w:val="231F20"/>
          <w:spacing w:val="-3"/>
          <w:sz w:val="19"/>
        </w:rPr>
        <w:t> </w:t>
      </w:r>
      <w:r>
        <w:rPr>
          <w:color w:val="231F20"/>
          <w:sz w:val="19"/>
        </w:rPr>
        <w:t>on</w:t>
      </w:r>
      <w:r>
        <w:rPr>
          <w:color w:val="231F20"/>
          <w:spacing w:val="-3"/>
          <w:sz w:val="19"/>
        </w:rPr>
        <w:t> </w:t>
      </w:r>
      <w:r>
        <w:rPr>
          <w:color w:val="231F20"/>
          <w:sz w:val="19"/>
        </w:rPr>
        <w:t>the</w:t>
      </w:r>
      <w:r>
        <w:rPr>
          <w:color w:val="231F20"/>
          <w:spacing w:val="-3"/>
          <w:sz w:val="19"/>
        </w:rPr>
        <w:t> </w:t>
      </w:r>
      <w:r>
        <w:rPr>
          <w:i/>
          <w:color w:val="231F20"/>
          <w:sz w:val="19"/>
        </w:rPr>
        <w:t>Berlioz</w:t>
      </w:r>
      <w:r>
        <w:rPr>
          <w:i/>
          <w:color w:val="231F20"/>
          <w:spacing w:val="-3"/>
          <w:sz w:val="19"/>
        </w:rPr>
        <w:t> </w:t>
      </w:r>
      <w:r>
        <w:rPr>
          <w:color w:val="231F20"/>
          <w:sz w:val="19"/>
        </w:rPr>
        <w:t>company</w:t>
      </w:r>
      <w:r>
        <w:rPr>
          <w:color w:val="231F20"/>
          <w:spacing w:val="-3"/>
          <w:sz w:val="19"/>
        </w:rPr>
        <w:t> </w:t>
      </w:r>
      <w:r>
        <w:rPr>
          <w:color w:val="231F20"/>
          <w:sz w:val="19"/>
        </w:rPr>
        <w:t>following</w:t>
      </w:r>
      <w:r>
        <w:rPr>
          <w:color w:val="231F20"/>
          <w:spacing w:val="-3"/>
          <w:sz w:val="19"/>
        </w:rPr>
        <w:t> </w:t>
      </w:r>
      <w:r>
        <w:rPr>
          <w:color w:val="231F20"/>
          <w:sz w:val="19"/>
        </w:rPr>
        <w:t>its</w:t>
      </w:r>
      <w:r>
        <w:rPr>
          <w:color w:val="231F20"/>
          <w:spacing w:val="-3"/>
          <w:sz w:val="19"/>
        </w:rPr>
        <w:t> </w:t>
      </w:r>
      <w:r>
        <w:rPr>
          <w:color w:val="231F20"/>
          <w:sz w:val="19"/>
        </w:rPr>
        <w:t>refusal to provide some of the information requested by the aforementioned administration at </w:t>
      </w:r>
      <w:r>
        <w:rPr>
          <w:color w:val="231F20"/>
          <w:sz w:val="19"/>
        </w:rPr>
        <w:t>the request of the French tax administration.</w:t>
      </w:r>
    </w:p>
    <w:p>
      <w:pPr>
        <w:spacing w:line="228" w:lineRule="exact" w:before="0"/>
        <w:ind w:left="100" w:right="0" w:firstLine="0"/>
        <w:jc w:val="both"/>
        <w:rPr>
          <w:sz w:val="19"/>
        </w:rPr>
      </w:pPr>
      <w:r>
        <w:rPr>
          <w:color w:val="231F20"/>
          <w:position w:val="6"/>
          <w:sz w:val="11"/>
        </w:rPr>
        <w:t>14</w:t>
      </w:r>
      <w:r>
        <w:rPr>
          <w:color w:val="231F20"/>
          <w:spacing w:val="52"/>
          <w:position w:val="6"/>
          <w:sz w:val="11"/>
        </w:rPr>
        <w:t>  </w:t>
      </w:r>
      <w:r>
        <w:rPr>
          <w:color w:val="231F20"/>
          <w:sz w:val="19"/>
        </w:rPr>
        <w:t>Case</w:t>
      </w:r>
      <w:r>
        <w:rPr>
          <w:color w:val="231F20"/>
          <w:spacing w:val="1"/>
          <w:sz w:val="19"/>
        </w:rPr>
        <w:t> </w:t>
      </w:r>
      <w:r>
        <w:rPr>
          <w:i/>
          <w:color w:val="231F20"/>
          <w:sz w:val="19"/>
        </w:rPr>
        <w:t>Berlioz</w:t>
      </w:r>
      <w:r>
        <w:rPr>
          <w:color w:val="231F20"/>
          <w:sz w:val="19"/>
        </w:rPr>
        <w:t>,</w:t>
      </w:r>
      <w:r>
        <w:rPr>
          <w:color w:val="231F20"/>
          <w:spacing w:val="-1"/>
          <w:sz w:val="19"/>
        </w:rPr>
        <w:t> </w:t>
      </w:r>
      <w:r>
        <w:rPr>
          <w:color w:val="231F20"/>
          <w:sz w:val="19"/>
        </w:rPr>
        <w:t>C-682/15, points</w:t>
      </w:r>
      <w:r>
        <w:rPr>
          <w:color w:val="231F20"/>
          <w:spacing w:val="-1"/>
          <w:sz w:val="19"/>
        </w:rPr>
        <w:t> </w:t>
      </w:r>
      <w:r>
        <w:rPr>
          <w:color w:val="231F20"/>
          <w:sz w:val="19"/>
        </w:rPr>
        <w:t>38, 39</w:t>
      </w:r>
      <w:r>
        <w:rPr>
          <w:color w:val="231F20"/>
          <w:spacing w:val="-1"/>
          <w:sz w:val="19"/>
        </w:rPr>
        <w:t> </w:t>
      </w:r>
      <w:r>
        <w:rPr>
          <w:color w:val="231F20"/>
          <w:sz w:val="19"/>
        </w:rPr>
        <w:t>and </w:t>
      </w:r>
      <w:r>
        <w:rPr>
          <w:color w:val="231F20"/>
          <w:spacing w:val="-5"/>
          <w:sz w:val="19"/>
        </w:rPr>
        <w:t>40.</w:t>
      </w:r>
    </w:p>
    <w:p>
      <w:pPr>
        <w:spacing w:line="235" w:lineRule="exact" w:before="0"/>
        <w:ind w:left="100" w:right="0" w:firstLine="0"/>
        <w:jc w:val="both"/>
        <w:rPr>
          <w:sz w:val="19"/>
        </w:rPr>
      </w:pPr>
      <w:r>
        <w:rPr>
          <w:color w:val="231F20"/>
          <w:position w:val="6"/>
          <w:sz w:val="11"/>
        </w:rPr>
        <w:t>15</w:t>
      </w:r>
      <w:r>
        <w:rPr>
          <w:color w:val="231F20"/>
          <w:spacing w:val="52"/>
          <w:position w:val="6"/>
          <w:sz w:val="11"/>
        </w:rPr>
        <w:t>  </w:t>
      </w:r>
      <w:r>
        <w:rPr>
          <w:color w:val="231F20"/>
          <w:sz w:val="19"/>
        </w:rPr>
        <w:t>Case</w:t>
      </w:r>
      <w:r>
        <w:rPr>
          <w:color w:val="231F20"/>
          <w:spacing w:val="1"/>
          <w:sz w:val="19"/>
        </w:rPr>
        <w:t> </w:t>
      </w:r>
      <w:r>
        <w:rPr>
          <w:i/>
          <w:color w:val="231F20"/>
          <w:sz w:val="19"/>
        </w:rPr>
        <w:t>Berlioz,</w:t>
      </w:r>
      <w:r>
        <w:rPr>
          <w:i/>
          <w:color w:val="231F20"/>
          <w:spacing w:val="-1"/>
          <w:sz w:val="19"/>
        </w:rPr>
        <w:t> </w:t>
      </w:r>
      <w:r>
        <w:rPr>
          <w:color w:val="231F20"/>
          <w:sz w:val="19"/>
        </w:rPr>
        <w:t>C-682/15, points</w:t>
      </w:r>
      <w:r>
        <w:rPr>
          <w:color w:val="231F20"/>
          <w:spacing w:val="-1"/>
          <w:sz w:val="19"/>
        </w:rPr>
        <w:t> </w:t>
      </w:r>
      <w:r>
        <w:rPr>
          <w:color w:val="231F20"/>
          <w:sz w:val="19"/>
        </w:rPr>
        <w:t>51 and</w:t>
      </w:r>
      <w:r>
        <w:rPr>
          <w:color w:val="231F20"/>
          <w:spacing w:val="-1"/>
          <w:sz w:val="19"/>
        </w:rPr>
        <w:t> </w:t>
      </w:r>
      <w:r>
        <w:rPr>
          <w:color w:val="231F20"/>
          <w:spacing w:val="-5"/>
          <w:sz w:val="19"/>
        </w:rPr>
        <w:t>52.</w:t>
      </w:r>
    </w:p>
    <w:p>
      <w:pPr>
        <w:spacing w:after="0" w:line="235" w:lineRule="exact"/>
        <w:jc w:val="both"/>
        <w:rPr>
          <w:sz w:val="19"/>
        </w:rPr>
        <w:sectPr>
          <w:pgSz w:w="9640" w:h="13610"/>
          <w:pgMar w:header="0" w:footer="625" w:top="1260" w:bottom="820" w:left="1260" w:right="1240"/>
        </w:sectPr>
      </w:pPr>
    </w:p>
    <w:p>
      <w:pPr>
        <w:pStyle w:val="BodyText"/>
        <w:spacing w:line="225" w:lineRule="auto" w:before="117"/>
        <w:ind w:left="157" w:right="117"/>
        <w:jc w:val="both"/>
      </w:pPr>
      <w:r>
        <w:rPr/>
        <mc:AlternateContent>
          <mc:Choice Requires="wps">
            <w:drawing>
              <wp:anchor distT="0" distB="0" distL="0" distR="0" allowOverlap="1" layoutInCell="1" locked="0" behindDoc="0" simplePos="0" relativeHeight="15734784">
                <wp:simplePos x="0" y="0"/>
                <wp:positionH relativeFrom="page">
                  <wp:posOffset>5608609</wp:posOffset>
                </wp:positionH>
                <wp:positionV relativeFrom="page">
                  <wp:posOffset>2376001</wp:posOffset>
                </wp:positionV>
                <wp:extent cx="511809" cy="2412365"/>
                <wp:effectExtent l="0" t="0" r="0" b="0"/>
                <wp:wrapNone/>
                <wp:docPr id="30" name="Group 30"/>
                <wp:cNvGraphicFramePr>
                  <a:graphicFrameLocks/>
                </wp:cNvGraphicFramePr>
                <a:graphic>
                  <a:graphicData uri="http://schemas.microsoft.com/office/word/2010/wordprocessingGroup">
                    <wpg:wgp>
                      <wpg:cNvPr id="30" name="Group 30"/>
                      <wpg:cNvGrpSpPr/>
                      <wpg:grpSpPr>
                        <a:xfrm>
                          <a:off x="0" y="0"/>
                          <a:ext cx="511809" cy="2412365"/>
                          <a:chExt cx="511809" cy="2412365"/>
                        </a:xfrm>
                      </wpg:grpSpPr>
                      <wps:wsp>
                        <wps:cNvPr id="31" name="Graphic 31"/>
                        <wps:cNvSpPr/>
                        <wps:spPr>
                          <a:xfrm>
                            <a:off x="7393" y="3"/>
                            <a:ext cx="504190" cy="360045"/>
                          </a:xfrm>
                          <a:custGeom>
                            <a:avLst/>
                            <a:gdLst/>
                            <a:ahLst/>
                            <a:cxnLst/>
                            <a:rect l="l" t="t" r="r" b="b"/>
                            <a:pathLst>
                              <a:path w="504190" h="360045">
                                <a:moveTo>
                                  <a:pt x="503999" y="0"/>
                                </a:moveTo>
                                <a:lnTo>
                                  <a:pt x="0" y="0"/>
                                </a:lnTo>
                                <a:lnTo>
                                  <a:pt x="0" y="359994"/>
                                </a:lnTo>
                                <a:lnTo>
                                  <a:pt x="503999" y="359994"/>
                                </a:lnTo>
                                <a:lnTo>
                                  <a:pt x="503999" y="0"/>
                                </a:lnTo>
                                <a:close/>
                              </a:path>
                            </a:pathLst>
                          </a:custGeom>
                          <a:solidFill>
                            <a:srgbClr val="939598"/>
                          </a:solidFill>
                        </wps:spPr>
                        <wps:bodyPr wrap="square" lIns="0" tIns="0" rIns="0" bIns="0" rtlCol="0">
                          <a:prstTxWarp prst="textNoShape">
                            <a:avLst/>
                          </a:prstTxWarp>
                          <a:noAutofit/>
                        </wps:bodyPr>
                      </wps:wsp>
                      <wps:wsp>
                        <wps:cNvPr id="32" name="Graphic 32"/>
                        <wps:cNvSpPr/>
                        <wps:spPr>
                          <a:xfrm>
                            <a:off x="6350" y="0"/>
                            <a:ext cx="1270" cy="2412365"/>
                          </a:xfrm>
                          <a:custGeom>
                            <a:avLst/>
                            <a:gdLst/>
                            <a:ahLst/>
                            <a:cxnLst/>
                            <a:rect l="l" t="t" r="r" b="b"/>
                            <a:pathLst>
                              <a:path w="0" h="2412365">
                                <a:moveTo>
                                  <a:pt x="0" y="0"/>
                                </a:moveTo>
                                <a:lnTo>
                                  <a:pt x="0" y="2411996"/>
                                </a:lnTo>
                              </a:path>
                            </a:pathLst>
                          </a:custGeom>
                          <a:ln w="12700">
                            <a:solidFill>
                              <a:srgbClr val="939598"/>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441.622803pt;margin-top:187.0867pt;width:40.3pt;height:189.95pt;mso-position-horizontal-relative:page;mso-position-vertical-relative:page;z-index:15734784" id="docshapegroup25" coordorigin="8832,3742" coordsize="806,3799">
                <v:rect style="position:absolute;left:8844;top:3741;width:794;height:567" id="docshape26" filled="true" fillcolor="#939598" stroked="false">
                  <v:fill type="solid"/>
                </v:rect>
                <v:line style="position:absolute" from="8842,3742" to="8842,7540" stroked="true" strokeweight="1pt" strokecolor="#939598">
                  <v:stroke dashstyle="solid"/>
                </v:line>
                <w10:wrap type="none"/>
              </v:group>
            </w:pict>
          </mc:Fallback>
        </mc:AlternateContent>
      </w:r>
      <w:r>
        <w:rPr/>
        <mc:AlternateContent>
          <mc:Choice Requires="wps">
            <w:drawing>
              <wp:anchor distT="0" distB="0" distL="0" distR="0" allowOverlap="1" layoutInCell="1" locked="0" behindDoc="0" simplePos="0" relativeHeight="15735296">
                <wp:simplePos x="0" y="0"/>
                <wp:positionH relativeFrom="page">
                  <wp:posOffset>5635147</wp:posOffset>
                </wp:positionH>
                <wp:positionV relativeFrom="page">
                  <wp:posOffset>2795300</wp:posOffset>
                </wp:positionV>
                <wp:extent cx="299720" cy="1995805"/>
                <wp:effectExtent l="0" t="0" r="0" b="0"/>
                <wp:wrapNone/>
                <wp:docPr id="33" name="Textbox 33"/>
                <wp:cNvGraphicFramePr>
                  <a:graphicFrameLocks/>
                </wp:cNvGraphicFramePr>
                <a:graphic>
                  <a:graphicData uri="http://schemas.microsoft.com/office/word/2010/wordprocessingShape">
                    <wps:wsp>
                      <wps:cNvPr id="33" name="Textbox 33"/>
                      <wps:cNvSpPr txBox="1"/>
                      <wps:spPr>
                        <a:xfrm>
                          <a:off x="0" y="0"/>
                          <a:ext cx="299720" cy="1995805"/>
                        </a:xfrm>
                        <a:prstGeom prst="rect">
                          <a:avLst/>
                        </a:prstGeom>
                      </wps:spPr>
                      <wps:txbx>
                        <w:txbxContent>
                          <w:p>
                            <w:pPr>
                              <w:spacing w:before="20"/>
                              <w:ind w:left="20" w:right="0" w:firstLine="0"/>
                              <w:jc w:val="left"/>
                              <w:rPr>
                                <w:rFonts w:ascii="Minion Pro"/>
                                <w:sz w:val="32"/>
                              </w:rPr>
                            </w:pPr>
                            <w:r>
                              <w:rPr>
                                <w:rFonts w:ascii="Minion Pro"/>
                                <w:color w:val="231F20"/>
                                <w:sz w:val="32"/>
                              </w:rPr>
                              <w:t>Commented</w:t>
                            </w:r>
                            <w:r>
                              <w:rPr>
                                <w:rFonts w:ascii="Minion Pro"/>
                                <w:color w:val="231F20"/>
                                <w:spacing w:val="-10"/>
                                <w:sz w:val="32"/>
                              </w:rPr>
                              <w:t> </w:t>
                            </w:r>
                            <w:r>
                              <w:rPr>
                                <w:rFonts w:ascii="Minion Pro"/>
                                <w:color w:val="231F20"/>
                                <w:spacing w:val="-2"/>
                                <w:sz w:val="32"/>
                              </w:rPr>
                              <w:t>documents</w:t>
                            </w:r>
                          </w:p>
                        </w:txbxContent>
                      </wps:txbx>
                      <wps:bodyPr wrap="square" lIns="0" tIns="0" rIns="0" bIns="0" rtlCol="0" vert="vert">
                        <a:noAutofit/>
                      </wps:bodyPr>
                    </wps:wsp>
                  </a:graphicData>
                </a:graphic>
              </wp:anchor>
            </w:drawing>
          </mc:Choice>
          <mc:Fallback>
            <w:pict>
              <v:shape style="position:absolute;margin-left:443.712402pt;margin-top:220.102402pt;width:23.6pt;height:157.15pt;mso-position-horizontal-relative:page;mso-position-vertical-relative:page;z-index:15735296" type="#_x0000_t202" id="docshape27" filled="false" stroked="false">
                <v:textbox inset="0,0,0,0" style="layout-flow:vertical">
                  <w:txbxContent>
                    <w:p>
                      <w:pPr>
                        <w:spacing w:before="20"/>
                        <w:ind w:left="20" w:right="0" w:firstLine="0"/>
                        <w:jc w:val="left"/>
                        <w:rPr>
                          <w:rFonts w:ascii="Minion Pro"/>
                          <w:sz w:val="32"/>
                        </w:rPr>
                      </w:pPr>
                      <w:r>
                        <w:rPr>
                          <w:rFonts w:ascii="Minion Pro"/>
                          <w:color w:val="231F20"/>
                          <w:sz w:val="32"/>
                        </w:rPr>
                        <w:t>Commented</w:t>
                      </w:r>
                      <w:r>
                        <w:rPr>
                          <w:rFonts w:ascii="Minion Pro"/>
                          <w:color w:val="231F20"/>
                          <w:spacing w:val="-10"/>
                          <w:sz w:val="32"/>
                        </w:rPr>
                        <w:t> </w:t>
                      </w:r>
                      <w:r>
                        <w:rPr>
                          <w:rFonts w:ascii="Minion Pro"/>
                          <w:color w:val="231F20"/>
                          <w:spacing w:val="-2"/>
                          <w:sz w:val="32"/>
                        </w:rPr>
                        <w:t>documents</w:t>
                      </w:r>
                    </w:p>
                  </w:txbxContent>
                </v:textbox>
                <w10:wrap type="none"/>
              </v:shape>
            </w:pict>
          </mc:Fallback>
        </mc:AlternateContent>
      </w:r>
      <w:r>
        <w:rPr>
          <w:color w:val="231F20"/>
        </w:rPr>
        <w:t>authority constituted a violation of Article 47 CFR as it did not respect the «essential content» of the right to an effective remedy, as required by Article</w:t>
      </w:r>
      <w:r>
        <w:rPr>
          <w:color w:val="231F20"/>
          <w:spacing w:val="-5"/>
        </w:rPr>
        <w:t> </w:t>
      </w:r>
      <w:r>
        <w:rPr>
          <w:color w:val="231F20"/>
        </w:rPr>
        <w:t>52(1)</w:t>
      </w:r>
      <w:r>
        <w:rPr>
          <w:color w:val="231F20"/>
          <w:spacing w:val="-5"/>
        </w:rPr>
        <w:t> </w:t>
      </w:r>
      <w:r>
        <w:rPr>
          <w:color w:val="231F20"/>
        </w:rPr>
        <w:t>of</w:t>
      </w:r>
      <w:r>
        <w:rPr>
          <w:color w:val="231F20"/>
          <w:spacing w:val="-5"/>
        </w:rPr>
        <w:t> </w:t>
      </w:r>
      <w:r>
        <w:rPr>
          <w:color w:val="231F20"/>
        </w:rPr>
        <w:t>the</w:t>
      </w:r>
      <w:r>
        <w:rPr>
          <w:color w:val="231F20"/>
          <w:spacing w:val="-5"/>
        </w:rPr>
        <w:t> </w:t>
      </w:r>
      <w:r>
        <w:rPr>
          <w:color w:val="231F20"/>
        </w:rPr>
        <w:t>Charter</w:t>
      </w:r>
      <w:r>
        <w:rPr>
          <w:color w:val="231F20"/>
          <w:spacing w:val="-5"/>
        </w:rPr>
        <w:t> </w:t>
      </w:r>
      <w:r>
        <w:rPr>
          <w:color w:val="231F20"/>
        </w:rPr>
        <w:t>for</w:t>
      </w:r>
      <w:r>
        <w:rPr>
          <w:color w:val="231F20"/>
          <w:spacing w:val="-5"/>
        </w:rPr>
        <w:t> </w:t>
      </w:r>
      <w:r>
        <w:rPr>
          <w:color w:val="231F20"/>
        </w:rPr>
        <w:t>any</w:t>
      </w:r>
      <w:r>
        <w:rPr>
          <w:color w:val="231F20"/>
          <w:spacing w:val="-5"/>
        </w:rPr>
        <w:t> </w:t>
      </w:r>
      <w:r>
        <w:rPr>
          <w:color w:val="231F20"/>
        </w:rPr>
        <w:t>possible</w:t>
      </w:r>
      <w:r>
        <w:rPr>
          <w:color w:val="231F20"/>
          <w:spacing w:val="-5"/>
        </w:rPr>
        <w:t> </w:t>
      </w:r>
      <w:r>
        <w:rPr>
          <w:color w:val="231F20"/>
        </w:rPr>
        <w:t>derogation</w:t>
      </w:r>
      <w:r>
        <w:rPr>
          <w:color w:val="231F20"/>
          <w:spacing w:val="-5"/>
        </w:rPr>
        <w:t> </w:t>
      </w:r>
      <w:r>
        <w:rPr>
          <w:color w:val="231F20"/>
        </w:rPr>
        <w:t>from</w:t>
      </w:r>
      <w:r>
        <w:rPr>
          <w:color w:val="231F20"/>
          <w:spacing w:val="-5"/>
        </w:rPr>
        <w:t> </w:t>
      </w:r>
      <w:r>
        <w:rPr>
          <w:color w:val="231F20"/>
        </w:rPr>
        <w:t>a</w:t>
      </w:r>
      <w:r>
        <w:rPr>
          <w:color w:val="231F20"/>
          <w:spacing w:val="-5"/>
        </w:rPr>
        <w:t> </w:t>
      </w:r>
      <w:r>
        <w:rPr>
          <w:color w:val="231F20"/>
        </w:rPr>
        <w:t>fundamen- tal right</w:t>
      </w:r>
      <w:r>
        <w:rPr>
          <w:color w:val="231F20"/>
          <w:position w:val="8"/>
          <w:sz w:val="14"/>
        </w:rPr>
        <w:t>16</w:t>
      </w:r>
      <w:r>
        <w:rPr>
          <w:color w:val="231F20"/>
        </w:rPr>
        <w:t>. However, the Court limited the grounds for appeal that could be invoked by the holder of the requested information to the «manifest absence of foreseeable relevance» of the requested information concerning the tax assessment of a specific taxpayer. On the other hand, the «foresee- able relevance» provided by art. 5 of the directive, i.e. the usefulness </w:t>
      </w:r>
      <w:r>
        <w:rPr>
          <w:color w:val="231F20"/>
        </w:rPr>
        <w:t>of</w:t>
      </w:r>
      <w:r>
        <w:rPr>
          <w:color w:val="231F20"/>
          <w:spacing w:val="80"/>
        </w:rPr>
        <w:t> </w:t>
      </w:r>
      <w:r>
        <w:rPr>
          <w:color w:val="231F20"/>
        </w:rPr>
        <w:t>the information requested by the requesting authority</w:t>
      </w:r>
      <w:r>
        <w:rPr>
          <w:color w:val="231F20"/>
          <w:spacing w:val="40"/>
        </w:rPr>
        <w:t> </w:t>
      </w:r>
      <w:r>
        <w:rPr>
          <w:color w:val="231F20"/>
        </w:rPr>
        <w:t>in relation to the purposes of the tax assessment initiated against a given taxpayer, consti- tutes the necessary condition for triggering the obligation of response by the requested authority of another Member State, an obligation provided for</w:t>
      </w:r>
      <w:r>
        <w:rPr>
          <w:color w:val="231F20"/>
          <w:spacing w:val="-8"/>
        </w:rPr>
        <w:t> </w:t>
      </w:r>
      <w:r>
        <w:rPr>
          <w:color w:val="231F20"/>
        </w:rPr>
        <w:t>by</w:t>
      </w:r>
      <w:r>
        <w:rPr>
          <w:color w:val="231F20"/>
          <w:spacing w:val="-8"/>
        </w:rPr>
        <w:t> </w:t>
      </w:r>
      <w:r>
        <w:rPr>
          <w:color w:val="231F20"/>
        </w:rPr>
        <w:t>art.</w:t>
      </w:r>
      <w:r>
        <w:rPr>
          <w:color w:val="231F20"/>
          <w:spacing w:val="-8"/>
        </w:rPr>
        <w:t> </w:t>
      </w:r>
      <w:r>
        <w:rPr>
          <w:color w:val="231F20"/>
        </w:rPr>
        <w:t>5</w:t>
      </w:r>
      <w:r>
        <w:rPr>
          <w:color w:val="231F20"/>
          <w:spacing w:val="-8"/>
        </w:rPr>
        <w:t> </w:t>
      </w:r>
      <w:r>
        <w:rPr>
          <w:color w:val="231F20"/>
        </w:rPr>
        <w:t>of</w:t>
      </w:r>
      <w:r>
        <w:rPr>
          <w:color w:val="231F20"/>
          <w:spacing w:val="-8"/>
        </w:rPr>
        <w:t> </w:t>
      </w:r>
      <w:r>
        <w:rPr>
          <w:color w:val="231F20"/>
        </w:rPr>
        <w:t>the</w:t>
      </w:r>
      <w:r>
        <w:rPr>
          <w:color w:val="231F20"/>
          <w:spacing w:val="-8"/>
        </w:rPr>
        <w:t> </w:t>
      </w:r>
      <w:r>
        <w:rPr>
          <w:color w:val="231F20"/>
        </w:rPr>
        <w:t>Directive</w:t>
      </w:r>
      <w:r>
        <w:rPr>
          <w:color w:val="231F20"/>
          <w:position w:val="8"/>
          <w:sz w:val="14"/>
        </w:rPr>
        <w:t>17</w:t>
      </w:r>
      <w:r>
        <w:rPr>
          <w:color w:val="231F20"/>
        </w:rPr>
        <w:t>.</w:t>
      </w:r>
      <w:r>
        <w:rPr>
          <w:color w:val="231F20"/>
          <w:spacing w:val="-8"/>
        </w:rPr>
        <w:t> </w:t>
      </w:r>
      <w:r>
        <w:rPr>
          <w:color w:val="231F20"/>
        </w:rPr>
        <w:t>The</w:t>
      </w:r>
      <w:r>
        <w:rPr>
          <w:color w:val="231F20"/>
          <w:spacing w:val="-8"/>
        </w:rPr>
        <w:t> </w:t>
      </w:r>
      <w:r>
        <w:rPr>
          <w:color w:val="231F20"/>
        </w:rPr>
        <w:t>Court</w:t>
      </w:r>
      <w:r>
        <w:rPr>
          <w:color w:val="231F20"/>
          <w:spacing w:val="-8"/>
        </w:rPr>
        <w:t> </w:t>
      </w:r>
      <w:r>
        <w:rPr>
          <w:color w:val="231F20"/>
        </w:rPr>
        <w:t>then</w:t>
      </w:r>
      <w:r>
        <w:rPr>
          <w:color w:val="231F20"/>
          <w:spacing w:val="-8"/>
        </w:rPr>
        <w:t> </w:t>
      </w:r>
      <w:r>
        <w:rPr>
          <w:color w:val="231F20"/>
        </w:rPr>
        <w:t>interpreted</w:t>
      </w:r>
      <w:r>
        <w:rPr>
          <w:color w:val="231F20"/>
          <w:spacing w:val="-8"/>
        </w:rPr>
        <w:t> </w:t>
      </w:r>
      <w:r>
        <w:rPr>
          <w:color w:val="231F20"/>
        </w:rPr>
        <w:t>Article</w:t>
      </w:r>
      <w:r>
        <w:rPr>
          <w:color w:val="231F20"/>
          <w:spacing w:val="-8"/>
        </w:rPr>
        <w:t> </w:t>
      </w:r>
      <w:r>
        <w:rPr>
          <w:color w:val="231F20"/>
        </w:rPr>
        <w:t>47(2)</w:t>
      </w:r>
      <w:r>
        <w:rPr>
          <w:color w:val="231F20"/>
          <w:spacing w:val="-8"/>
        </w:rPr>
        <w:t> </w:t>
      </w:r>
      <w:r>
        <w:rPr>
          <w:color w:val="231F20"/>
        </w:rPr>
        <w:t>of the Charter (right to a «fair trial») to determine the extent of the right of access to the information request transmitted by the requesting authority to</w:t>
      </w:r>
      <w:r>
        <w:rPr>
          <w:color w:val="231F20"/>
          <w:spacing w:val="-5"/>
        </w:rPr>
        <w:t> </w:t>
      </w:r>
      <w:r>
        <w:rPr>
          <w:color w:val="231F20"/>
        </w:rPr>
        <w:t>the</w:t>
      </w:r>
      <w:r>
        <w:rPr>
          <w:color w:val="231F20"/>
          <w:spacing w:val="-5"/>
        </w:rPr>
        <w:t> </w:t>
      </w:r>
      <w:r>
        <w:rPr>
          <w:color w:val="231F20"/>
        </w:rPr>
        <w:t>requested</w:t>
      </w:r>
      <w:r>
        <w:rPr>
          <w:color w:val="231F20"/>
          <w:spacing w:val="-5"/>
        </w:rPr>
        <w:t> </w:t>
      </w:r>
      <w:r>
        <w:rPr>
          <w:color w:val="231F20"/>
        </w:rPr>
        <w:t>authority.</w:t>
      </w:r>
      <w:r>
        <w:rPr>
          <w:color w:val="231F20"/>
          <w:spacing w:val="-5"/>
        </w:rPr>
        <w:t> </w:t>
      </w:r>
      <w:r>
        <w:rPr>
          <w:color w:val="231F20"/>
        </w:rPr>
        <w:t>For</w:t>
      </w:r>
      <w:r>
        <w:rPr>
          <w:color w:val="231F20"/>
          <w:spacing w:val="-5"/>
        </w:rPr>
        <w:t> </w:t>
      </w:r>
      <w:r>
        <w:rPr>
          <w:color w:val="231F20"/>
        </w:rPr>
        <w:t>the</w:t>
      </w:r>
      <w:r>
        <w:rPr>
          <w:color w:val="231F20"/>
          <w:spacing w:val="-5"/>
        </w:rPr>
        <w:t> </w:t>
      </w:r>
      <w:r>
        <w:rPr>
          <w:color w:val="231F20"/>
        </w:rPr>
        <w:t>Union</w:t>
      </w:r>
      <w:r>
        <w:rPr>
          <w:color w:val="231F20"/>
          <w:spacing w:val="-5"/>
        </w:rPr>
        <w:t> </w:t>
      </w:r>
      <w:r>
        <w:rPr>
          <w:color w:val="231F20"/>
        </w:rPr>
        <w:t>judges,</w:t>
      </w:r>
      <w:r>
        <w:rPr>
          <w:color w:val="231F20"/>
          <w:spacing w:val="-5"/>
        </w:rPr>
        <w:t> </w:t>
      </w:r>
      <w:r>
        <w:rPr>
          <w:color w:val="231F20"/>
        </w:rPr>
        <w:t>this</w:t>
      </w:r>
      <w:r>
        <w:rPr>
          <w:color w:val="231F20"/>
          <w:spacing w:val="-5"/>
        </w:rPr>
        <w:t> </w:t>
      </w:r>
      <w:r>
        <w:rPr>
          <w:color w:val="231F20"/>
        </w:rPr>
        <w:t>right</w:t>
      </w:r>
      <w:r>
        <w:rPr>
          <w:color w:val="231F20"/>
          <w:spacing w:val="-5"/>
        </w:rPr>
        <w:t> </w:t>
      </w:r>
      <w:r>
        <w:rPr>
          <w:color w:val="231F20"/>
        </w:rPr>
        <w:t>of</w:t>
      </w:r>
      <w:r>
        <w:rPr>
          <w:color w:val="231F20"/>
          <w:spacing w:val="-5"/>
        </w:rPr>
        <w:t> </w:t>
      </w:r>
      <w:r>
        <w:rPr>
          <w:color w:val="231F20"/>
        </w:rPr>
        <w:t>access</w:t>
      </w:r>
      <w:r>
        <w:rPr>
          <w:color w:val="231F20"/>
          <w:spacing w:val="-5"/>
        </w:rPr>
        <w:t> </w:t>
      </w:r>
      <w:r>
        <w:rPr>
          <w:color w:val="231F20"/>
        </w:rPr>
        <w:t>is</w:t>
      </w:r>
      <w:r>
        <w:rPr>
          <w:color w:val="231F20"/>
          <w:spacing w:val="-5"/>
        </w:rPr>
        <w:t> </w:t>
      </w:r>
      <w:r>
        <w:rPr>
          <w:color w:val="231F20"/>
        </w:rPr>
        <w:t>full and</w:t>
      </w:r>
      <w:r>
        <w:rPr>
          <w:color w:val="231F20"/>
          <w:spacing w:val="-1"/>
        </w:rPr>
        <w:t> </w:t>
      </w:r>
      <w:r>
        <w:rPr>
          <w:color w:val="231F20"/>
        </w:rPr>
        <w:t>unconditional</w:t>
      </w:r>
      <w:r>
        <w:rPr>
          <w:color w:val="231F20"/>
          <w:spacing w:val="-1"/>
        </w:rPr>
        <w:t> </w:t>
      </w:r>
      <w:r>
        <w:rPr>
          <w:color w:val="231F20"/>
        </w:rPr>
        <w:t>for</w:t>
      </w:r>
      <w:r>
        <w:rPr>
          <w:color w:val="231F20"/>
          <w:spacing w:val="-1"/>
        </w:rPr>
        <w:t> </w:t>
      </w:r>
      <w:r>
        <w:rPr>
          <w:color w:val="231F20"/>
        </w:rPr>
        <w:t>the</w:t>
      </w:r>
      <w:r>
        <w:rPr>
          <w:color w:val="231F20"/>
          <w:spacing w:val="-1"/>
        </w:rPr>
        <w:t> </w:t>
      </w:r>
      <w:r>
        <w:rPr>
          <w:color w:val="231F20"/>
        </w:rPr>
        <w:t>Member</w:t>
      </w:r>
      <w:r>
        <w:rPr>
          <w:color w:val="231F20"/>
          <w:spacing w:val="-1"/>
        </w:rPr>
        <w:t> </w:t>
      </w:r>
      <w:r>
        <w:rPr>
          <w:color w:val="231F20"/>
        </w:rPr>
        <w:t>State</w:t>
      </w:r>
      <w:r>
        <w:rPr>
          <w:color w:val="231F20"/>
          <w:spacing w:val="-1"/>
        </w:rPr>
        <w:t> </w:t>
      </w:r>
      <w:r>
        <w:rPr>
          <w:color w:val="231F20"/>
        </w:rPr>
        <w:t>judge</w:t>
      </w:r>
      <w:r>
        <w:rPr>
          <w:color w:val="231F20"/>
          <w:spacing w:val="-1"/>
        </w:rPr>
        <w:t> </w:t>
      </w:r>
      <w:r>
        <w:rPr>
          <w:color w:val="231F20"/>
        </w:rPr>
        <w:t>called</w:t>
      </w:r>
      <w:r>
        <w:rPr>
          <w:color w:val="231F20"/>
          <w:spacing w:val="-1"/>
        </w:rPr>
        <w:t> </w:t>
      </w:r>
      <w:r>
        <w:rPr>
          <w:color w:val="231F20"/>
        </w:rPr>
        <w:t>to</w:t>
      </w:r>
      <w:r>
        <w:rPr>
          <w:color w:val="231F20"/>
          <w:spacing w:val="-1"/>
        </w:rPr>
        <w:t> </w:t>
      </w:r>
      <w:r>
        <w:rPr>
          <w:color w:val="231F20"/>
        </w:rPr>
        <w:t>decide</w:t>
      </w:r>
      <w:r>
        <w:rPr>
          <w:color w:val="231F20"/>
          <w:spacing w:val="-1"/>
        </w:rPr>
        <w:t> </w:t>
      </w:r>
      <w:r>
        <w:rPr>
          <w:color w:val="231F20"/>
        </w:rPr>
        <w:t>the</w:t>
      </w:r>
      <w:r>
        <w:rPr>
          <w:color w:val="231F20"/>
          <w:spacing w:val="-1"/>
        </w:rPr>
        <w:t> </w:t>
      </w:r>
      <w:r>
        <w:rPr>
          <w:color w:val="231F20"/>
        </w:rPr>
        <w:t>appeal of the holder of information against the injunction and/or penalty deci- sion. The applicant was instead granted limited access to the «minimum information»</w:t>
      </w:r>
      <w:r>
        <w:rPr>
          <w:color w:val="231F20"/>
          <w:spacing w:val="-4"/>
        </w:rPr>
        <w:t> </w:t>
      </w:r>
      <w:r>
        <w:rPr>
          <w:color w:val="231F20"/>
        </w:rPr>
        <w:t>mentioned</w:t>
      </w:r>
      <w:r>
        <w:rPr>
          <w:color w:val="231F20"/>
          <w:spacing w:val="-4"/>
        </w:rPr>
        <w:t> </w:t>
      </w:r>
      <w:r>
        <w:rPr>
          <w:color w:val="231F20"/>
        </w:rPr>
        <w:t>in</w:t>
      </w:r>
      <w:r>
        <w:rPr>
          <w:color w:val="231F20"/>
          <w:spacing w:val="-4"/>
        </w:rPr>
        <w:t> </w:t>
      </w:r>
      <w:r>
        <w:rPr>
          <w:color w:val="231F20"/>
        </w:rPr>
        <w:t>Article</w:t>
      </w:r>
      <w:r>
        <w:rPr>
          <w:color w:val="231F20"/>
          <w:spacing w:val="-4"/>
        </w:rPr>
        <w:t> </w:t>
      </w:r>
      <w:r>
        <w:rPr>
          <w:color w:val="231F20"/>
        </w:rPr>
        <w:t>20(2)</w:t>
      </w:r>
      <w:r>
        <w:rPr>
          <w:color w:val="231F20"/>
          <w:spacing w:val="-4"/>
        </w:rPr>
        <w:t> </w:t>
      </w:r>
      <w:r>
        <w:rPr>
          <w:color w:val="231F20"/>
        </w:rPr>
        <w:t>of</w:t>
      </w:r>
      <w:r>
        <w:rPr>
          <w:color w:val="231F20"/>
          <w:spacing w:val="-4"/>
        </w:rPr>
        <w:t> </w:t>
      </w:r>
      <w:r>
        <w:rPr>
          <w:color w:val="231F20"/>
        </w:rPr>
        <w:t>the</w:t>
      </w:r>
      <w:r>
        <w:rPr>
          <w:color w:val="231F20"/>
          <w:spacing w:val="-4"/>
        </w:rPr>
        <w:t> </w:t>
      </w:r>
      <w:r>
        <w:rPr>
          <w:color w:val="231F20"/>
        </w:rPr>
        <w:t>directive,</w:t>
      </w:r>
      <w:r>
        <w:rPr>
          <w:color w:val="231F20"/>
          <w:spacing w:val="-4"/>
        </w:rPr>
        <w:t> </w:t>
      </w:r>
      <w:r>
        <w:rPr>
          <w:color w:val="231F20"/>
        </w:rPr>
        <w:t>consisting</w:t>
      </w:r>
      <w:r>
        <w:rPr>
          <w:color w:val="231F20"/>
          <w:spacing w:val="-4"/>
        </w:rPr>
        <w:t> </w:t>
      </w:r>
      <w:r>
        <w:rPr>
          <w:color w:val="231F20"/>
        </w:rPr>
        <w:t>of</w:t>
      </w:r>
      <w:r>
        <w:rPr>
          <w:color w:val="231F20"/>
          <w:spacing w:val="-4"/>
        </w:rPr>
        <w:t> </w:t>
      </w:r>
      <w:r>
        <w:rPr>
          <w:color w:val="231F20"/>
        </w:rPr>
        <w:t>the identity</w:t>
      </w:r>
      <w:r>
        <w:rPr>
          <w:color w:val="231F20"/>
          <w:spacing w:val="-13"/>
        </w:rPr>
        <w:t> </w:t>
      </w:r>
      <w:r>
        <w:rPr>
          <w:color w:val="231F20"/>
        </w:rPr>
        <w:t>of</w:t>
      </w:r>
      <w:r>
        <w:rPr>
          <w:color w:val="231F20"/>
          <w:spacing w:val="-13"/>
        </w:rPr>
        <w:t> </w:t>
      </w:r>
      <w:r>
        <w:rPr>
          <w:color w:val="231F20"/>
        </w:rPr>
        <w:t>the</w:t>
      </w:r>
      <w:r>
        <w:rPr>
          <w:color w:val="231F20"/>
          <w:spacing w:val="-13"/>
        </w:rPr>
        <w:t> </w:t>
      </w:r>
      <w:r>
        <w:rPr>
          <w:color w:val="231F20"/>
        </w:rPr>
        <w:t>taxpayer</w:t>
      </w:r>
      <w:r>
        <w:rPr>
          <w:color w:val="231F20"/>
          <w:spacing w:val="-13"/>
        </w:rPr>
        <w:t> </w:t>
      </w:r>
      <w:r>
        <w:rPr>
          <w:color w:val="231F20"/>
        </w:rPr>
        <w:t>subject</w:t>
      </w:r>
      <w:r>
        <w:rPr>
          <w:color w:val="231F20"/>
          <w:spacing w:val="-13"/>
        </w:rPr>
        <w:t> </w:t>
      </w:r>
      <w:r>
        <w:rPr>
          <w:color w:val="231F20"/>
        </w:rPr>
        <w:t>to</w:t>
      </w:r>
      <w:r>
        <w:rPr>
          <w:color w:val="231F20"/>
          <w:spacing w:val="-13"/>
        </w:rPr>
        <w:t> </w:t>
      </w:r>
      <w:r>
        <w:rPr>
          <w:color w:val="231F20"/>
        </w:rPr>
        <w:t>the</w:t>
      </w:r>
      <w:r>
        <w:rPr>
          <w:color w:val="231F20"/>
          <w:spacing w:val="-13"/>
        </w:rPr>
        <w:t> </w:t>
      </w:r>
      <w:r>
        <w:rPr>
          <w:color w:val="231F20"/>
        </w:rPr>
        <w:t>tax</w:t>
      </w:r>
      <w:r>
        <w:rPr>
          <w:color w:val="231F20"/>
          <w:spacing w:val="-13"/>
        </w:rPr>
        <w:t> </w:t>
      </w:r>
      <w:r>
        <w:rPr>
          <w:color w:val="231F20"/>
        </w:rPr>
        <w:t>assessment</w:t>
      </w:r>
      <w:r>
        <w:rPr>
          <w:color w:val="231F20"/>
          <w:spacing w:val="-13"/>
        </w:rPr>
        <w:t> </w:t>
      </w:r>
      <w:r>
        <w:rPr>
          <w:color w:val="231F20"/>
        </w:rPr>
        <w:t>and</w:t>
      </w:r>
      <w:r>
        <w:rPr>
          <w:color w:val="231F20"/>
          <w:spacing w:val="-13"/>
        </w:rPr>
        <w:t> </w:t>
      </w:r>
      <w:r>
        <w:rPr>
          <w:color w:val="231F20"/>
        </w:rPr>
        <w:t>the</w:t>
      </w:r>
      <w:r>
        <w:rPr>
          <w:color w:val="231F20"/>
          <w:spacing w:val="-13"/>
        </w:rPr>
        <w:t> </w:t>
      </w:r>
      <w:r>
        <w:rPr>
          <w:color w:val="231F20"/>
        </w:rPr>
        <w:t>purpose</w:t>
      </w:r>
      <w:r>
        <w:rPr>
          <w:color w:val="231F20"/>
          <w:spacing w:val="-13"/>
        </w:rPr>
        <w:t> </w:t>
      </w:r>
      <w:r>
        <w:rPr>
          <w:color w:val="231F20"/>
        </w:rPr>
        <w:t>of</w:t>
      </w:r>
      <w:r>
        <w:rPr>
          <w:color w:val="231F20"/>
          <w:spacing w:val="-13"/>
        </w:rPr>
        <w:t> </w:t>
      </w:r>
      <w:r>
        <w:rPr>
          <w:color w:val="231F20"/>
        </w:rPr>
        <w:t>the request of information</w:t>
      </w:r>
      <w:r>
        <w:rPr>
          <w:color w:val="231F20"/>
          <w:position w:val="8"/>
          <w:sz w:val="14"/>
        </w:rPr>
        <w:t>18</w:t>
      </w:r>
      <w:r>
        <w:rPr>
          <w:color w:val="231F20"/>
        </w:rPr>
        <w:t>.</w:t>
      </w:r>
    </w:p>
    <w:p>
      <w:pPr>
        <w:pStyle w:val="BodyText"/>
        <w:spacing w:before="169"/>
      </w:pPr>
    </w:p>
    <w:p>
      <w:pPr>
        <w:pStyle w:val="ListParagraph"/>
        <w:numPr>
          <w:ilvl w:val="1"/>
          <w:numId w:val="1"/>
        </w:numPr>
        <w:tabs>
          <w:tab w:pos="583" w:val="left" w:leader="none"/>
        </w:tabs>
        <w:spacing w:line="244" w:lineRule="auto" w:before="0" w:after="0"/>
        <w:ind w:left="157" w:right="234" w:firstLine="0"/>
        <w:jc w:val="left"/>
        <w:rPr>
          <w:b/>
          <w:sz w:val="24"/>
        </w:rPr>
      </w:pPr>
      <w:r>
        <w:rPr>
          <w:b/>
          <w:color w:val="231F20"/>
          <w:sz w:val="24"/>
        </w:rPr>
        <w:t>Absence</w:t>
      </w:r>
      <w:r>
        <w:rPr>
          <w:b/>
          <w:color w:val="231F20"/>
          <w:spacing w:val="-7"/>
          <w:sz w:val="24"/>
        </w:rPr>
        <w:t> </w:t>
      </w:r>
      <w:r>
        <w:rPr>
          <w:b/>
          <w:color w:val="231F20"/>
          <w:sz w:val="24"/>
        </w:rPr>
        <w:t>of</w:t>
      </w:r>
      <w:r>
        <w:rPr>
          <w:b/>
          <w:color w:val="231F20"/>
          <w:spacing w:val="-7"/>
          <w:sz w:val="24"/>
        </w:rPr>
        <w:t> </w:t>
      </w:r>
      <w:r>
        <w:rPr>
          <w:b/>
          <w:color w:val="231F20"/>
          <w:sz w:val="24"/>
        </w:rPr>
        <w:t>a</w:t>
      </w:r>
      <w:r>
        <w:rPr>
          <w:b/>
          <w:color w:val="231F20"/>
          <w:spacing w:val="-7"/>
          <w:sz w:val="24"/>
        </w:rPr>
        <w:t> </w:t>
      </w:r>
      <w:r>
        <w:rPr>
          <w:b/>
          <w:color w:val="231F20"/>
          <w:sz w:val="24"/>
        </w:rPr>
        <w:t>Right</w:t>
      </w:r>
      <w:r>
        <w:rPr>
          <w:b/>
          <w:color w:val="231F20"/>
          <w:spacing w:val="-7"/>
          <w:sz w:val="24"/>
        </w:rPr>
        <w:t> </w:t>
      </w:r>
      <w:r>
        <w:rPr>
          <w:b/>
          <w:color w:val="231F20"/>
          <w:sz w:val="24"/>
        </w:rPr>
        <w:t>to</w:t>
      </w:r>
      <w:r>
        <w:rPr>
          <w:b/>
          <w:color w:val="231F20"/>
          <w:spacing w:val="-7"/>
          <w:sz w:val="24"/>
        </w:rPr>
        <w:t> </w:t>
      </w:r>
      <w:r>
        <w:rPr>
          <w:b/>
          <w:color w:val="231F20"/>
          <w:sz w:val="24"/>
        </w:rPr>
        <w:t>an</w:t>
      </w:r>
      <w:r>
        <w:rPr>
          <w:b/>
          <w:color w:val="231F20"/>
          <w:spacing w:val="-7"/>
          <w:sz w:val="24"/>
        </w:rPr>
        <w:t> </w:t>
      </w:r>
      <w:r>
        <w:rPr>
          <w:b/>
          <w:color w:val="231F20"/>
          <w:sz w:val="24"/>
        </w:rPr>
        <w:t>effective</w:t>
      </w:r>
      <w:r>
        <w:rPr>
          <w:b/>
          <w:color w:val="231F20"/>
          <w:spacing w:val="-7"/>
          <w:sz w:val="24"/>
        </w:rPr>
        <w:t> </w:t>
      </w:r>
      <w:r>
        <w:rPr>
          <w:b/>
          <w:color w:val="231F20"/>
          <w:sz w:val="24"/>
        </w:rPr>
        <w:t>Remedy</w:t>
      </w:r>
      <w:r>
        <w:rPr>
          <w:b/>
          <w:color w:val="231F20"/>
          <w:spacing w:val="-7"/>
          <w:sz w:val="24"/>
        </w:rPr>
        <w:t> </w:t>
      </w:r>
      <w:r>
        <w:rPr>
          <w:b/>
          <w:color w:val="231F20"/>
          <w:sz w:val="24"/>
        </w:rPr>
        <w:t>for</w:t>
      </w:r>
      <w:r>
        <w:rPr>
          <w:b/>
          <w:color w:val="231F20"/>
          <w:spacing w:val="-7"/>
          <w:sz w:val="24"/>
        </w:rPr>
        <w:t> </w:t>
      </w:r>
      <w:r>
        <w:rPr>
          <w:b/>
          <w:color w:val="231F20"/>
          <w:sz w:val="24"/>
        </w:rPr>
        <w:t>the Taxpayer</w:t>
      </w:r>
      <w:r>
        <w:rPr>
          <w:b/>
          <w:color w:val="231F20"/>
          <w:spacing w:val="-7"/>
          <w:sz w:val="24"/>
        </w:rPr>
        <w:t> </w:t>
      </w:r>
      <w:r>
        <w:rPr>
          <w:b/>
          <w:color w:val="231F20"/>
          <w:sz w:val="24"/>
        </w:rPr>
        <w:t>subject to the Assessment and other interested third Parties</w:t>
      </w:r>
    </w:p>
    <w:p>
      <w:pPr>
        <w:pStyle w:val="BodyText"/>
        <w:spacing w:line="225" w:lineRule="auto" w:before="263"/>
        <w:ind w:left="157" w:right="117"/>
        <w:jc w:val="both"/>
      </w:pPr>
      <w:r>
        <w:rPr>
          <w:color w:val="231F20"/>
        </w:rPr>
        <w:t>The</w:t>
      </w:r>
      <w:r>
        <w:rPr>
          <w:color w:val="231F20"/>
          <w:spacing w:val="-13"/>
        </w:rPr>
        <w:t> </w:t>
      </w:r>
      <w:r>
        <w:rPr>
          <w:color w:val="231F20"/>
        </w:rPr>
        <w:t>judgment</w:t>
      </w:r>
      <w:r>
        <w:rPr>
          <w:color w:val="231F20"/>
          <w:spacing w:val="-13"/>
        </w:rPr>
        <w:t> </w:t>
      </w:r>
      <w:r>
        <w:rPr>
          <w:color w:val="231F20"/>
        </w:rPr>
        <w:t>in</w:t>
      </w:r>
      <w:r>
        <w:rPr>
          <w:color w:val="231F20"/>
          <w:spacing w:val="-13"/>
        </w:rPr>
        <w:t> </w:t>
      </w:r>
      <w:r>
        <w:rPr>
          <w:color w:val="231F20"/>
        </w:rPr>
        <w:t>joined</w:t>
      </w:r>
      <w:r>
        <w:rPr>
          <w:color w:val="231F20"/>
          <w:spacing w:val="-13"/>
        </w:rPr>
        <w:t> </w:t>
      </w:r>
      <w:r>
        <w:rPr>
          <w:color w:val="231F20"/>
        </w:rPr>
        <w:t>cases</w:t>
      </w:r>
      <w:r>
        <w:rPr>
          <w:color w:val="231F20"/>
          <w:spacing w:val="-13"/>
        </w:rPr>
        <w:t> </w:t>
      </w:r>
      <w:r>
        <w:rPr>
          <w:color w:val="231F20"/>
        </w:rPr>
        <w:t>C-245/19</w:t>
      </w:r>
      <w:r>
        <w:rPr>
          <w:color w:val="231F20"/>
          <w:spacing w:val="-13"/>
        </w:rPr>
        <w:t> </w:t>
      </w:r>
      <w:r>
        <w:rPr>
          <w:color w:val="231F20"/>
        </w:rPr>
        <w:t>and</w:t>
      </w:r>
      <w:r>
        <w:rPr>
          <w:color w:val="231F20"/>
          <w:spacing w:val="-13"/>
        </w:rPr>
        <w:t> </w:t>
      </w:r>
      <w:r>
        <w:rPr>
          <w:color w:val="231F20"/>
        </w:rPr>
        <w:t>C-246/19</w:t>
      </w:r>
      <w:r>
        <w:rPr>
          <w:color w:val="231F20"/>
          <w:spacing w:val="-13"/>
        </w:rPr>
        <w:t> </w:t>
      </w:r>
      <w:r>
        <w:rPr>
          <w:color w:val="231F20"/>
        </w:rPr>
        <w:t>provided</w:t>
      </w:r>
      <w:r>
        <w:rPr>
          <w:color w:val="231F20"/>
          <w:spacing w:val="-13"/>
        </w:rPr>
        <w:t> </w:t>
      </w:r>
      <w:r>
        <w:rPr>
          <w:color w:val="231F20"/>
        </w:rPr>
        <w:t>the</w:t>
      </w:r>
      <w:r>
        <w:rPr>
          <w:color w:val="231F20"/>
          <w:spacing w:val="-13"/>
        </w:rPr>
        <w:t> </w:t>
      </w:r>
      <w:r>
        <w:rPr>
          <w:color w:val="231F20"/>
        </w:rPr>
        <w:t>Court of</w:t>
      </w:r>
      <w:r>
        <w:rPr>
          <w:color w:val="231F20"/>
          <w:spacing w:val="-8"/>
        </w:rPr>
        <w:t> </w:t>
      </w:r>
      <w:r>
        <w:rPr>
          <w:color w:val="231F20"/>
        </w:rPr>
        <w:t>Justice</w:t>
      </w:r>
      <w:r>
        <w:rPr>
          <w:color w:val="231F20"/>
          <w:spacing w:val="-8"/>
        </w:rPr>
        <w:t> </w:t>
      </w:r>
      <w:r>
        <w:rPr>
          <w:color w:val="231F20"/>
        </w:rPr>
        <w:t>with</w:t>
      </w:r>
      <w:r>
        <w:rPr>
          <w:color w:val="231F20"/>
          <w:spacing w:val="-8"/>
        </w:rPr>
        <w:t> </w:t>
      </w:r>
      <w:r>
        <w:rPr>
          <w:color w:val="231F20"/>
        </w:rPr>
        <w:t>the</w:t>
      </w:r>
      <w:r>
        <w:rPr>
          <w:color w:val="231F20"/>
          <w:spacing w:val="-8"/>
        </w:rPr>
        <w:t> </w:t>
      </w:r>
      <w:r>
        <w:rPr>
          <w:color w:val="231F20"/>
        </w:rPr>
        <w:t>opportunity</w:t>
      </w:r>
      <w:r>
        <w:rPr>
          <w:color w:val="231F20"/>
          <w:spacing w:val="-8"/>
        </w:rPr>
        <w:t> </w:t>
      </w:r>
      <w:r>
        <w:rPr>
          <w:color w:val="231F20"/>
        </w:rPr>
        <w:t>to</w:t>
      </w:r>
      <w:r>
        <w:rPr>
          <w:color w:val="231F20"/>
          <w:spacing w:val="-8"/>
        </w:rPr>
        <w:t> </w:t>
      </w:r>
      <w:r>
        <w:rPr>
          <w:color w:val="231F20"/>
        </w:rPr>
        <w:t>take</w:t>
      </w:r>
      <w:r>
        <w:rPr>
          <w:color w:val="231F20"/>
          <w:spacing w:val="-8"/>
        </w:rPr>
        <w:t> </w:t>
      </w:r>
      <w:r>
        <w:rPr>
          <w:color w:val="231F20"/>
        </w:rPr>
        <w:t>a</w:t>
      </w:r>
      <w:r>
        <w:rPr>
          <w:color w:val="231F20"/>
          <w:spacing w:val="-8"/>
        </w:rPr>
        <w:t> </w:t>
      </w:r>
      <w:r>
        <w:rPr>
          <w:color w:val="231F20"/>
        </w:rPr>
        <w:t>position</w:t>
      </w:r>
      <w:r>
        <w:rPr>
          <w:color w:val="231F20"/>
          <w:spacing w:val="-8"/>
        </w:rPr>
        <w:t> </w:t>
      </w:r>
      <w:r>
        <w:rPr>
          <w:color w:val="231F20"/>
        </w:rPr>
        <w:t>on</w:t>
      </w:r>
      <w:r>
        <w:rPr>
          <w:color w:val="231F20"/>
          <w:spacing w:val="-8"/>
        </w:rPr>
        <w:t> </w:t>
      </w:r>
      <w:r>
        <w:rPr>
          <w:color w:val="231F20"/>
        </w:rPr>
        <w:t>another</w:t>
      </w:r>
      <w:r>
        <w:rPr>
          <w:color w:val="231F20"/>
          <w:spacing w:val="-8"/>
        </w:rPr>
        <w:t> </w:t>
      </w:r>
      <w:r>
        <w:rPr>
          <w:color w:val="231F20"/>
        </w:rPr>
        <w:t>delicate</w:t>
      </w:r>
      <w:r>
        <w:rPr>
          <w:color w:val="231F20"/>
          <w:spacing w:val="-8"/>
        </w:rPr>
        <w:t> </w:t>
      </w:r>
      <w:r>
        <w:rPr>
          <w:color w:val="231F20"/>
        </w:rPr>
        <w:t>issue, that</w:t>
      </w:r>
      <w:r>
        <w:rPr>
          <w:color w:val="231F20"/>
          <w:spacing w:val="-9"/>
        </w:rPr>
        <w:t> </w:t>
      </w:r>
      <w:r>
        <w:rPr>
          <w:color w:val="231F20"/>
        </w:rPr>
        <w:t>of</w:t>
      </w:r>
      <w:r>
        <w:rPr>
          <w:color w:val="231F20"/>
          <w:spacing w:val="-9"/>
        </w:rPr>
        <w:t> </w:t>
      </w:r>
      <w:r>
        <w:rPr>
          <w:color w:val="231F20"/>
        </w:rPr>
        <w:t>the</w:t>
      </w:r>
      <w:r>
        <w:rPr>
          <w:color w:val="231F20"/>
          <w:spacing w:val="-9"/>
        </w:rPr>
        <w:t> </w:t>
      </w:r>
      <w:r>
        <w:rPr>
          <w:color w:val="231F20"/>
        </w:rPr>
        <w:t>right</w:t>
      </w:r>
      <w:r>
        <w:rPr>
          <w:color w:val="231F20"/>
          <w:spacing w:val="-9"/>
        </w:rPr>
        <w:t> </w:t>
      </w:r>
      <w:r>
        <w:rPr>
          <w:color w:val="231F20"/>
        </w:rPr>
        <w:t>to</w:t>
      </w:r>
      <w:r>
        <w:rPr>
          <w:color w:val="231F20"/>
          <w:spacing w:val="-9"/>
        </w:rPr>
        <w:t> </w:t>
      </w:r>
      <w:r>
        <w:rPr>
          <w:color w:val="231F20"/>
        </w:rPr>
        <w:t>an</w:t>
      </w:r>
      <w:r>
        <w:rPr>
          <w:color w:val="231F20"/>
          <w:spacing w:val="-9"/>
        </w:rPr>
        <w:t> </w:t>
      </w:r>
      <w:r>
        <w:rPr>
          <w:color w:val="231F20"/>
        </w:rPr>
        <w:t>effective</w:t>
      </w:r>
      <w:r>
        <w:rPr>
          <w:color w:val="231F20"/>
          <w:spacing w:val="-9"/>
        </w:rPr>
        <w:t> </w:t>
      </w:r>
      <w:r>
        <w:rPr>
          <w:color w:val="231F20"/>
        </w:rPr>
        <w:t>remedy</w:t>
      </w:r>
      <w:r>
        <w:rPr>
          <w:color w:val="231F20"/>
          <w:spacing w:val="-9"/>
        </w:rPr>
        <w:t> </w:t>
      </w:r>
      <w:r>
        <w:rPr>
          <w:color w:val="231F20"/>
        </w:rPr>
        <w:t>under</w:t>
      </w:r>
      <w:r>
        <w:rPr>
          <w:color w:val="231F20"/>
          <w:spacing w:val="-9"/>
        </w:rPr>
        <w:t> </w:t>
      </w:r>
      <w:r>
        <w:rPr>
          <w:color w:val="231F20"/>
        </w:rPr>
        <w:t>Article</w:t>
      </w:r>
      <w:r>
        <w:rPr>
          <w:color w:val="231F20"/>
          <w:spacing w:val="-9"/>
        </w:rPr>
        <w:t> </w:t>
      </w:r>
      <w:r>
        <w:rPr>
          <w:color w:val="231F20"/>
        </w:rPr>
        <w:t>47</w:t>
      </w:r>
      <w:r>
        <w:rPr>
          <w:color w:val="231F20"/>
          <w:spacing w:val="-9"/>
        </w:rPr>
        <w:t> </w:t>
      </w:r>
      <w:r>
        <w:rPr>
          <w:color w:val="231F20"/>
        </w:rPr>
        <w:t>CFR</w:t>
      </w:r>
      <w:r>
        <w:rPr>
          <w:color w:val="231F20"/>
          <w:spacing w:val="-9"/>
        </w:rPr>
        <w:t> </w:t>
      </w:r>
      <w:r>
        <w:rPr>
          <w:color w:val="231F20"/>
        </w:rPr>
        <w:t>for</w:t>
      </w:r>
      <w:r>
        <w:rPr>
          <w:color w:val="231F20"/>
          <w:spacing w:val="-9"/>
        </w:rPr>
        <w:t> </w:t>
      </w:r>
      <w:r>
        <w:rPr>
          <w:color w:val="231F20"/>
        </w:rPr>
        <w:t>two</w:t>
      </w:r>
      <w:r>
        <w:rPr>
          <w:color w:val="231F20"/>
          <w:spacing w:val="-9"/>
        </w:rPr>
        <w:t> </w:t>
      </w:r>
      <w:r>
        <w:rPr>
          <w:color w:val="231F20"/>
        </w:rPr>
        <w:t>other categories of subjects involved in the information exchange procedure be- sides the holder of the information: the taxpayer subject to the tax assess- ment</w:t>
      </w:r>
      <w:r>
        <w:rPr>
          <w:color w:val="231F20"/>
          <w:spacing w:val="1"/>
        </w:rPr>
        <w:t> </w:t>
      </w:r>
      <w:r>
        <w:rPr>
          <w:color w:val="231F20"/>
        </w:rPr>
        <w:t>and</w:t>
      </w:r>
      <w:r>
        <w:rPr>
          <w:color w:val="231F20"/>
          <w:spacing w:val="2"/>
        </w:rPr>
        <w:t> </w:t>
      </w:r>
      <w:r>
        <w:rPr>
          <w:color w:val="231F20"/>
        </w:rPr>
        <w:t>any</w:t>
      </w:r>
      <w:r>
        <w:rPr>
          <w:color w:val="231F20"/>
          <w:spacing w:val="1"/>
        </w:rPr>
        <w:t> </w:t>
      </w:r>
      <w:r>
        <w:rPr>
          <w:color w:val="231F20"/>
        </w:rPr>
        <w:t>third</w:t>
      </w:r>
      <w:r>
        <w:rPr>
          <w:color w:val="231F20"/>
          <w:spacing w:val="2"/>
        </w:rPr>
        <w:t> </w:t>
      </w:r>
      <w:r>
        <w:rPr>
          <w:color w:val="231F20"/>
        </w:rPr>
        <w:t>parties</w:t>
      </w:r>
      <w:r>
        <w:rPr>
          <w:color w:val="231F20"/>
          <w:spacing w:val="1"/>
        </w:rPr>
        <w:t> </w:t>
      </w:r>
      <w:r>
        <w:rPr>
          <w:color w:val="231F20"/>
        </w:rPr>
        <w:t>with</w:t>
      </w:r>
      <w:r>
        <w:rPr>
          <w:color w:val="231F20"/>
          <w:spacing w:val="2"/>
        </w:rPr>
        <w:t> </w:t>
      </w:r>
      <w:r>
        <w:rPr>
          <w:color w:val="231F20"/>
        </w:rPr>
        <w:t>whom</w:t>
      </w:r>
      <w:r>
        <w:rPr>
          <w:color w:val="231F20"/>
          <w:spacing w:val="1"/>
        </w:rPr>
        <w:t> </w:t>
      </w:r>
      <w:r>
        <w:rPr>
          <w:color w:val="231F20"/>
        </w:rPr>
        <w:t>the</w:t>
      </w:r>
      <w:r>
        <w:rPr>
          <w:color w:val="231F20"/>
          <w:spacing w:val="2"/>
        </w:rPr>
        <w:t> </w:t>
      </w:r>
      <w:r>
        <w:rPr>
          <w:color w:val="231F20"/>
        </w:rPr>
        <w:t>taxpayer</w:t>
      </w:r>
      <w:r>
        <w:rPr>
          <w:color w:val="231F20"/>
          <w:spacing w:val="1"/>
        </w:rPr>
        <w:t> </w:t>
      </w:r>
      <w:r>
        <w:rPr>
          <w:color w:val="231F20"/>
        </w:rPr>
        <w:t>had</w:t>
      </w:r>
      <w:r>
        <w:rPr>
          <w:color w:val="231F20"/>
          <w:spacing w:val="2"/>
        </w:rPr>
        <w:t> </w:t>
      </w:r>
      <w:r>
        <w:rPr>
          <w:color w:val="231F20"/>
        </w:rPr>
        <w:t>business</w:t>
      </w:r>
      <w:r>
        <w:rPr>
          <w:color w:val="231F20"/>
          <w:spacing w:val="2"/>
        </w:rPr>
        <w:t> </w:t>
      </w:r>
      <w:r>
        <w:rPr>
          <w:color w:val="231F20"/>
          <w:spacing w:val="-2"/>
        </w:rPr>
        <w:t>relations</w:t>
      </w:r>
    </w:p>
    <w:p>
      <w:pPr>
        <w:pStyle w:val="BodyText"/>
        <w:spacing w:before="11"/>
        <w:rPr>
          <w:sz w:val="7"/>
        </w:rPr>
      </w:pPr>
      <w:r>
        <w:rPr/>
        <mc:AlternateContent>
          <mc:Choice Requires="wps">
            <w:drawing>
              <wp:anchor distT="0" distB="0" distL="0" distR="0" allowOverlap="1" layoutInCell="1" locked="0" behindDoc="1" simplePos="0" relativeHeight="487593472">
                <wp:simplePos x="0" y="0"/>
                <wp:positionH relativeFrom="page">
                  <wp:posOffset>899999</wp:posOffset>
                </wp:positionH>
                <wp:positionV relativeFrom="paragraph">
                  <wp:posOffset>79064</wp:posOffset>
                </wp:positionV>
                <wp:extent cx="792480" cy="1270"/>
                <wp:effectExtent l="0" t="0" r="0" b="0"/>
                <wp:wrapTopAndBottom/>
                <wp:docPr id="34" name="Graphic 34"/>
                <wp:cNvGraphicFramePr>
                  <a:graphicFrameLocks/>
                </wp:cNvGraphicFramePr>
                <a:graphic>
                  <a:graphicData uri="http://schemas.microsoft.com/office/word/2010/wordprocessingShape">
                    <wps:wsp>
                      <wps:cNvPr id="34" name="Graphic 34"/>
                      <wps:cNvSpPr/>
                      <wps:spPr>
                        <a:xfrm>
                          <a:off x="0" y="0"/>
                          <a:ext cx="792480" cy="1270"/>
                        </a:xfrm>
                        <a:custGeom>
                          <a:avLst/>
                          <a:gdLst/>
                          <a:ahLst/>
                          <a:cxnLst/>
                          <a:rect l="l" t="t" r="r" b="b"/>
                          <a:pathLst>
                            <a:path w="792480" h="0">
                              <a:moveTo>
                                <a:pt x="0" y="0"/>
                              </a:moveTo>
                              <a:lnTo>
                                <a:pt x="791997"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shape style="position:absolute;margin-left:70.866096pt;margin-top:6.22556pt;width:62.4pt;height:.1pt;mso-position-horizontal-relative:page;mso-position-vertical-relative:paragraph;z-index:-15723008;mso-wrap-distance-left:0;mso-wrap-distance-right:0" id="docshape28" coordorigin="1417,125" coordsize="1248,0" path="m1417,125l2665,125e" filled="false" stroked="true" strokeweight=".5pt" strokecolor="#231f20">
                <v:path arrowok="t"/>
                <v:stroke dashstyle="solid"/>
                <w10:wrap type="topAndBottom"/>
              </v:shape>
            </w:pict>
          </mc:Fallback>
        </mc:AlternateContent>
      </w:r>
    </w:p>
    <w:p>
      <w:pPr>
        <w:spacing w:line="225" w:lineRule="auto" w:before="201"/>
        <w:ind w:left="157" w:right="118" w:firstLine="0"/>
        <w:jc w:val="both"/>
        <w:rPr>
          <w:sz w:val="19"/>
        </w:rPr>
      </w:pPr>
      <w:r>
        <w:rPr>
          <w:color w:val="231F20"/>
          <w:position w:val="6"/>
          <w:sz w:val="11"/>
        </w:rPr>
        <w:t>16</w:t>
      </w:r>
      <w:r>
        <w:rPr>
          <w:color w:val="231F20"/>
          <w:spacing w:val="64"/>
          <w:position w:val="6"/>
          <w:sz w:val="11"/>
        </w:rPr>
        <w:t>  </w:t>
      </w:r>
      <w:r>
        <w:rPr>
          <w:color w:val="231F20"/>
          <w:sz w:val="19"/>
        </w:rPr>
        <w:t>Case</w:t>
      </w:r>
      <w:r>
        <w:rPr>
          <w:color w:val="231F20"/>
          <w:spacing w:val="21"/>
          <w:sz w:val="19"/>
        </w:rPr>
        <w:t> </w:t>
      </w:r>
      <w:r>
        <w:rPr>
          <w:color w:val="231F20"/>
          <w:sz w:val="19"/>
        </w:rPr>
        <w:t>C-245/19,</w:t>
      </w:r>
      <w:r>
        <w:rPr>
          <w:color w:val="231F20"/>
          <w:spacing w:val="21"/>
          <w:sz w:val="19"/>
        </w:rPr>
        <w:t> </w:t>
      </w:r>
      <w:r>
        <w:rPr>
          <w:color w:val="231F20"/>
          <w:sz w:val="19"/>
        </w:rPr>
        <w:t>points</w:t>
      </w:r>
      <w:r>
        <w:rPr>
          <w:color w:val="231F20"/>
          <w:spacing w:val="21"/>
          <w:sz w:val="19"/>
        </w:rPr>
        <w:t> </w:t>
      </w:r>
      <w:r>
        <w:rPr>
          <w:color w:val="231F20"/>
          <w:sz w:val="19"/>
        </w:rPr>
        <w:t>56</w:t>
      </w:r>
      <w:r>
        <w:rPr>
          <w:color w:val="231F20"/>
          <w:spacing w:val="21"/>
          <w:sz w:val="19"/>
        </w:rPr>
        <w:t> </w:t>
      </w:r>
      <w:r>
        <w:rPr>
          <w:color w:val="231F20"/>
          <w:sz w:val="19"/>
        </w:rPr>
        <w:t>to</w:t>
      </w:r>
      <w:r>
        <w:rPr>
          <w:color w:val="231F20"/>
          <w:spacing w:val="21"/>
          <w:sz w:val="19"/>
        </w:rPr>
        <w:t> </w:t>
      </w:r>
      <w:r>
        <w:rPr>
          <w:color w:val="231F20"/>
          <w:sz w:val="19"/>
        </w:rPr>
        <w:t>69.</w:t>
      </w:r>
      <w:r>
        <w:rPr>
          <w:color w:val="231F20"/>
          <w:spacing w:val="21"/>
          <w:sz w:val="19"/>
        </w:rPr>
        <w:t> </w:t>
      </w:r>
      <w:r>
        <w:rPr>
          <w:color w:val="231F20"/>
          <w:sz w:val="19"/>
        </w:rPr>
        <w:t>For</w:t>
      </w:r>
      <w:r>
        <w:rPr>
          <w:color w:val="231F20"/>
          <w:spacing w:val="21"/>
          <w:sz w:val="19"/>
        </w:rPr>
        <w:t> </w:t>
      </w:r>
      <w:r>
        <w:rPr>
          <w:color w:val="231F20"/>
          <w:sz w:val="19"/>
        </w:rPr>
        <w:t>a</w:t>
      </w:r>
      <w:r>
        <w:rPr>
          <w:color w:val="231F20"/>
          <w:spacing w:val="21"/>
          <w:sz w:val="19"/>
        </w:rPr>
        <w:t> </w:t>
      </w:r>
      <w:r>
        <w:rPr>
          <w:color w:val="231F20"/>
          <w:sz w:val="19"/>
        </w:rPr>
        <w:t>detailed</w:t>
      </w:r>
      <w:r>
        <w:rPr>
          <w:color w:val="231F20"/>
          <w:spacing w:val="21"/>
          <w:sz w:val="19"/>
        </w:rPr>
        <w:t> </w:t>
      </w:r>
      <w:r>
        <w:rPr>
          <w:color w:val="231F20"/>
          <w:sz w:val="19"/>
        </w:rPr>
        <w:t>comment</w:t>
      </w:r>
      <w:r>
        <w:rPr>
          <w:color w:val="231F20"/>
          <w:spacing w:val="21"/>
          <w:sz w:val="19"/>
        </w:rPr>
        <w:t> </w:t>
      </w:r>
      <w:r>
        <w:rPr>
          <w:color w:val="231F20"/>
          <w:sz w:val="19"/>
        </w:rPr>
        <w:t>on</w:t>
      </w:r>
      <w:r>
        <w:rPr>
          <w:color w:val="231F20"/>
          <w:spacing w:val="21"/>
          <w:sz w:val="19"/>
        </w:rPr>
        <w:t> </w:t>
      </w:r>
      <w:r>
        <w:rPr>
          <w:color w:val="231F20"/>
          <w:sz w:val="19"/>
        </w:rPr>
        <w:t>this</w:t>
      </w:r>
      <w:r>
        <w:rPr>
          <w:color w:val="231F20"/>
          <w:spacing w:val="21"/>
          <w:sz w:val="19"/>
        </w:rPr>
        <w:t> </w:t>
      </w:r>
      <w:r>
        <w:rPr>
          <w:color w:val="231F20"/>
          <w:sz w:val="19"/>
        </w:rPr>
        <w:t>crucial</w:t>
      </w:r>
      <w:r>
        <w:rPr>
          <w:color w:val="231F20"/>
          <w:spacing w:val="21"/>
          <w:sz w:val="19"/>
        </w:rPr>
        <w:t> </w:t>
      </w:r>
      <w:r>
        <w:rPr>
          <w:color w:val="231F20"/>
          <w:sz w:val="19"/>
        </w:rPr>
        <w:t>article</w:t>
      </w:r>
      <w:r>
        <w:rPr>
          <w:color w:val="231F20"/>
          <w:spacing w:val="21"/>
          <w:sz w:val="19"/>
        </w:rPr>
        <w:t> </w:t>
      </w:r>
      <w:r>
        <w:rPr>
          <w:color w:val="231F20"/>
          <w:sz w:val="19"/>
        </w:rPr>
        <w:t>52</w:t>
      </w:r>
      <w:r>
        <w:rPr>
          <w:color w:val="231F20"/>
          <w:spacing w:val="21"/>
          <w:sz w:val="19"/>
        </w:rPr>
        <w:t> </w:t>
      </w:r>
      <w:r>
        <w:rPr>
          <w:color w:val="231F20"/>
          <w:sz w:val="19"/>
        </w:rPr>
        <w:t>of the Charter, see T. Lock in the above mentioned </w:t>
      </w:r>
      <w:r>
        <w:rPr>
          <w:i/>
          <w:color w:val="231F20"/>
          <w:sz w:val="19"/>
        </w:rPr>
        <w:t>Commentary on the EU Treaties, </w:t>
      </w:r>
      <w:r>
        <w:rPr>
          <w:color w:val="231F20"/>
          <w:sz w:val="19"/>
        </w:rPr>
        <w:t>of M. Kellerbauer,</w:t>
      </w:r>
      <w:r>
        <w:rPr>
          <w:color w:val="231F20"/>
          <w:spacing w:val="40"/>
          <w:sz w:val="19"/>
        </w:rPr>
        <w:t> </w:t>
      </w:r>
      <w:r>
        <w:rPr>
          <w:color w:val="231F20"/>
          <w:sz w:val="19"/>
        </w:rPr>
        <w:t>M.</w:t>
      </w:r>
      <w:r>
        <w:rPr>
          <w:color w:val="231F20"/>
          <w:spacing w:val="40"/>
          <w:sz w:val="19"/>
        </w:rPr>
        <w:t> </w:t>
      </w:r>
      <w:r>
        <w:rPr>
          <w:color w:val="231F20"/>
          <w:sz w:val="19"/>
        </w:rPr>
        <w:t>Klamer</w:t>
      </w:r>
      <w:r>
        <w:rPr>
          <w:color w:val="231F20"/>
          <w:spacing w:val="40"/>
          <w:sz w:val="19"/>
        </w:rPr>
        <w:t> </w:t>
      </w:r>
      <w:r>
        <w:rPr>
          <w:color w:val="231F20"/>
          <w:sz w:val="19"/>
        </w:rPr>
        <w:t>and</w:t>
      </w:r>
      <w:r>
        <w:rPr>
          <w:color w:val="231F20"/>
          <w:spacing w:val="40"/>
          <w:sz w:val="19"/>
        </w:rPr>
        <w:t> </w:t>
      </w:r>
      <w:r>
        <w:rPr>
          <w:color w:val="231F20"/>
          <w:sz w:val="19"/>
        </w:rPr>
        <w:t>J. Tomkin</w:t>
      </w:r>
      <w:r>
        <w:rPr>
          <w:color w:val="231F20"/>
          <w:spacing w:val="40"/>
          <w:sz w:val="19"/>
        </w:rPr>
        <w:t> </w:t>
      </w:r>
      <w:r>
        <w:rPr>
          <w:color w:val="231F20"/>
          <w:sz w:val="19"/>
        </w:rPr>
        <w:t>(editors),</w:t>
      </w:r>
      <w:r>
        <w:rPr>
          <w:color w:val="231F20"/>
          <w:spacing w:val="40"/>
          <w:sz w:val="19"/>
        </w:rPr>
        <w:t> </w:t>
      </w:r>
      <w:r>
        <w:rPr>
          <w:color w:val="231F20"/>
          <w:sz w:val="19"/>
        </w:rPr>
        <w:t>Oxford,</w:t>
      </w:r>
      <w:r>
        <w:rPr>
          <w:color w:val="231F20"/>
          <w:spacing w:val="40"/>
          <w:sz w:val="19"/>
        </w:rPr>
        <w:t> </w:t>
      </w:r>
      <w:r>
        <w:rPr>
          <w:color w:val="231F20"/>
          <w:sz w:val="19"/>
        </w:rPr>
        <w:t>2024.</w:t>
      </w:r>
    </w:p>
    <w:p>
      <w:pPr>
        <w:spacing w:line="227" w:lineRule="exact" w:before="0"/>
        <w:ind w:left="157" w:right="0" w:firstLine="0"/>
        <w:jc w:val="both"/>
        <w:rPr>
          <w:sz w:val="19"/>
        </w:rPr>
      </w:pPr>
      <w:r>
        <w:rPr>
          <w:color w:val="231F20"/>
          <w:position w:val="6"/>
          <w:sz w:val="11"/>
        </w:rPr>
        <w:t>17</w:t>
      </w:r>
      <w:r>
        <w:rPr>
          <w:color w:val="231F20"/>
          <w:spacing w:val="52"/>
          <w:position w:val="6"/>
          <w:sz w:val="11"/>
        </w:rPr>
        <w:t>  </w:t>
      </w:r>
      <w:r>
        <w:rPr>
          <w:color w:val="231F20"/>
          <w:sz w:val="19"/>
        </w:rPr>
        <w:t>Case</w:t>
      </w:r>
      <w:r>
        <w:rPr>
          <w:color w:val="231F20"/>
          <w:spacing w:val="1"/>
          <w:sz w:val="19"/>
        </w:rPr>
        <w:t> </w:t>
      </w:r>
      <w:r>
        <w:rPr>
          <w:i/>
          <w:color w:val="231F20"/>
          <w:sz w:val="19"/>
        </w:rPr>
        <w:t>Berlioz,</w:t>
      </w:r>
      <w:r>
        <w:rPr>
          <w:i/>
          <w:color w:val="231F20"/>
          <w:spacing w:val="-1"/>
          <w:sz w:val="19"/>
        </w:rPr>
        <w:t> </w:t>
      </w:r>
      <w:r>
        <w:rPr>
          <w:color w:val="231F20"/>
          <w:sz w:val="19"/>
        </w:rPr>
        <w:t>C-682/15, points</w:t>
      </w:r>
      <w:r>
        <w:rPr>
          <w:color w:val="231F20"/>
          <w:spacing w:val="-1"/>
          <w:sz w:val="19"/>
        </w:rPr>
        <w:t> </w:t>
      </w:r>
      <w:r>
        <w:rPr>
          <w:color w:val="231F20"/>
          <w:sz w:val="19"/>
        </w:rPr>
        <w:t>64 to</w:t>
      </w:r>
      <w:r>
        <w:rPr>
          <w:color w:val="231F20"/>
          <w:spacing w:val="-1"/>
          <w:sz w:val="19"/>
        </w:rPr>
        <w:t> </w:t>
      </w:r>
      <w:r>
        <w:rPr>
          <w:color w:val="231F20"/>
          <w:spacing w:val="-5"/>
          <w:sz w:val="19"/>
        </w:rPr>
        <w:t>74.</w:t>
      </w:r>
    </w:p>
    <w:p>
      <w:pPr>
        <w:spacing w:line="225" w:lineRule="auto" w:before="3"/>
        <w:ind w:left="157" w:right="117" w:firstLine="0"/>
        <w:jc w:val="both"/>
        <w:rPr>
          <w:sz w:val="19"/>
        </w:rPr>
      </w:pPr>
      <w:r>
        <w:rPr>
          <w:color w:val="231F20"/>
          <w:position w:val="6"/>
          <w:sz w:val="11"/>
        </w:rPr>
        <w:t>18</w:t>
      </w:r>
      <w:r>
        <w:rPr>
          <w:color w:val="231F20"/>
          <w:spacing w:val="68"/>
          <w:position w:val="6"/>
          <w:sz w:val="11"/>
        </w:rPr>
        <w:t>  </w:t>
      </w:r>
      <w:r>
        <w:rPr>
          <w:color w:val="231F20"/>
          <w:sz w:val="19"/>
        </w:rPr>
        <w:t>Case</w:t>
      </w:r>
      <w:r>
        <w:rPr>
          <w:color w:val="231F20"/>
          <w:spacing w:val="30"/>
          <w:sz w:val="19"/>
        </w:rPr>
        <w:t> </w:t>
      </w:r>
      <w:r>
        <w:rPr>
          <w:i/>
          <w:color w:val="231F20"/>
          <w:sz w:val="19"/>
        </w:rPr>
        <w:t>Berlioz,</w:t>
      </w:r>
      <w:r>
        <w:rPr>
          <w:i/>
          <w:color w:val="231F20"/>
          <w:spacing w:val="30"/>
          <w:sz w:val="19"/>
        </w:rPr>
        <w:t> </w:t>
      </w:r>
      <w:r>
        <w:rPr>
          <w:color w:val="231F20"/>
          <w:sz w:val="19"/>
        </w:rPr>
        <w:t>C-682/15,</w:t>
      </w:r>
      <w:r>
        <w:rPr>
          <w:color w:val="231F20"/>
          <w:spacing w:val="30"/>
          <w:sz w:val="19"/>
        </w:rPr>
        <w:t> </w:t>
      </w:r>
      <w:r>
        <w:rPr>
          <w:color w:val="231F20"/>
          <w:sz w:val="19"/>
        </w:rPr>
        <w:t>points</w:t>
      </w:r>
      <w:r>
        <w:rPr>
          <w:color w:val="231F20"/>
          <w:spacing w:val="30"/>
          <w:sz w:val="19"/>
        </w:rPr>
        <w:t> </w:t>
      </w:r>
      <w:r>
        <w:rPr>
          <w:color w:val="231F20"/>
          <w:sz w:val="19"/>
        </w:rPr>
        <w:t>92</w:t>
      </w:r>
      <w:r>
        <w:rPr>
          <w:color w:val="231F20"/>
          <w:spacing w:val="30"/>
          <w:sz w:val="19"/>
        </w:rPr>
        <w:t> </w:t>
      </w:r>
      <w:r>
        <w:rPr>
          <w:color w:val="231F20"/>
          <w:sz w:val="19"/>
        </w:rPr>
        <w:t>to</w:t>
      </w:r>
      <w:r>
        <w:rPr>
          <w:color w:val="231F20"/>
          <w:spacing w:val="30"/>
          <w:sz w:val="19"/>
        </w:rPr>
        <w:t> </w:t>
      </w:r>
      <w:r>
        <w:rPr>
          <w:color w:val="231F20"/>
          <w:sz w:val="19"/>
        </w:rPr>
        <w:t>100,</w:t>
      </w:r>
      <w:r>
        <w:rPr>
          <w:color w:val="231F20"/>
          <w:spacing w:val="30"/>
          <w:sz w:val="19"/>
        </w:rPr>
        <w:t> </w:t>
      </w:r>
      <w:r>
        <w:rPr>
          <w:color w:val="231F20"/>
          <w:sz w:val="19"/>
        </w:rPr>
        <w:t>fully</w:t>
      </w:r>
      <w:r>
        <w:rPr>
          <w:color w:val="231F20"/>
          <w:spacing w:val="30"/>
          <w:sz w:val="19"/>
        </w:rPr>
        <w:t> </w:t>
      </w:r>
      <w:r>
        <w:rPr>
          <w:color w:val="231F20"/>
          <w:sz w:val="19"/>
        </w:rPr>
        <w:t>recalled</w:t>
      </w:r>
      <w:r>
        <w:rPr>
          <w:color w:val="231F20"/>
          <w:spacing w:val="30"/>
          <w:sz w:val="19"/>
        </w:rPr>
        <w:t> </w:t>
      </w:r>
      <w:r>
        <w:rPr>
          <w:color w:val="231F20"/>
          <w:sz w:val="19"/>
        </w:rPr>
        <w:t>in</w:t>
      </w:r>
      <w:r>
        <w:rPr>
          <w:color w:val="231F20"/>
          <w:spacing w:val="30"/>
          <w:sz w:val="19"/>
        </w:rPr>
        <w:t> </w:t>
      </w:r>
      <w:r>
        <w:rPr>
          <w:color w:val="231F20"/>
          <w:sz w:val="19"/>
        </w:rPr>
        <w:t>the</w:t>
      </w:r>
      <w:r>
        <w:rPr>
          <w:color w:val="231F20"/>
          <w:spacing w:val="30"/>
          <w:sz w:val="19"/>
        </w:rPr>
        <w:t> </w:t>
      </w:r>
      <w:r>
        <w:rPr>
          <w:color w:val="231F20"/>
          <w:sz w:val="19"/>
        </w:rPr>
        <w:t>subsequent</w:t>
      </w:r>
      <w:r>
        <w:rPr>
          <w:color w:val="231F20"/>
          <w:spacing w:val="30"/>
          <w:sz w:val="19"/>
        </w:rPr>
        <w:t> </w:t>
      </w:r>
      <w:r>
        <w:rPr>
          <w:color w:val="231F20"/>
          <w:sz w:val="19"/>
        </w:rPr>
        <w:t>judgment C-437/19, point 91.</w:t>
      </w:r>
    </w:p>
    <w:p>
      <w:pPr>
        <w:spacing w:after="0" w:line="225" w:lineRule="auto"/>
        <w:jc w:val="both"/>
        <w:rPr>
          <w:sz w:val="19"/>
        </w:rPr>
        <w:sectPr>
          <w:pgSz w:w="9640" w:h="13610"/>
          <w:pgMar w:header="0" w:footer="625" w:top="1260" w:bottom="820" w:left="1260" w:right="1240"/>
        </w:sectPr>
      </w:pPr>
    </w:p>
    <w:p>
      <w:pPr>
        <w:pStyle w:val="BodyText"/>
        <w:spacing w:line="225" w:lineRule="auto" w:before="117"/>
        <w:ind w:left="100" w:right="174"/>
        <w:jc w:val="both"/>
      </w:pPr>
      <w:r>
        <w:rPr>
          <w:color w:val="231F20"/>
        </w:rPr>
        <w:t>in the requested State. The Union judges first noted that the injunction decision notified by the requested authority to the holder of the </w:t>
      </w:r>
      <w:r>
        <w:rPr>
          <w:color w:val="231F20"/>
        </w:rPr>
        <w:t>informa- tion</w:t>
      </w:r>
      <w:r>
        <w:rPr>
          <w:color w:val="231F20"/>
          <w:spacing w:val="-15"/>
        </w:rPr>
        <w:t> </w:t>
      </w:r>
      <w:r>
        <w:rPr>
          <w:color w:val="231F20"/>
        </w:rPr>
        <w:t>is</w:t>
      </w:r>
      <w:r>
        <w:rPr>
          <w:color w:val="231F20"/>
          <w:spacing w:val="-15"/>
        </w:rPr>
        <w:t> </w:t>
      </w:r>
      <w:r>
        <w:rPr>
          <w:color w:val="231F20"/>
        </w:rPr>
        <w:t>adopted</w:t>
      </w:r>
      <w:r>
        <w:rPr>
          <w:color w:val="231F20"/>
          <w:spacing w:val="-15"/>
        </w:rPr>
        <w:t> </w:t>
      </w:r>
      <w:r>
        <w:rPr>
          <w:color w:val="231F20"/>
        </w:rPr>
        <w:t>in</w:t>
      </w:r>
      <w:r>
        <w:rPr>
          <w:color w:val="231F20"/>
          <w:spacing w:val="-15"/>
        </w:rPr>
        <w:t> </w:t>
      </w:r>
      <w:r>
        <w:rPr>
          <w:color w:val="231F20"/>
        </w:rPr>
        <w:t>a</w:t>
      </w:r>
      <w:r>
        <w:rPr>
          <w:color w:val="231F20"/>
          <w:spacing w:val="-15"/>
        </w:rPr>
        <w:t> </w:t>
      </w:r>
      <w:r>
        <w:rPr>
          <w:color w:val="231F20"/>
        </w:rPr>
        <w:t>preliminary</w:t>
      </w:r>
      <w:r>
        <w:rPr>
          <w:color w:val="231F20"/>
          <w:spacing w:val="-15"/>
        </w:rPr>
        <w:t> </w:t>
      </w:r>
      <w:r>
        <w:rPr>
          <w:color w:val="231F20"/>
        </w:rPr>
        <w:t>phase</w:t>
      </w:r>
      <w:r>
        <w:rPr>
          <w:color w:val="231F20"/>
          <w:spacing w:val="-15"/>
        </w:rPr>
        <w:t> </w:t>
      </w:r>
      <w:r>
        <w:rPr>
          <w:color w:val="231F20"/>
        </w:rPr>
        <w:t>concerning</w:t>
      </w:r>
      <w:r>
        <w:rPr>
          <w:color w:val="231F20"/>
          <w:spacing w:val="-15"/>
        </w:rPr>
        <w:t> </w:t>
      </w:r>
      <w:r>
        <w:rPr>
          <w:color w:val="231F20"/>
        </w:rPr>
        <w:t>the</w:t>
      </w:r>
      <w:r>
        <w:rPr>
          <w:color w:val="231F20"/>
          <w:spacing w:val="-15"/>
        </w:rPr>
        <w:t> </w:t>
      </w:r>
      <w:r>
        <w:rPr>
          <w:color w:val="231F20"/>
        </w:rPr>
        <w:t>assessment</w:t>
      </w:r>
      <w:r>
        <w:rPr>
          <w:color w:val="231F20"/>
          <w:spacing w:val="-15"/>
        </w:rPr>
        <w:t> </w:t>
      </w:r>
      <w:r>
        <w:rPr>
          <w:color w:val="231F20"/>
        </w:rPr>
        <w:t>procedure against</w:t>
      </w:r>
      <w:r>
        <w:rPr>
          <w:color w:val="231F20"/>
          <w:spacing w:val="-1"/>
        </w:rPr>
        <w:t> </w:t>
      </w:r>
      <w:r>
        <w:rPr>
          <w:color w:val="231F20"/>
        </w:rPr>
        <w:t>the</w:t>
      </w:r>
      <w:r>
        <w:rPr>
          <w:color w:val="231F20"/>
          <w:spacing w:val="-1"/>
        </w:rPr>
        <w:t> </w:t>
      </w:r>
      <w:r>
        <w:rPr>
          <w:color w:val="231F20"/>
        </w:rPr>
        <w:t>taxpayer.</w:t>
      </w:r>
      <w:r>
        <w:rPr>
          <w:color w:val="231F20"/>
          <w:spacing w:val="-1"/>
        </w:rPr>
        <w:t> </w:t>
      </w:r>
      <w:r>
        <w:rPr>
          <w:color w:val="231F20"/>
        </w:rPr>
        <w:t>Consequently,</w:t>
      </w:r>
      <w:r>
        <w:rPr>
          <w:color w:val="231F20"/>
          <w:spacing w:val="-1"/>
        </w:rPr>
        <w:t> </w:t>
      </w:r>
      <w:r>
        <w:rPr>
          <w:color w:val="231F20"/>
        </w:rPr>
        <w:t>it</w:t>
      </w:r>
      <w:r>
        <w:rPr>
          <w:color w:val="231F20"/>
          <w:spacing w:val="-1"/>
        </w:rPr>
        <w:t> </w:t>
      </w:r>
      <w:r>
        <w:rPr>
          <w:color w:val="231F20"/>
        </w:rPr>
        <w:t>is</w:t>
      </w:r>
      <w:r>
        <w:rPr>
          <w:color w:val="231F20"/>
          <w:spacing w:val="-1"/>
        </w:rPr>
        <w:t> </w:t>
      </w:r>
      <w:r>
        <w:rPr>
          <w:color w:val="231F20"/>
        </w:rPr>
        <w:t>only</w:t>
      </w:r>
      <w:r>
        <w:rPr>
          <w:color w:val="231F20"/>
          <w:spacing w:val="-1"/>
        </w:rPr>
        <w:t> </w:t>
      </w:r>
      <w:r>
        <w:rPr>
          <w:color w:val="231F20"/>
        </w:rPr>
        <w:t>within</w:t>
      </w:r>
      <w:r>
        <w:rPr>
          <w:color w:val="231F20"/>
          <w:spacing w:val="-1"/>
        </w:rPr>
        <w:t> </w:t>
      </w:r>
      <w:r>
        <w:rPr>
          <w:color w:val="231F20"/>
        </w:rPr>
        <w:t>the</w:t>
      </w:r>
      <w:r>
        <w:rPr>
          <w:color w:val="231F20"/>
          <w:spacing w:val="-1"/>
        </w:rPr>
        <w:t> </w:t>
      </w:r>
      <w:r>
        <w:rPr>
          <w:color w:val="231F20"/>
        </w:rPr>
        <w:t>framework</w:t>
      </w:r>
      <w:r>
        <w:rPr>
          <w:color w:val="231F20"/>
          <w:spacing w:val="-1"/>
        </w:rPr>
        <w:t> </w:t>
      </w:r>
      <w:r>
        <w:rPr>
          <w:color w:val="231F20"/>
        </w:rPr>
        <w:t>of</w:t>
      </w:r>
      <w:r>
        <w:rPr>
          <w:color w:val="231F20"/>
          <w:spacing w:val="-1"/>
        </w:rPr>
        <w:t> </w:t>
      </w:r>
      <w:r>
        <w:rPr>
          <w:color w:val="231F20"/>
        </w:rPr>
        <w:t>the appeal</w:t>
      </w:r>
      <w:r>
        <w:rPr>
          <w:color w:val="231F20"/>
          <w:spacing w:val="-7"/>
        </w:rPr>
        <w:t> </w:t>
      </w:r>
      <w:r>
        <w:rPr>
          <w:color w:val="231F20"/>
        </w:rPr>
        <w:t>procedure</w:t>
      </w:r>
      <w:r>
        <w:rPr>
          <w:color w:val="231F20"/>
          <w:spacing w:val="-7"/>
        </w:rPr>
        <w:t> </w:t>
      </w:r>
      <w:r>
        <w:rPr>
          <w:color w:val="231F20"/>
        </w:rPr>
        <w:t>against</w:t>
      </w:r>
      <w:r>
        <w:rPr>
          <w:color w:val="231F20"/>
          <w:spacing w:val="-7"/>
        </w:rPr>
        <w:t> </w:t>
      </w:r>
      <w:r>
        <w:rPr>
          <w:color w:val="231F20"/>
        </w:rPr>
        <w:t>the</w:t>
      </w:r>
      <w:r>
        <w:rPr>
          <w:color w:val="231F20"/>
          <w:spacing w:val="-7"/>
        </w:rPr>
        <w:t> </w:t>
      </w:r>
      <w:r>
        <w:rPr>
          <w:color w:val="231F20"/>
        </w:rPr>
        <w:t>final</w:t>
      </w:r>
      <w:r>
        <w:rPr>
          <w:color w:val="231F20"/>
          <w:spacing w:val="-7"/>
        </w:rPr>
        <w:t> </w:t>
      </w:r>
      <w:r>
        <w:rPr>
          <w:color w:val="231F20"/>
        </w:rPr>
        <w:t>act</w:t>
      </w:r>
      <w:r>
        <w:rPr>
          <w:color w:val="231F20"/>
          <w:spacing w:val="-7"/>
        </w:rPr>
        <w:t> </w:t>
      </w:r>
      <w:r>
        <w:rPr>
          <w:color w:val="231F20"/>
        </w:rPr>
        <w:t>of</w:t>
      </w:r>
      <w:r>
        <w:rPr>
          <w:color w:val="231F20"/>
          <w:spacing w:val="-7"/>
        </w:rPr>
        <w:t> </w:t>
      </w:r>
      <w:r>
        <w:rPr>
          <w:color w:val="231F20"/>
        </w:rPr>
        <w:t>tax</w:t>
      </w:r>
      <w:r>
        <w:rPr>
          <w:color w:val="231F20"/>
          <w:spacing w:val="-7"/>
        </w:rPr>
        <w:t> </w:t>
      </w:r>
      <w:r>
        <w:rPr>
          <w:color w:val="231F20"/>
        </w:rPr>
        <w:t>adjustment,</w:t>
      </w:r>
      <w:r>
        <w:rPr>
          <w:color w:val="231F20"/>
          <w:spacing w:val="-7"/>
        </w:rPr>
        <w:t> </w:t>
      </w:r>
      <w:r>
        <w:rPr>
          <w:color w:val="231F20"/>
        </w:rPr>
        <w:t>based</w:t>
      </w:r>
      <w:r>
        <w:rPr>
          <w:color w:val="231F20"/>
          <w:spacing w:val="-7"/>
        </w:rPr>
        <w:t> </w:t>
      </w:r>
      <w:r>
        <w:rPr>
          <w:color w:val="231F20"/>
        </w:rPr>
        <w:t>on</w:t>
      </w:r>
      <w:r>
        <w:rPr>
          <w:color w:val="231F20"/>
          <w:spacing w:val="-7"/>
        </w:rPr>
        <w:t> </w:t>
      </w:r>
      <w:r>
        <w:rPr>
          <w:color w:val="231F20"/>
        </w:rPr>
        <w:t>evidence collected through the information exchange procedure, that the taxpayer will have the right to challenge «incidentally» both the legality of the in- junction decision notified to the holder of the information and the ways in</w:t>
      </w:r>
      <w:r>
        <w:rPr>
          <w:color w:val="231F20"/>
          <w:spacing w:val="-6"/>
        </w:rPr>
        <w:t> </w:t>
      </w:r>
      <w:r>
        <w:rPr>
          <w:color w:val="231F20"/>
        </w:rPr>
        <w:t>which</w:t>
      </w:r>
      <w:r>
        <w:rPr>
          <w:color w:val="231F20"/>
          <w:spacing w:val="-6"/>
        </w:rPr>
        <w:t> </w:t>
      </w:r>
      <w:r>
        <w:rPr>
          <w:color w:val="231F20"/>
        </w:rPr>
        <w:t>the</w:t>
      </w:r>
      <w:r>
        <w:rPr>
          <w:color w:val="231F20"/>
          <w:spacing w:val="-6"/>
        </w:rPr>
        <w:t> </w:t>
      </w:r>
      <w:r>
        <w:rPr>
          <w:color w:val="231F20"/>
        </w:rPr>
        <w:t>evidence</w:t>
      </w:r>
      <w:r>
        <w:rPr>
          <w:color w:val="231F20"/>
          <w:spacing w:val="-6"/>
        </w:rPr>
        <w:t> </w:t>
      </w:r>
      <w:r>
        <w:rPr>
          <w:color w:val="231F20"/>
        </w:rPr>
        <w:t>had</w:t>
      </w:r>
      <w:r>
        <w:rPr>
          <w:color w:val="231F20"/>
          <w:spacing w:val="-6"/>
        </w:rPr>
        <w:t> </w:t>
      </w:r>
      <w:r>
        <w:rPr>
          <w:color w:val="231F20"/>
        </w:rPr>
        <w:t>been</w:t>
      </w:r>
      <w:r>
        <w:rPr>
          <w:color w:val="231F20"/>
          <w:spacing w:val="-6"/>
        </w:rPr>
        <w:t> </w:t>
      </w:r>
      <w:r>
        <w:rPr>
          <w:color w:val="231F20"/>
        </w:rPr>
        <w:t>collected</w:t>
      </w:r>
      <w:r>
        <w:rPr>
          <w:color w:val="231F20"/>
          <w:spacing w:val="-6"/>
        </w:rPr>
        <w:t> </w:t>
      </w:r>
      <w:r>
        <w:rPr>
          <w:color w:val="231F20"/>
        </w:rPr>
        <w:t>by</w:t>
      </w:r>
      <w:r>
        <w:rPr>
          <w:color w:val="231F20"/>
          <w:spacing w:val="-6"/>
        </w:rPr>
        <w:t> </w:t>
      </w:r>
      <w:r>
        <w:rPr>
          <w:color w:val="231F20"/>
        </w:rPr>
        <w:t>implementing</w:t>
      </w:r>
      <w:r>
        <w:rPr>
          <w:color w:val="231F20"/>
          <w:spacing w:val="-6"/>
        </w:rPr>
        <w:t> </w:t>
      </w:r>
      <w:r>
        <w:rPr>
          <w:color w:val="231F20"/>
        </w:rPr>
        <w:t>that</w:t>
      </w:r>
      <w:r>
        <w:rPr>
          <w:color w:val="231F20"/>
          <w:spacing w:val="-6"/>
        </w:rPr>
        <w:t> </w:t>
      </w:r>
      <w:r>
        <w:rPr>
          <w:color w:val="231F20"/>
        </w:rPr>
        <w:t>decision</w:t>
      </w:r>
      <w:r>
        <w:rPr>
          <w:color w:val="231F20"/>
          <w:position w:val="8"/>
          <w:sz w:val="14"/>
        </w:rPr>
        <w:t>19</w:t>
      </w:r>
      <w:r>
        <w:rPr>
          <w:color w:val="231F20"/>
        </w:rPr>
        <w:t>. The</w:t>
      </w:r>
      <w:r>
        <w:rPr>
          <w:color w:val="231F20"/>
          <w:spacing w:val="-9"/>
        </w:rPr>
        <w:t> </w:t>
      </w:r>
      <w:r>
        <w:rPr>
          <w:color w:val="231F20"/>
        </w:rPr>
        <w:t>Court</w:t>
      </w:r>
      <w:r>
        <w:rPr>
          <w:color w:val="231F20"/>
          <w:spacing w:val="-9"/>
        </w:rPr>
        <w:t> </w:t>
      </w:r>
      <w:r>
        <w:rPr>
          <w:color w:val="231F20"/>
        </w:rPr>
        <w:t>of</w:t>
      </w:r>
      <w:r>
        <w:rPr>
          <w:color w:val="231F20"/>
          <w:spacing w:val="-9"/>
        </w:rPr>
        <w:t> </w:t>
      </w:r>
      <w:r>
        <w:rPr>
          <w:color w:val="231F20"/>
        </w:rPr>
        <w:t>Justice</w:t>
      </w:r>
      <w:r>
        <w:rPr>
          <w:color w:val="231F20"/>
          <w:spacing w:val="-9"/>
        </w:rPr>
        <w:t> </w:t>
      </w:r>
      <w:r>
        <w:rPr>
          <w:color w:val="231F20"/>
        </w:rPr>
        <w:t>reached</w:t>
      </w:r>
      <w:r>
        <w:rPr>
          <w:color w:val="231F20"/>
          <w:spacing w:val="-9"/>
        </w:rPr>
        <w:t> </w:t>
      </w:r>
      <w:r>
        <w:rPr>
          <w:color w:val="231F20"/>
        </w:rPr>
        <w:t>the</w:t>
      </w:r>
      <w:r>
        <w:rPr>
          <w:color w:val="231F20"/>
          <w:spacing w:val="-9"/>
        </w:rPr>
        <w:t> </w:t>
      </w:r>
      <w:r>
        <w:rPr>
          <w:color w:val="231F20"/>
        </w:rPr>
        <w:t>same</w:t>
      </w:r>
      <w:r>
        <w:rPr>
          <w:color w:val="231F20"/>
          <w:spacing w:val="-9"/>
        </w:rPr>
        <w:t> </w:t>
      </w:r>
      <w:r>
        <w:rPr>
          <w:color w:val="231F20"/>
        </w:rPr>
        <w:t>conclusion</w:t>
      </w:r>
      <w:r>
        <w:rPr>
          <w:color w:val="231F20"/>
          <w:spacing w:val="-9"/>
        </w:rPr>
        <w:t> </w:t>
      </w:r>
      <w:r>
        <w:rPr>
          <w:color w:val="231F20"/>
        </w:rPr>
        <w:t>as</w:t>
      </w:r>
      <w:r>
        <w:rPr>
          <w:color w:val="231F20"/>
          <w:spacing w:val="-9"/>
        </w:rPr>
        <w:t> </w:t>
      </w:r>
      <w:r>
        <w:rPr>
          <w:color w:val="231F20"/>
        </w:rPr>
        <w:t>regards</w:t>
      </w:r>
      <w:r>
        <w:rPr>
          <w:color w:val="231F20"/>
          <w:spacing w:val="-9"/>
        </w:rPr>
        <w:t> </w:t>
      </w:r>
      <w:r>
        <w:rPr>
          <w:color w:val="231F20"/>
        </w:rPr>
        <w:t>the</w:t>
      </w:r>
      <w:r>
        <w:rPr>
          <w:color w:val="231F20"/>
          <w:spacing w:val="-9"/>
        </w:rPr>
        <w:t> </w:t>
      </w:r>
      <w:r>
        <w:rPr>
          <w:color w:val="231F20"/>
        </w:rPr>
        <w:t>absence</w:t>
      </w:r>
      <w:r>
        <w:rPr>
          <w:color w:val="231F20"/>
          <w:spacing w:val="-9"/>
        </w:rPr>
        <w:t> </w:t>
      </w:r>
      <w:r>
        <w:rPr>
          <w:color w:val="231F20"/>
        </w:rPr>
        <w:t>of a</w:t>
      </w:r>
      <w:r>
        <w:rPr>
          <w:color w:val="231F20"/>
          <w:spacing w:val="-3"/>
        </w:rPr>
        <w:t> </w:t>
      </w:r>
      <w:r>
        <w:rPr>
          <w:color w:val="231F20"/>
        </w:rPr>
        <w:t>right</w:t>
      </w:r>
      <w:r>
        <w:rPr>
          <w:color w:val="231F20"/>
          <w:spacing w:val="-3"/>
        </w:rPr>
        <w:t> </w:t>
      </w:r>
      <w:r>
        <w:rPr>
          <w:color w:val="231F20"/>
        </w:rPr>
        <w:t>of</w:t>
      </w:r>
      <w:r>
        <w:rPr>
          <w:color w:val="231F20"/>
          <w:spacing w:val="-3"/>
        </w:rPr>
        <w:t> </w:t>
      </w:r>
      <w:r>
        <w:rPr>
          <w:color w:val="231F20"/>
        </w:rPr>
        <w:t>other</w:t>
      </w:r>
      <w:r>
        <w:rPr>
          <w:color w:val="231F20"/>
          <w:spacing w:val="-3"/>
        </w:rPr>
        <w:t> </w:t>
      </w:r>
      <w:r>
        <w:rPr>
          <w:color w:val="231F20"/>
        </w:rPr>
        <w:t>interested</w:t>
      </w:r>
      <w:r>
        <w:rPr>
          <w:color w:val="231F20"/>
          <w:spacing w:val="-3"/>
        </w:rPr>
        <w:t> </w:t>
      </w:r>
      <w:r>
        <w:rPr>
          <w:color w:val="231F20"/>
        </w:rPr>
        <w:t>third</w:t>
      </w:r>
      <w:r>
        <w:rPr>
          <w:color w:val="231F20"/>
          <w:spacing w:val="-3"/>
        </w:rPr>
        <w:t> </w:t>
      </w:r>
      <w:r>
        <w:rPr>
          <w:color w:val="231F20"/>
        </w:rPr>
        <w:t>parties</w:t>
      </w:r>
      <w:r>
        <w:rPr>
          <w:color w:val="231F20"/>
          <w:spacing w:val="-3"/>
        </w:rPr>
        <w:t> </w:t>
      </w:r>
      <w:r>
        <w:rPr>
          <w:color w:val="231F20"/>
        </w:rPr>
        <w:t>to</w:t>
      </w:r>
      <w:r>
        <w:rPr>
          <w:color w:val="231F20"/>
          <w:spacing w:val="-3"/>
        </w:rPr>
        <w:t> </w:t>
      </w:r>
      <w:r>
        <w:rPr>
          <w:color w:val="231F20"/>
        </w:rPr>
        <w:t>directly</w:t>
      </w:r>
      <w:r>
        <w:rPr>
          <w:color w:val="231F20"/>
          <w:spacing w:val="-3"/>
        </w:rPr>
        <w:t> </w:t>
      </w:r>
      <w:r>
        <w:rPr>
          <w:color w:val="231F20"/>
        </w:rPr>
        <w:t>challenge</w:t>
      </w:r>
      <w:r>
        <w:rPr>
          <w:color w:val="231F20"/>
          <w:spacing w:val="-3"/>
        </w:rPr>
        <w:t> </w:t>
      </w:r>
      <w:r>
        <w:rPr>
          <w:color w:val="231F20"/>
        </w:rPr>
        <w:t>the</w:t>
      </w:r>
      <w:r>
        <w:rPr>
          <w:color w:val="231F20"/>
          <w:spacing w:val="-3"/>
        </w:rPr>
        <w:t> </w:t>
      </w:r>
      <w:r>
        <w:rPr>
          <w:color w:val="231F20"/>
        </w:rPr>
        <w:t>injunction decision</w:t>
      </w:r>
      <w:r>
        <w:rPr>
          <w:color w:val="231F20"/>
          <w:spacing w:val="-4"/>
        </w:rPr>
        <w:t> </w:t>
      </w:r>
      <w:r>
        <w:rPr>
          <w:color w:val="231F20"/>
        </w:rPr>
        <w:t>notified</w:t>
      </w:r>
      <w:r>
        <w:rPr>
          <w:color w:val="231F20"/>
          <w:spacing w:val="-4"/>
        </w:rPr>
        <w:t> </w:t>
      </w:r>
      <w:r>
        <w:rPr>
          <w:color w:val="231F20"/>
        </w:rPr>
        <w:t>to</w:t>
      </w:r>
      <w:r>
        <w:rPr>
          <w:color w:val="231F20"/>
          <w:spacing w:val="-4"/>
        </w:rPr>
        <w:t> </w:t>
      </w:r>
      <w:r>
        <w:rPr>
          <w:color w:val="231F20"/>
        </w:rPr>
        <w:t>the</w:t>
      </w:r>
      <w:r>
        <w:rPr>
          <w:color w:val="231F20"/>
          <w:spacing w:val="-4"/>
        </w:rPr>
        <w:t> </w:t>
      </w:r>
      <w:r>
        <w:rPr>
          <w:color w:val="231F20"/>
        </w:rPr>
        <w:t>holder</w:t>
      </w:r>
      <w:r>
        <w:rPr>
          <w:color w:val="231F20"/>
          <w:spacing w:val="-4"/>
        </w:rPr>
        <w:t> </w:t>
      </w:r>
      <w:r>
        <w:rPr>
          <w:color w:val="231F20"/>
        </w:rPr>
        <w:t>of</w:t>
      </w:r>
      <w:r>
        <w:rPr>
          <w:color w:val="231F20"/>
          <w:spacing w:val="-4"/>
        </w:rPr>
        <w:t> </w:t>
      </w:r>
      <w:r>
        <w:rPr>
          <w:color w:val="231F20"/>
        </w:rPr>
        <w:t>the</w:t>
      </w:r>
      <w:r>
        <w:rPr>
          <w:color w:val="231F20"/>
          <w:spacing w:val="-4"/>
        </w:rPr>
        <w:t> </w:t>
      </w:r>
      <w:r>
        <w:rPr>
          <w:color w:val="231F20"/>
        </w:rPr>
        <w:t>information.</w:t>
      </w:r>
      <w:r>
        <w:rPr>
          <w:color w:val="231F20"/>
          <w:spacing w:val="-4"/>
        </w:rPr>
        <w:t> </w:t>
      </w:r>
      <w:r>
        <w:rPr>
          <w:color w:val="231F20"/>
        </w:rPr>
        <w:t>These</w:t>
      </w:r>
      <w:r>
        <w:rPr>
          <w:color w:val="231F20"/>
          <w:spacing w:val="-4"/>
        </w:rPr>
        <w:t> </w:t>
      </w:r>
      <w:r>
        <w:rPr>
          <w:color w:val="231F20"/>
        </w:rPr>
        <w:t>persons</w:t>
      </w:r>
      <w:r>
        <w:rPr>
          <w:color w:val="231F20"/>
          <w:spacing w:val="-4"/>
        </w:rPr>
        <w:t> </w:t>
      </w:r>
      <w:r>
        <w:rPr>
          <w:color w:val="231F20"/>
        </w:rPr>
        <w:t>who</w:t>
      </w:r>
      <w:r>
        <w:rPr>
          <w:color w:val="231F20"/>
          <w:spacing w:val="-4"/>
        </w:rPr>
        <w:t> </w:t>
      </w:r>
      <w:r>
        <w:rPr>
          <w:color w:val="231F20"/>
        </w:rPr>
        <w:t>had business</w:t>
      </w:r>
      <w:r>
        <w:rPr>
          <w:color w:val="231F20"/>
          <w:spacing w:val="-3"/>
        </w:rPr>
        <w:t> </w:t>
      </w:r>
      <w:r>
        <w:rPr>
          <w:color w:val="231F20"/>
        </w:rPr>
        <w:t>relations</w:t>
      </w:r>
      <w:r>
        <w:rPr>
          <w:color w:val="231F20"/>
          <w:spacing w:val="-3"/>
        </w:rPr>
        <w:t> </w:t>
      </w:r>
      <w:r>
        <w:rPr>
          <w:color w:val="231F20"/>
        </w:rPr>
        <w:t>with</w:t>
      </w:r>
      <w:r>
        <w:rPr>
          <w:color w:val="231F20"/>
          <w:spacing w:val="-3"/>
        </w:rPr>
        <w:t> </w:t>
      </w:r>
      <w:r>
        <w:rPr>
          <w:color w:val="231F20"/>
        </w:rPr>
        <w:t>the</w:t>
      </w:r>
      <w:r>
        <w:rPr>
          <w:color w:val="231F20"/>
          <w:spacing w:val="-3"/>
        </w:rPr>
        <w:t> </w:t>
      </w:r>
      <w:r>
        <w:rPr>
          <w:color w:val="231F20"/>
        </w:rPr>
        <w:t>taxpayer,</w:t>
      </w:r>
      <w:r>
        <w:rPr>
          <w:color w:val="231F20"/>
          <w:spacing w:val="-3"/>
        </w:rPr>
        <w:t> </w:t>
      </w:r>
      <w:r>
        <w:rPr>
          <w:color w:val="231F20"/>
        </w:rPr>
        <w:t>do</w:t>
      </w:r>
      <w:r>
        <w:rPr>
          <w:color w:val="231F20"/>
          <w:spacing w:val="-3"/>
        </w:rPr>
        <w:t> </w:t>
      </w:r>
      <w:r>
        <w:rPr>
          <w:color w:val="231F20"/>
        </w:rPr>
        <w:t>not</w:t>
      </w:r>
      <w:r>
        <w:rPr>
          <w:color w:val="231F20"/>
          <w:spacing w:val="-3"/>
        </w:rPr>
        <w:t> </w:t>
      </w:r>
      <w:r>
        <w:rPr>
          <w:color w:val="231F20"/>
        </w:rPr>
        <w:t>have</w:t>
      </w:r>
      <w:r>
        <w:rPr>
          <w:color w:val="231F20"/>
          <w:spacing w:val="-3"/>
        </w:rPr>
        <w:t> </w:t>
      </w:r>
      <w:r>
        <w:rPr>
          <w:color w:val="231F20"/>
        </w:rPr>
        <w:t>the</w:t>
      </w:r>
      <w:r>
        <w:rPr>
          <w:color w:val="231F20"/>
          <w:spacing w:val="-3"/>
        </w:rPr>
        <w:t> </w:t>
      </w:r>
      <w:r>
        <w:rPr>
          <w:color w:val="231F20"/>
        </w:rPr>
        <w:t>right</w:t>
      </w:r>
      <w:r>
        <w:rPr>
          <w:color w:val="231F20"/>
          <w:spacing w:val="-3"/>
        </w:rPr>
        <w:t> </w:t>
      </w:r>
      <w:r>
        <w:rPr>
          <w:color w:val="231F20"/>
        </w:rPr>
        <w:t>to</w:t>
      </w:r>
      <w:r>
        <w:rPr>
          <w:color w:val="231F20"/>
          <w:spacing w:val="-3"/>
        </w:rPr>
        <w:t> </w:t>
      </w:r>
      <w:r>
        <w:rPr>
          <w:color w:val="231F20"/>
        </w:rPr>
        <w:t>challenge</w:t>
      </w:r>
      <w:r>
        <w:rPr>
          <w:color w:val="231F20"/>
          <w:spacing w:val="-3"/>
        </w:rPr>
        <w:t> </w:t>
      </w:r>
      <w:r>
        <w:rPr>
          <w:color w:val="231F20"/>
        </w:rPr>
        <w:t>the injunction decision but can bring an action for damages against the re- quested</w:t>
      </w:r>
      <w:r>
        <w:rPr>
          <w:color w:val="231F20"/>
          <w:spacing w:val="-8"/>
        </w:rPr>
        <w:t> </w:t>
      </w:r>
      <w:r>
        <w:rPr>
          <w:color w:val="231F20"/>
        </w:rPr>
        <w:t>authority</w:t>
      </w:r>
      <w:r>
        <w:rPr>
          <w:color w:val="231F20"/>
          <w:spacing w:val="-8"/>
        </w:rPr>
        <w:t> </w:t>
      </w:r>
      <w:r>
        <w:rPr>
          <w:color w:val="231F20"/>
        </w:rPr>
        <w:t>for</w:t>
      </w:r>
      <w:r>
        <w:rPr>
          <w:color w:val="231F20"/>
          <w:spacing w:val="-8"/>
        </w:rPr>
        <w:t> </w:t>
      </w:r>
      <w:r>
        <w:rPr>
          <w:color w:val="231F20"/>
        </w:rPr>
        <w:t>the</w:t>
      </w:r>
      <w:r>
        <w:rPr>
          <w:color w:val="231F20"/>
          <w:spacing w:val="-8"/>
        </w:rPr>
        <w:t> </w:t>
      </w:r>
      <w:r>
        <w:rPr>
          <w:color w:val="231F20"/>
        </w:rPr>
        <w:t>communication</w:t>
      </w:r>
      <w:r>
        <w:rPr>
          <w:color w:val="231F20"/>
          <w:spacing w:val="-8"/>
        </w:rPr>
        <w:t> </w:t>
      </w:r>
      <w:r>
        <w:rPr>
          <w:color w:val="231F20"/>
        </w:rPr>
        <w:t>of</w:t>
      </w:r>
      <w:r>
        <w:rPr>
          <w:color w:val="231F20"/>
          <w:spacing w:val="-8"/>
        </w:rPr>
        <w:t> </w:t>
      </w:r>
      <w:r>
        <w:rPr>
          <w:color w:val="231F20"/>
        </w:rPr>
        <w:t>information</w:t>
      </w:r>
      <w:r>
        <w:rPr>
          <w:color w:val="231F20"/>
          <w:spacing w:val="-8"/>
        </w:rPr>
        <w:t> </w:t>
      </w:r>
      <w:r>
        <w:rPr>
          <w:color w:val="231F20"/>
        </w:rPr>
        <w:t>concerning</w:t>
      </w:r>
      <w:r>
        <w:rPr>
          <w:color w:val="231F20"/>
          <w:spacing w:val="-8"/>
        </w:rPr>
        <w:t> </w:t>
      </w:r>
      <w:r>
        <w:rPr>
          <w:color w:val="231F20"/>
        </w:rPr>
        <w:t>them if</w:t>
      </w:r>
      <w:r>
        <w:rPr>
          <w:color w:val="231F20"/>
          <w:spacing w:val="-11"/>
        </w:rPr>
        <w:t> </w:t>
      </w:r>
      <w:r>
        <w:rPr>
          <w:color w:val="231F20"/>
        </w:rPr>
        <w:t>they</w:t>
      </w:r>
      <w:r>
        <w:rPr>
          <w:color w:val="231F20"/>
          <w:spacing w:val="-11"/>
        </w:rPr>
        <w:t> </w:t>
      </w:r>
      <w:r>
        <w:rPr>
          <w:color w:val="231F20"/>
        </w:rPr>
        <w:t>can</w:t>
      </w:r>
      <w:r>
        <w:rPr>
          <w:color w:val="231F20"/>
          <w:spacing w:val="-11"/>
        </w:rPr>
        <w:t> </w:t>
      </w:r>
      <w:r>
        <w:rPr>
          <w:color w:val="231F20"/>
        </w:rPr>
        <w:t>demonstrate</w:t>
      </w:r>
      <w:r>
        <w:rPr>
          <w:color w:val="231F20"/>
          <w:spacing w:val="-11"/>
        </w:rPr>
        <w:t> </w:t>
      </w:r>
      <w:r>
        <w:rPr>
          <w:color w:val="231F20"/>
        </w:rPr>
        <w:t>the</w:t>
      </w:r>
      <w:r>
        <w:rPr>
          <w:color w:val="231F20"/>
          <w:spacing w:val="-11"/>
        </w:rPr>
        <w:t> </w:t>
      </w:r>
      <w:r>
        <w:rPr>
          <w:color w:val="231F20"/>
        </w:rPr>
        <w:t>illegality</w:t>
      </w:r>
      <w:r>
        <w:rPr>
          <w:color w:val="231F20"/>
          <w:spacing w:val="-11"/>
        </w:rPr>
        <w:t> </w:t>
      </w:r>
      <w:r>
        <w:rPr>
          <w:color w:val="231F20"/>
        </w:rPr>
        <w:t>of</w:t>
      </w:r>
      <w:r>
        <w:rPr>
          <w:color w:val="231F20"/>
          <w:spacing w:val="-11"/>
        </w:rPr>
        <w:t> </w:t>
      </w:r>
      <w:r>
        <w:rPr>
          <w:color w:val="231F20"/>
        </w:rPr>
        <w:t>the</w:t>
      </w:r>
      <w:r>
        <w:rPr>
          <w:color w:val="231F20"/>
          <w:spacing w:val="-11"/>
        </w:rPr>
        <w:t> </w:t>
      </w:r>
      <w:r>
        <w:rPr>
          <w:color w:val="231F20"/>
        </w:rPr>
        <w:t>requested</w:t>
      </w:r>
      <w:r>
        <w:rPr>
          <w:color w:val="231F20"/>
          <w:spacing w:val="-11"/>
        </w:rPr>
        <w:t> </w:t>
      </w:r>
      <w:r>
        <w:rPr>
          <w:color w:val="231F20"/>
        </w:rPr>
        <w:t>authority’s</w:t>
      </w:r>
      <w:r>
        <w:rPr>
          <w:color w:val="231F20"/>
          <w:spacing w:val="-11"/>
        </w:rPr>
        <w:t> </w:t>
      </w:r>
      <w:r>
        <w:rPr>
          <w:color w:val="231F20"/>
        </w:rPr>
        <w:t>behaviour and the damage suffered as a result of such illegal behaviour</w:t>
      </w:r>
      <w:r>
        <w:rPr>
          <w:color w:val="231F20"/>
          <w:position w:val="8"/>
          <w:sz w:val="14"/>
        </w:rPr>
        <w:t>20</w:t>
      </w:r>
      <w:r>
        <w:rPr>
          <w:color w:val="231F20"/>
        </w:rPr>
        <w:t>.</w:t>
      </w:r>
    </w:p>
    <w:p>
      <w:pPr>
        <w:pStyle w:val="BodyText"/>
        <w:spacing w:before="163"/>
      </w:pPr>
    </w:p>
    <w:p>
      <w:pPr>
        <w:pStyle w:val="ListParagraph"/>
        <w:numPr>
          <w:ilvl w:val="1"/>
          <w:numId w:val="1"/>
        </w:numPr>
        <w:tabs>
          <w:tab w:pos="526" w:val="left" w:leader="none"/>
        </w:tabs>
        <w:spacing w:line="244" w:lineRule="auto" w:before="0" w:after="0"/>
        <w:ind w:left="100" w:right="179" w:firstLine="0"/>
        <w:jc w:val="left"/>
        <w:rPr>
          <w:b/>
          <w:sz w:val="24"/>
        </w:rPr>
      </w:pPr>
      <w:r>
        <w:rPr>
          <w:b/>
          <w:color w:val="231F20"/>
          <w:sz w:val="24"/>
        </w:rPr>
        <w:t>Level</w:t>
      </w:r>
      <w:r>
        <w:rPr>
          <w:b/>
          <w:color w:val="231F20"/>
          <w:spacing w:val="-6"/>
          <w:sz w:val="24"/>
        </w:rPr>
        <w:t> </w:t>
      </w:r>
      <w:r>
        <w:rPr>
          <w:b/>
          <w:color w:val="231F20"/>
          <w:sz w:val="24"/>
        </w:rPr>
        <w:t>of</w:t>
      </w:r>
      <w:r>
        <w:rPr>
          <w:b/>
          <w:color w:val="231F20"/>
          <w:spacing w:val="-6"/>
          <w:sz w:val="24"/>
        </w:rPr>
        <w:t> </w:t>
      </w:r>
      <w:r>
        <w:rPr>
          <w:b/>
          <w:color w:val="231F20"/>
          <w:sz w:val="24"/>
        </w:rPr>
        <w:t>Precision</w:t>
      </w:r>
      <w:r>
        <w:rPr>
          <w:b/>
          <w:color w:val="231F20"/>
          <w:spacing w:val="-6"/>
          <w:sz w:val="24"/>
        </w:rPr>
        <w:t> </w:t>
      </w:r>
      <w:r>
        <w:rPr>
          <w:b/>
          <w:color w:val="231F20"/>
          <w:sz w:val="24"/>
        </w:rPr>
        <w:t>of</w:t>
      </w:r>
      <w:r>
        <w:rPr>
          <w:b/>
          <w:color w:val="231F20"/>
          <w:spacing w:val="-6"/>
          <w:sz w:val="24"/>
        </w:rPr>
        <w:t> </w:t>
      </w:r>
      <w:r>
        <w:rPr>
          <w:b/>
          <w:color w:val="231F20"/>
          <w:sz w:val="24"/>
        </w:rPr>
        <w:t>the</w:t>
      </w:r>
      <w:r>
        <w:rPr>
          <w:b/>
          <w:color w:val="231F20"/>
          <w:spacing w:val="-6"/>
          <w:sz w:val="24"/>
        </w:rPr>
        <w:t> </w:t>
      </w:r>
      <w:r>
        <w:rPr>
          <w:b/>
          <w:color w:val="231F20"/>
          <w:sz w:val="24"/>
        </w:rPr>
        <w:t>Request</w:t>
      </w:r>
      <w:r>
        <w:rPr>
          <w:b/>
          <w:color w:val="231F20"/>
          <w:spacing w:val="-6"/>
          <w:sz w:val="24"/>
        </w:rPr>
        <w:t> </w:t>
      </w:r>
      <w:r>
        <w:rPr>
          <w:b/>
          <w:color w:val="231F20"/>
          <w:sz w:val="24"/>
        </w:rPr>
        <w:t>for</w:t>
      </w:r>
      <w:r>
        <w:rPr>
          <w:b/>
          <w:color w:val="231F20"/>
          <w:spacing w:val="-6"/>
          <w:sz w:val="24"/>
        </w:rPr>
        <w:t> </w:t>
      </w:r>
      <w:r>
        <w:rPr>
          <w:b/>
          <w:color w:val="231F20"/>
          <w:sz w:val="24"/>
        </w:rPr>
        <w:t>Information</w:t>
      </w:r>
      <w:r>
        <w:rPr>
          <w:b/>
          <w:color w:val="231F20"/>
          <w:spacing w:val="-6"/>
          <w:sz w:val="24"/>
        </w:rPr>
        <w:t> </w:t>
      </w:r>
      <w:r>
        <w:rPr>
          <w:b/>
          <w:color w:val="231F20"/>
          <w:sz w:val="24"/>
        </w:rPr>
        <w:t>that</w:t>
      </w:r>
      <w:r>
        <w:rPr>
          <w:b/>
          <w:color w:val="231F20"/>
          <w:spacing w:val="-6"/>
          <w:sz w:val="24"/>
        </w:rPr>
        <w:t> </w:t>
      </w:r>
      <w:r>
        <w:rPr>
          <w:b/>
          <w:color w:val="231F20"/>
          <w:sz w:val="24"/>
        </w:rPr>
        <w:t>the</w:t>
      </w:r>
      <w:r>
        <w:rPr>
          <w:b/>
          <w:color w:val="231F20"/>
          <w:spacing w:val="-6"/>
          <w:sz w:val="24"/>
        </w:rPr>
        <w:t> </w:t>
      </w:r>
      <w:r>
        <w:rPr>
          <w:b/>
          <w:color w:val="231F20"/>
          <w:sz w:val="24"/>
        </w:rPr>
        <w:t>Holder</w:t>
      </w:r>
      <w:r>
        <w:rPr>
          <w:b/>
          <w:color w:val="231F20"/>
          <w:spacing w:val="-6"/>
          <w:sz w:val="24"/>
        </w:rPr>
        <w:t> </w:t>
      </w:r>
      <w:r>
        <w:rPr>
          <w:b/>
          <w:color w:val="231F20"/>
          <w:sz w:val="24"/>
        </w:rPr>
        <w:t>of Information may legitimately require</w:t>
      </w:r>
    </w:p>
    <w:p>
      <w:pPr>
        <w:pStyle w:val="BodyText"/>
        <w:spacing w:line="225" w:lineRule="auto" w:before="263"/>
        <w:ind w:left="100" w:right="175"/>
        <w:jc w:val="both"/>
      </w:pPr>
      <w:r>
        <w:rPr>
          <w:color w:val="231F20"/>
        </w:rPr>
        <w:t>Another</w:t>
      </w:r>
      <w:r>
        <w:rPr>
          <w:color w:val="231F20"/>
          <w:spacing w:val="-13"/>
        </w:rPr>
        <w:t> </w:t>
      </w:r>
      <w:r>
        <w:rPr>
          <w:color w:val="231F20"/>
        </w:rPr>
        <w:t>aspect</w:t>
      </w:r>
      <w:r>
        <w:rPr>
          <w:color w:val="231F20"/>
          <w:spacing w:val="-13"/>
        </w:rPr>
        <w:t> </w:t>
      </w:r>
      <w:r>
        <w:rPr>
          <w:color w:val="231F20"/>
        </w:rPr>
        <w:t>of</w:t>
      </w:r>
      <w:r>
        <w:rPr>
          <w:color w:val="231F20"/>
          <w:spacing w:val="-13"/>
        </w:rPr>
        <w:t> </w:t>
      </w:r>
      <w:r>
        <w:rPr>
          <w:color w:val="231F20"/>
        </w:rPr>
        <w:t>the</w:t>
      </w:r>
      <w:r>
        <w:rPr>
          <w:color w:val="231F20"/>
          <w:spacing w:val="-13"/>
        </w:rPr>
        <w:t> </w:t>
      </w:r>
      <w:r>
        <w:rPr>
          <w:color w:val="231F20"/>
        </w:rPr>
        <w:t>information</w:t>
      </w:r>
      <w:r>
        <w:rPr>
          <w:color w:val="231F20"/>
          <w:spacing w:val="-13"/>
        </w:rPr>
        <w:t> </w:t>
      </w:r>
      <w:r>
        <w:rPr>
          <w:color w:val="231F20"/>
        </w:rPr>
        <w:t>exchange</w:t>
      </w:r>
      <w:r>
        <w:rPr>
          <w:color w:val="231F20"/>
          <w:spacing w:val="-13"/>
        </w:rPr>
        <w:t> </w:t>
      </w:r>
      <w:r>
        <w:rPr>
          <w:color w:val="231F20"/>
        </w:rPr>
        <w:t>procedure</w:t>
      </w:r>
      <w:r>
        <w:rPr>
          <w:color w:val="231F20"/>
          <w:spacing w:val="-13"/>
        </w:rPr>
        <w:t> </w:t>
      </w:r>
      <w:r>
        <w:rPr>
          <w:color w:val="231F20"/>
        </w:rPr>
        <w:t>on</w:t>
      </w:r>
      <w:r>
        <w:rPr>
          <w:color w:val="231F20"/>
          <w:spacing w:val="-13"/>
        </w:rPr>
        <w:t> </w:t>
      </w:r>
      <w:r>
        <w:rPr>
          <w:color w:val="231F20"/>
        </w:rPr>
        <w:t>which</w:t>
      </w:r>
      <w:r>
        <w:rPr>
          <w:color w:val="231F20"/>
          <w:spacing w:val="-13"/>
        </w:rPr>
        <w:t> </w:t>
      </w:r>
      <w:r>
        <w:rPr>
          <w:color w:val="231F20"/>
        </w:rPr>
        <w:t>the</w:t>
      </w:r>
      <w:r>
        <w:rPr>
          <w:color w:val="231F20"/>
          <w:spacing w:val="-13"/>
        </w:rPr>
        <w:t> </w:t>
      </w:r>
      <w:r>
        <w:rPr>
          <w:color w:val="231F20"/>
        </w:rPr>
        <w:t>Court of Justice had to rule concerns the definition of the level of precision that both the information requests transmitted by the requesting authority to the requested authority and the injunction decisions notified by the latter to the holder of the information must present. After excluding the legal- ity of a generic search for information (so-called «fishing expedition») the Union judges specified that to comply with the requirement of «foresee- able relevance» provided for in Article 1 of the directive, the information request transmitted by the requesting authority to the requested authority has to indicate the identity of the taxpayer subject to the tax assessment, the</w:t>
      </w:r>
      <w:r>
        <w:rPr>
          <w:color w:val="231F20"/>
          <w:spacing w:val="-7"/>
        </w:rPr>
        <w:t> </w:t>
      </w:r>
      <w:r>
        <w:rPr>
          <w:color w:val="231F20"/>
        </w:rPr>
        <w:t>identity</w:t>
      </w:r>
      <w:r>
        <w:rPr>
          <w:color w:val="231F20"/>
          <w:spacing w:val="-7"/>
        </w:rPr>
        <w:t> </w:t>
      </w:r>
      <w:r>
        <w:rPr>
          <w:color w:val="231F20"/>
        </w:rPr>
        <w:t>of</w:t>
      </w:r>
      <w:r>
        <w:rPr>
          <w:color w:val="231F20"/>
          <w:spacing w:val="-7"/>
        </w:rPr>
        <w:t> </w:t>
      </w:r>
      <w:r>
        <w:rPr>
          <w:color w:val="231F20"/>
        </w:rPr>
        <w:t>the</w:t>
      </w:r>
      <w:r>
        <w:rPr>
          <w:color w:val="231F20"/>
          <w:spacing w:val="-7"/>
        </w:rPr>
        <w:t> </w:t>
      </w:r>
      <w:r>
        <w:rPr>
          <w:color w:val="231F20"/>
        </w:rPr>
        <w:t>holder</w:t>
      </w:r>
      <w:r>
        <w:rPr>
          <w:color w:val="231F20"/>
          <w:spacing w:val="-7"/>
        </w:rPr>
        <w:t> </w:t>
      </w:r>
      <w:r>
        <w:rPr>
          <w:color w:val="231F20"/>
        </w:rPr>
        <w:t>of</w:t>
      </w:r>
      <w:r>
        <w:rPr>
          <w:color w:val="231F20"/>
          <w:spacing w:val="-7"/>
        </w:rPr>
        <w:t> </w:t>
      </w:r>
      <w:r>
        <w:rPr>
          <w:color w:val="231F20"/>
        </w:rPr>
        <w:t>the</w:t>
      </w:r>
      <w:r>
        <w:rPr>
          <w:color w:val="231F20"/>
          <w:spacing w:val="-7"/>
        </w:rPr>
        <w:t> </w:t>
      </w:r>
      <w:r>
        <w:rPr>
          <w:color w:val="231F20"/>
        </w:rPr>
        <w:t>requested</w:t>
      </w:r>
      <w:r>
        <w:rPr>
          <w:color w:val="231F20"/>
          <w:spacing w:val="-7"/>
        </w:rPr>
        <w:t> </w:t>
      </w:r>
      <w:r>
        <w:rPr>
          <w:color w:val="231F20"/>
        </w:rPr>
        <w:t>information</w:t>
      </w:r>
      <w:r>
        <w:rPr>
          <w:color w:val="231F20"/>
          <w:spacing w:val="-7"/>
        </w:rPr>
        <w:t> </w:t>
      </w:r>
      <w:r>
        <w:rPr>
          <w:color w:val="231F20"/>
        </w:rPr>
        <w:t>and</w:t>
      </w:r>
      <w:r>
        <w:rPr>
          <w:color w:val="231F20"/>
          <w:spacing w:val="-7"/>
        </w:rPr>
        <w:t> </w:t>
      </w:r>
      <w:r>
        <w:rPr>
          <w:color w:val="231F20"/>
        </w:rPr>
        <w:t>the</w:t>
      </w:r>
      <w:r>
        <w:rPr>
          <w:color w:val="231F20"/>
          <w:spacing w:val="-7"/>
        </w:rPr>
        <w:t> </w:t>
      </w:r>
      <w:r>
        <w:rPr>
          <w:color w:val="231F20"/>
        </w:rPr>
        <w:t>connection between the latter and the purposes of the assessment initiated by the re- questing administration</w:t>
      </w:r>
      <w:r>
        <w:rPr>
          <w:color w:val="231F20"/>
          <w:position w:val="8"/>
          <w:sz w:val="14"/>
        </w:rPr>
        <w:t>21</w:t>
      </w:r>
      <w:r>
        <w:rPr>
          <w:color w:val="231F20"/>
        </w:rPr>
        <w:t>.</w:t>
      </w:r>
    </w:p>
    <w:p>
      <w:pPr>
        <w:pStyle w:val="BodyText"/>
        <w:rPr>
          <w:sz w:val="17"/>
        </w:rPr>
      </w:pPr>
      <w:r>
        <w:rPr/>
        <mc:AlternateContent>
          <mc:Choice Requires="wps">
            <w:drawing>
              <wp:anchor distT="0" distB="0" distL="0" distR="0" allowOverlap="1" layoutInCell="1" locked="0" behindDoc="1" simplePos="0" relativeHeight="487595008">
                <wp:simplePos x="0" y="0"/>
                <wp:positionH relativeFrom="page">
                  <wp:posOffset>864000</wp:posOffset>
                </wp:positionH>
                <wp:positionV relativeFrom="paragraph">
                  <wp:posOffset>153056</wp:posOffset>
                </wp:positionV>
                <wp:extent cx="792480" cy="1270"/>
                <wp:effectExtent l="0" t="0" r="0" b="0"/>
                <wp:wrapTopAndBottom/>
                <wp:docPr id="35" name="Graphic 35"/>
                <wp:cNvGraphicFramePr>
                  <a:graphicFrameLocks/>
                </wp:cNvGraphicFramePr>
                <a:graphic>
                  <a:graphicData uri="http://schemas.microsoft.com/office/word/2010/wordprocessingShape">
                    <wps:wsp>
                      <wps:cNvPr id="35" name="Graphic 35"/>
                      <wps:cNvSpPr/>
                      <wps:spPr>
                        <a:xfrm>
                          <a:off x="0" y="0"/>
                          <a:ext cx="792480" cy="1270"/>
                        </a:xfrm>
                        <a:custGeom>
                          <a:avLst/>
                          <a:gdLst/>
                          <a:ahLst/>
                          <a:cxnLst/>
                          <a:rect l="l" t="t" r="r" b="b"/>
                          <a:pathLst>
                            <a:path w="792480" h="0">
                              <a:moveTo>
                                <a:pt x="0" y="0"/>
                              </a:moveTo>
                              <a:lnTo>
                                <a:pt x="791997"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shape style="position:absolute;margin-left:68.031502pt;margin-top:12.0517pt;width:62.4pt;height:.1pt;mso-position-horizontal-relative:page;mso-position-vertical-relative:paragraph;z-index:-15721472;mso-wrap-distance-left:0;mso-wrap-distance-right:0" id="docshape29" coordorigin="1361,241" coordsize="1248,0" path="m1361,241l2608,241e" filled="false" stroked="true" strokeweight=".5pt" strokecolor="#231f20">
                <v:path arrowok="t"/>
                <v:stroke dashstyle="solid"/>
                <w10:wrap type="topAndBottom"/>
              </v:shape>
            </w:pict>
          </mc:Fallback>
        </mc:AlternateContent>
      </w:r>
    </w:p>
    <w:p>
      <w:pPr>
        <w:spacing w:line="235" w:lineRule="exact" w:before="190"/>
        <w:ind w:left="100" w:right="0" w:firstLine="0"/>
        <w:jc w:val="left"/>
        <w:rPr>
          <w:sz w:val="19"/>
        </w:rPr>
      </w:pPr>
      <w:r>
        <w:rPr>
          <w:color w:val="231F20"/>
          <w:position w:val="6"/>
          <w:sz w:val="11"/>
        </w:rPr>
        <w:t>19</w:t>
      </w:r>
      <w:r>
        <w:rPr>
          <w:color w:val="231F20"/>
          <w:spacing w:val="74"/>
          <w:w w:val="150"/>
          <w:position w:val="6"/>
          <w:sz w:val="11"/>
        </w:rPr>
        <w:t> </w:t>
      </w:r>
      <w:r>
        <w:rPr>
          <w:color w:val="231F20"/>
          <w:sz w:val="19"/>
        </w:rPr>
        <w:t>Case</w:t>
      </w:r>
      <w:r>
        <w:rPr>
          <w:color w:val="231F20"/>
          <w:spacing w:val="47"/>
          <w:sz w:val="19"/>
        </w:rPr>
        <w:t> </w:t>
      </w:r>
      <w:r>
        <w:rPr>
          <w:color w:val="231F20"/>
          <w:sz w:val="19"/>
        </w:rPr>
        <w:t>C-245/19, points 82, 83 and </w:t>
      </w:r>
      <w:r>
        <w:rPr>
          <w:color w:val="231F20"/>
          <w:spacing w:val="-5"/>
          <w:sz w:val="19"/>
        </w:rPr>
        <w:t>84.</w:t>
      </w:r>
    </w:p>
    <w:p>
      <w:pPr>
        <w:spacing w:line="228" w:lineRule="exact" w:before="0"/>
        <w:ind w:left="100" w:right="0" w:firstLine="0"/>
        <w:jc w:val="left"/>
        <w:rPr>
          <w:sz w:val="19"/>
        </w:rPr>
      </w:pPr>
      <w:r>
        <w:rPr>
          <w:color w:val="231F20"/>
          <w:position w:val="6"/>
          <w:sz w:val="11"/>
        </w:rPr>
        <w:t>20</w:t>
      </w:r>
      <w:r>
        <w:rPr>
          <w:color w:val="231F20"/>
          <w:spacing w:val="53"/>
          <w:position w:val="6"/>
          <w:sz w:val="11"/>
        </w:rPr>
        <w:t>  </w:t>
      </w:r>
      <w:r>
        <w:rPr>
          <w:color w:val="231F20"/>
          <w:sz w:val="19"/>
        </w:rPr>
        <w:t>Case</w:t>
      </w:r>
      <w:r>
        <w:rPr>
          <w:color w:val="231F20"/>
          <w:spacing w:val="1"/>
          <w:sz w:val="19"/>
        </w:rPr>
        <w:t> </w:t>
      </w:r>
      <w:r>
        <w:rPr>
          <w:color w:val="231F20"/>
          <w:sz w:val="19"/>
        </w:rPr>
        <w:t>C-245/19, points 99 to </w:t>
      </w:r>
      <w:r>
        <w:rPr>
          <w:color w:val="231F20"/>
          <w:spacing w:val="-4"/>
          <w:sz w:val="19"/>
        </w:rPr>
        <w:t>102.</w:t>
      </w:r>
    </w:p>
    <w:p>
      <w:pPr>
        <w:spacing w:line="235" w:lineRule="exact" w:before="0"/>
        <w:ind w:left="100" w:right="0" w:firstLine="0"/>
        <w:jc w:val="left"/>
        <w:rPr>
          <w:sz w:val="19"/>
        </w:rPr>
      </w:pPr>
      <w:r>
        <w:rPr>
          <w:color w:val="231F20"/>
          <w:position w:val="6"/>
          <w:sz w:val="11"/>
        </w:rPr>
        <w:t>21</w:t>
      </w:r>
      <w:r>
        <w:rPr>
          <w:color w:val="231F20"/>
          <w:spacing w:val="53"/>
          <w:position w:val="6"/>
          <w:sz w:val="11"/>
        </w:rPr>
        <w:t>  </w:t>
      </w:r>
      <w:r>
        <w:rPr>
          <w:color w:val="231F20"/>
          <w:sz w:val="19"/>
        </w:rPr>
        <w:t>Case</w:t>
      </w:r>
      <w:r>
        <w:rPr>
          <w:color w:val="231F20"/>
          <w:spacing w:val="1"/>
          <w:sz w:val="19"/>
        </w:rPr>
        <w:t> </w:t>
      </w:r>
      <w:r>
        <w:rPr>
          <w:color w:val="231F20"/>
          <w:sz w:val="19"/>
        </w:rPr>
        <w:t>C-245/19, points 113 to </w:t>
      </w:r>
      <w:r>
        <w:rPr>
          <w:color w:val="231F20"/>
          <w:spacing w:val="-4"/>
          <w:sz w:val="19"/>
        </w:rPr>
        <w:t>124.</w:t>
      </w:r>
    </w:p>
    <w:p>
      <w:pPr>
        <w:spacing w:after="0" w:line="235" w:lineRule="exact"/>
        <w:jc w:val="left"/>
        <w:rPr>
          <w:sz w:val="19"/>
        </w:rPr>
        <w:sectPr>
          <w:pgSz w:w="9640" w:h="13610"/>
          <w:pgMar w:header="0" w:footer="625" w:top="1260" w:bottom="820" w:left="1260" w:right="1240"/>
        </w:sectPr>
      </w:pPr>
    </w:p>
    <w:p>
      <w:pPr>
        <w:pStyle w:val="BodyText"/>
        <w:spacing w:line="225" w:lineRule="auto" w:before="117"/>
        <w:ind w:left="157" w:right="117" w:firstLine="340"/>
        <w:jc w:val="both"/>
      </w:pPr>
      <w:r>
        <w:rPr/>
        <mc:AlternateContent>
          <mc:Choice Requires="wps">
            <w:drawing>
              <wp:anchor distT="0" distB="0" distL="0" distR="0" allowOverlap="1" layoutInCell="1" locked="0" behindDoc="0" simplePos="0" relativeHeight="15736832">
                <wp:simplePos x="0" y="0"/>
                <wp:positionH relativeFrom="page">
                  <wp:posOffset>5608609</wp:posOffset>
                </wp:positionH>
                <wp:positionV relativeFrom="page">
                  <wp:posOffset>2376001</wp:posOffset>
                </wp:positionV>
                <wp:extent cx="511809" cy="2412365"/>
                <wp:effectExtent l="0" t="0" r="0" b="0"/>
                <wp:wrapNone/>
                <wp:docPr id="36" name="Group 36"/>
                <wp:cNvGraphicFramePr>
                  <a:graphicFrameLocks/>
                </wp:cNvGraphicFramePr>
                <a:graphic>
                  <a:graphicData uri="http://schemas.microsoft.com/office/word/2010/wordprocessingGroup">
                    <wpg:wgp>
                      <wpg:cNvPr id="36" name="Group 36"/>
                      <wpg:cNvGrpSpPr/>
                      <wpg:grpSpPr>
                        <a:xfrm>
                          <a:off x="0" y="0"/>
                          <a:ext cx="511809" cy="2412365"/>
                          <a:chExt cx="511809" cy="2412365"/>
                        </a:xfrm>
                      </wpg:grpSpPr>
                      <wps:wsp>
                        <wps:cNvPr id="37" name="Graphic 37"/>
                        <wps:cNvSpPr/>
                        <wps:spPr>
                          <a:xfrm>
                            <a:off x="7393" y="3"/>
                            <a:ext cx="504190" cy="360045"/>
                          </a:xfrm>
                          <a:custGeom>
                            <a:avLst/>
                            <a:gdLst/>
                            <a:ahLst/>
                            <a:cxnLst/>
                            <a:rect l="l" t="t" r="r" b="b"/>
                            <a:pathLst>
                              <a:path w="504190" h="360045">
                                <a:moveTo>
                                  <a:pt x="503999" y="0"/>
                                </a:moveTo>
                                <a:lnTo>
                                  <a:pt x="0" y="0"/>
                                </a:lnTo>
                                <a:lnTo>
                                  <a:pt x="0" y="359994"/>
                                </a:lnTo>
                                <a:lnTo>
                                  <a:pt x="503999" y="359994"/>
                                </a:lnTo>
                                <a:lnTo>
                                  <a:pt x="503999" y="0"/>
                                </a:lnTo>
                                <a:close/>
                              </a:path>
                            </a:pathLst>
                          </a:custGeom>
                          <a:solidFill>
                            <a:srgbClr val="939598"/>
                          </a:solidFill>
                        </wps:spPr>
                        <wps:bodyPr wrap="square" lIns="0" tIns="0" rIns="0" bIns="0" rtlCol="0">
                          <a:prstTxWarp prst="textNoShape">
                            <a:avLst/>
                          </a:prstTxWarp>
                          <a:noAutofit/>
                        </wps:bodyPr>
                      </wps:wsp>
                      <wps:wsp>
                        <wps:cNvPr id="38" name="Graphic 38"/>
                        <wps:cNvSpPr/>
                        <wps:spPr>
                          <a:xfrm>
                            <a:off x="6350" y="0"/>
                            <a:ext cx="1270" cy="2412365"/>
                          </a:xfrm>
                          <a:custGeom>
                            <a:avLst/>
                            <a:gdLst/>
                            <a:ahLst/>
                            <a:cxnLst/>
                            <a:rect l="l" t="t" r="r" b="b"/>
                            <a:pathLst>
                              <a:path w="0" h="2412365">
                                <a:moveTo>
                                  <a:pt x="0" y="0"/>
                                </a:moveTo>
                                <a:lnTo>
                                  <a:pt x="0" y="2411996"/>
                                </a:lnTo>
                              </a:path>
                            </a:pathLst>
                          </a:custGeom>
                          <a:ln w="12700">
                            <a:solidFill>
                              <a:srgbClr val="939598"/>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441.622803pt;margin-top:187.0867pt;width:40.3pt;height:189.95pt;mso-position-horizontal-relative:page;mso-position-vertical-relative:page;z-index:15736832" id="docshapegroup30" coordorigin="8832,3742" coordsize="806,3799">
                <v:rect style="position:absolute;left:8844;top:3741;width:794;height:567" id="docshape31" filled="true" fillcolor="#939598" stroked="false">
                  <v:fill type="solid"/>
                </v:rect>
                <v:line style="position:absolute" from="8842,3742" to="8842,7540" stroked="true" strokeweight="1pt" strokecolor="#939598">
                  <v:stroke dashstyle="solid"/>
                </v:line>
                <w10:wrap type="none"/>
              </v:group>
            </w:pict>
          </mc:Fallback>
        </mc:AlternateContent>
      </w:r>
      <w:r>
        <w:rPr/>
        <mc:AlternateContent>
          <mc:Choice Requires="wps">
            <w:drawing>
              <wp:anchor distT="0" distB="0" distL="0" distR="0" allowOverlap="1" layoutInCell="1" locked="0" behindDoc="0" simplePos="0" relativeHeight="15737344">
                <wp:simplePos x="0" y="0"/>
                <wp:positionH relativeFrom="page">
                  <wp:posOffset>5635147</wp:posOffset>
                </wp:positionH>
                <wp:positionV relativeFrom="page">
                  <wp:posOffset>2795300</wp:posOffset>
                </wp:positionV>
                <wp:extent cx="299720" cy="1995805"/>
                <wp:effectExtent l="0" t="0" r="0" b="0"/>
                <wp:wrapNone/>
                <wp:docPr id="39" name="Textbox 39"/>
                <wp:cNvGraphicFramePr>
                  <a:graphicFrameLocks/>
                </wp:cNvGraphicFramePr>
                <a:graphic>
                  <a:graphicData uri="http://schemas.microsoft.com/office/word/2010/wordprocessingShape">
                    <wps:wsp>
                      <wps:cNvPr id="39" name="Textbox 39"/>
                      <wps:cNvSpPr txBox="1"/>
                      <wps:spPr>
                        <a:xfrm>
                          <a:off x="0" y="0"/>
                          <a:ext cx="299720" cy="1995805"/>
                        </a:xfrm>
                        <a:prstGeom prst="rect">
                          <a:avLst/>
                        </a:prstGeom>
                      </wps:spPr>
                      <wps:txbx>
                        <w:txbxContent>
                          <w:p>
                            <w:pPr>
                              <w:spacing w:before="20"/>
                              <w:ind w:left="20" w:right="0" w:firstLine="0"/>
                              <w:jc w:val="left"/>
                              <w:rPr>
                                <w:rFonts w:ascii="Minion Pro"/>
                                <w:sz w:val="32"/>
                              </w:rPr>
                            </w:pPr>
                            <w:r>
                              <w:rPr>
                                <w:rFonts w:ascii="Minion Pro"/>
                                <w:color w:val="231F20"/>
                                <w:sz w:val="32"/>
                              </w:rPr>
                              <w:t>Commented</w:t>
                            </w:r>
                            <w:r>
                              <w:rPr>
                                <w:rFonts w:ascii="Minion Pro"/>
                                <w:color w:val="231F20"/>
                                <w:spacing w:val="-10"/>
                                <w:sz w:val="32"/>
                              </w:rPr>
                              <w:t> </w:t>
                            </w:r>
                            <w:r>
                              <w:rPr>
                                <w:rFonts w:ascii="Minion Pro"/>
                                <w:color w:val="231F20"/>
                                <w:spacing w:val="-2"/>
                                <w:sz w:val="32"/>
                              </w:rPr>
                              <w:t>documents</w:t>
                            </w:r>
                          </w:p>
                        </w:txbxContent>
                      </wps:txbx>
                      <wps:bodyPr wrap="square" lIns="0" tIns="0" rIns="0" bIns="0" rtlCol="0" vert="vert">
                        <a:noAutofit/>
                      </wps:bodyPr>
                    </wps:wsp>
                  </a:graphicData>
                </a:graphic>
              </wp:anchor>
            </w:drawing>
          </mc:Choice>
          <mc:Fallback>
            <w:pict>
              <v:shape style="position:absolute;margin-left:443.712402pt;margin-top:220.102402pt;width:23.6pt;height:157.15pt;mso-position-horizontal-relative:page;mso-position-vertical-relative:page;z-index:15737344" type="#_x0000_t202" id="docshape32" filled="false" stroked="false">
                <v:textbox inset="0,0,0,0" style="layout-flow:vertical">
                  <w:txbxContent>
                    <w:p>
                      <w:pPr>
                        <w:spacing w:before="20"/>
                        <w:ind w:left="20" w:right="0" w:firstLine="0"/>
                        <w:jc w:val="left"/>
                        <w:rPr>
                          <w:rFonts w:ascii="Minion Pro"/>
                          <w:sz w:val="32"/>
                        </w:rPr>
                      </w:pPr>
                      <w:r>
                        <w:rPr>
                          <w:rFonts w:ascii="Minion Pro"/>
                          <w:color w:val="231F20"/>
                          <w:sz w:val="32"/>
                        </w:rPr>
                        <w:t>Commented</w:t>
                      </w:r>
                      <w:r>
                        <w:rPr>
                          <w:rFonts w:ascii="Minion Pro"/>
                          <w:color w:val="231F20"/>
                          <w:spacing w:val="-10"/>
                          <w:sz w:val="32"/>
                        </w:rPr>
                        <w:t> </w:t>
                      </w:r>
                      <w:r>
                        <w:rPr>
                          <w:rFonts w:ascii="Minion Pro"/>
                          <w:color w:val="231F20"/>
                          <w:spacing w:val="-2"/>
                          <w:sz w:val="32"/>
                        </w:rPr>
                        <w:t>documents</w:t>
                      </w:r>
                    </w:p>
                  </w:txbxContent>
                </v:textbox>
                <w10:wrap type="none"/>
              </v:shape>
            </w:pict>
          </mc:Fallback>
        </mc:AlternateContent>
      </w:r>
      <w:r>
        <w:rPr>
          <w:color w:val="231F20"/>
          <w:spacing w:val="-4"/>
        </w:rPr>
        <w:t>This</w:t>
      </w:r>
      <w:r>
        <w:rPr>
          <w:color w:val="231F20"/>
          <w:spacing w:val="-7"/>
        </w:rPr>
        <w:t> </w:t>
      </w:r>
      <w:r>
        <w:rPr>
          <w:color w:val="231F20"/>
          <w:spacing w:val="-4"/>
        </w:rPr>
        <w:t>definition</w:t>
      </w:r>
      <w:r>
        <w:rPr>
          <w:color w:val="231F20"/>
          <w:spacing w:val="-7"/>
        </w:rPr>
        <w:t> </w:t>
      </w:r>
      <w:r>
        <w:rPr>
          <w:color w:val="231F20"/>
          <w:spacing w:val="-4"/>
        </w:rPr>
        <w:t>was</w:t>
      </w:r>
      <w:r>
        <w:rPr>
          <w:color w:val="231F20"/>
          <w:spacing w:val="-7"/>
        </w:rPr>
        <w:t> </w:t>
      </w:r>
      <w:r>
        <w:rPr>
          <w:color w:val="231F20"/>
          <w:spacing w:val="-4"/>
        </w:rPr>
        <w:t>further</w:t>
      </w:r>
      <w:r>
        <w:rPr>
          <w:color w:val="231F20"/>
          <w:spacing w:val="-7"/>
        </w:rPr>
        <w:t> </w:t>
      </w:r>
      <w:r>
        <w:rPr>
          <w:color w:val="231F20"/>
          <w:spacing w:val="-4"/>
        </w:rPr>
        <w:t>clarified</w:t>
      </w:r>
      <w:r>
        <w:rPr>
          <w:color w:val="231F20"/>
          <w:spacing w:val="-7"/>
        </w:rPr>
        <w:t> </w:t>
      </w:r>
      <w:r>
        <w:rPr>
          <w:color w:val="231F20"/>
          <w:spacing w:val="-4"/>
        </w:rPr>
        <w:t>by</w:t>
      </w:r>
      <w:r>
        <w:rPr>
          <w:color w:val="231F20"/>
          <w:spacing w:val="-7"/>
        </w:rPr>
        <w:t> </w:t>
      </w:r>
      <w:r>
        <w:rPr>
          <w:color w:val="231F20"/>
          <w:spacing w:val="-4"/>
        </w:rPr>
        <w:t>the</w:t>
      </w:r>
      <w:r>
        <w:rPr>
          <w:color w:val="231F20"/>
          <w:spacing w:val="-7"/>
        </w:rPr>
        <w:t> </w:t>
      </w:r>
      <w:r>
        <w:rPr>
          <w:color w:val="231F20"/>
          <w:spacing w:val="-4"/>
        </w:rPr>
        <w:t>Court</w:t>
      </w:r>
      <w:r>
        <w:rPr>
          <w:color w:val="231F20"/>
          <w:spacing w:val="-7"/>
        </w:rPr>
        <w:t> </w:t>
      </w:r>
      <w:r>
        <w:rPr>
          <w:color w:val="231F20"/>
          <w:spacing w:val="-4"/>
        </w:rPr>
        <w:t>in</w:t>
      </w:r>
      <w:r>
        <w:rPr>
          <w:color w:val="231F20"/>
          <w:spacing w:val="-7"/>
        </w:rPr>
        <w:t> </w:t>
      </w:r>
      <w:r>
        <w:rPr>
          <w:color w:val="231F20"/>
          <w:spacing w:val="-4"/>
        </w:rPr>
        <w:t>judgment</w:t>
      </w:r>
      <w:r>
        <w:rPr>
          <w:color w:val="231F20"/>
          <w:spacing w:val="-7"/>
        </w:rPr>
        <w:t> </w:t>
      </w:r>
      <w:r>
        <w:rPr>
          <w:color w:val="231F20"/>
          <w:spacing w:val="-4"/>
        </w:rPr>
        <w:t>C-437/19, </w:t>
      </w:r>
      <w:r>
        <w:rPr>
          <w:color w:val="231F20"/>
        </w:rPr>
        <w:t>where it was called to rule on the conformity of a request for information relating</w:t>
      </w:r>
      <w:r>
        <w:rPr>
          <w:color w:val="231F20"/>
          <w:spacing w:val="-15"/>
        </w:rPr>
        <w:t> </w:t>
      </w:r>
      <w:r>
        <w:rPr>
          <w:color w:val="231F20"/>
        </w:rPr>
        <w:t>to</w:t>
      </w:r>
      <w:r>
        <w:rPr>
          <w:color w:val="231F20"/>
          <w:spacing w:val="-15"/>
        </w:rPr>
        <w:t> </w:t>
      </w:r>
      <w:r>
        <w:rPr>
          <w:color w:val="231F20"/>
        </w:rPr>
        <w:t>the</w:t>
      </w:r>
      <w:r>
        <w:rPr>
          <w:color w:val="231F20"/>
          <w:spacing w:val="-15"/>
        </w:rPr>
        <w:t> </w:t>
      </w:r>
      <w:r>
        <w:rPr>
          <w:color w:val="231F20"/>
        </w:rPr>
        <w:t>identity</w:t>
      </w:r>
      <w:r>
        <w:rPr>
          <w:color w:val="231F20"/>
          <w:spacing w:val="-15"/>
        </w:rPr>
        <w:t> </w:t>
      </w:r>
      <w:r>
        <w:rPr>
          <w:color w:val="231F20"/>
        </w:rPr>
        <w:t>of</w:t>
      </w:r>
      <w:r>
        <w:rPr>
          <w:color w:val="231F20"/>
          <w:spacing w:val="-15"/>
        </w:rPr>
        <w:t> </w:t>
      </w:r>
      <w:r>
        <w:rPr>
          <w:color w:val="231F20"/>
        </w:rPr>
        <w:t>the</w:t>
      </w:r>
      <w:r>
        <w:rPr>
          <w:color w:val="231F20"/>
          <w:spacing w:val="-15"/>
        </w:rPr>
        <w:t> </w:t>
      </w:r>
      <w:r>
        <w:rPr>
          <w:color w:val="231F20"/>
        </w:rPr>
        <w:t>shareholders</w:t>
      </w:r>
      <w:r>
        <w:rPr>
          <w:color w:val="231F20"/>
          <w:spacing w:val="-15"/>
        </w:rPr>
        <w:t> </w:t>
      </w:r>
      <w:r>
        <w:rPr>
          <w:color w:val="231F20"/>
        </w:rPr>
        <w:t>of</w:t>
      </w:r>
      <w:r>
        <w:rPr>
          <w:color w:val="231F20"/>
          <w:spacing w:val="-15"/>
        </w:rPr>
        <w:t> </w:t>
      </w:r>
      <w:r>
        <w:rPr>
          <w:color w:val="231F20"/>
        </w:rPr>
        <w:t>the</w:t>
      </w:r>
      <w:r>
        <w:rPr>
          <w:color w:val="231F20"/>
          <w:spacing w:val="-15"/>
        </w:rPr>
        <w:t> </w:t>
      </w:r>
      <w:r>
        <w:rPr>
          <w:color w:val="231F20"/>
        </w:rPr>
        <w:t>company</w:t>
      </w:r>
      <w:r>
        <w:rPr>
          <w:color w:val="231F20"/>
          <w:spacing w:val="-15"/>
        </w:rPr>
        <w:t> </w:t>
      </w:r>
      <w:r>
        <w:rPr>
          <w:color w:val="231F20"/>
        </w:rPr>
        <w:t>«L»</w:t>
      </w:r>
      <w:r>
        <w:rPr>
          <w:color w:val="231F20"/>
          <w:spacing w:val="-15"/>
        </w:rPr>
        <w:t> </w:t>
      </w:r>
      <w:r>
        <w:rPr>
          <w:color w:val="231F20"/>
        </w:rPr>
        <w:t>with</w:t>
      </w:r>
      <w:r>
        <w:rPr>
          <w:color w:val="231F20"/>
          <w:spacing w:val="-15"/>
        </w:rPr>
        <w:t> </w:t>
      </w:r>
      <w:r>
        <w:rPr>
          <w:color w:val="231F20"/>
        </w:rPr>
        <w:t>Articles 1, 5, and 20 of the directive. The Union judges stated in this regard that members</w:t>
      </w:r>
      <w:r>
        <w:rPr>
          <w:color w:val="231F20"/>
          <w:spacing w:val="-4"/>
        </w:rPr>
        <w:t> </w:t>
      </w:r>
      <w:r>
        <w:rPr>
          <w:color w:val="231F20"/>
        </w:rPr>
        <w:t>of</w:t>
      </w:r>
      <w:r>
        <w:rPr>
          <w:color w:val="231F20"/>
          <w:spacing w:val="-4"/>
        </w:rPr>
        <w:t> </w:t>
      </w:r>
      <w:r>
        <w:rPr>
          <w:color w:val="231F20"/>
        </w:rPr>
        <w:t>a</w:t>
      </w:r>
      <w:r>
        <w:rPr>
          <w:color w:val="231F20"/>
          <w:spacing w:val="-4"/>
        </w:rPr>
        <w:t> </w:t>
      </w:r>
      <w:r>
        <w:rPr>
          <w:color w:val="231F20"/>
        </w:rPr>
        <w:t>«limited</w:t>
      </w:r>
      <w:r>
        <w:rPr>
          <w:color w:val="231F20"/>
          <w:spacing w:val="-4"/>
        </w:rPr>
        <w:t> </w:t>
      </w:r>
      <w:r>
        <w:rPr>
          <w:color w:val="231F20"/>
        </w:rPr>
        <w:t>group</w:t>
      </w:r>
      <w:r>
        <w:rPr>
          <w:color w:val="231F20"/>
          <w:spacing w:val="-4"/>
        </w:rPr>
        <w:t> </w:t>
      </w:r>
      <w:r>
        <w:rPr>
          <w:color w:val="231F20"/>
        </w:rPr>
        <w:t>of</w:t>
      </w:r>
      <w:r>
        <w:rPr>
          <w:color w:val="231F20"/>
          <w:spacing w:val="-4"/>
        </w:rPr>
        <w:t> </w:t>
      </w:r>
      <w:r>
        <w:rPr>
          <w:color w:val="231F20"/>
        </w:rPr>
        <w:t>persons»</w:t>
      </w:r>
      <w:r>
        <w:rPr>
          <w:color w:val="231F20"/>
          <w:spacing w:val="-4"/>
        </w:rPr>
        <w:t> </w:t>
      </w:r>
      <w:r>
        <w:rPr>
          <w:color w:val="231F20"/>
        </w:rPr>
        <w:t>suspected</w:t>
      </w:r>
      <w:r>
        <w:rPr>
          <w:color w:val="231F20"/>
          <w:spacing w:val="-4"/>
        </w:rPr>
        <w:t> </w:t>
      </w:r>
      <w:r>
        <w:rPr>
          <w:color w:val="231F20"/>
        </w:rPr>
        <w:t>of</w:t>
      </w:r>
      <w:r>
        <w:rPr>
          <w:color w:val="231F20"/>
          <w:spacing w:val="-4"/>
        </w:rPr>
        <w:t> </w:t>
      </w:r>
      <w:r>
        <w:rPr>
          <w:color w:val="231F20"/>
        </w:rPr>
        <w:t>having</w:t>
      </w:r>
      <w:r>
        <w:rPr>
          <w:color w:val="231F20"/>
          <w:spacing w:val="-4"/>
        </w:rPr>
        <w:t> </w:t>
      </w:r>
      <w:r>
        <w:rPr>
          <w:color w:val="231F20"/>
        </w:rPr>
        <w:t>committed</w:t>
      </w:r>
      <w:r>
        <w:rPr>
          <w:color w:val="231F20"/>
          <w:spacing w:val="-4"/>
        </w:rPr>
        <w:t> </w:t>
      </w:r>
      <w:r>
        <w:rPr>
          <w:color w:val="231F20"/>
        </w:rPr>
        <w:t>a violation of Member State tax legislation can be identified through «a set of</w:t>
      </w:r>
      <w:r>
        <w:rPr>
          <w:color w:val="231F20"/>
          <w:spacing w:val="-6"/>
        </w:rPr>
        <w:t> </w:t>
      </w:r>
      <w:r>
        <w:rPr>
          <w:color w:val="231F20"/>
        </w:rPr>
        <w:t>distinctive</w:t>
      </w:r>
      <w:r>
        <w:rPr>
          <w:color w:val="231F20"/>
          <w:spacing w:val="-6"/>
        </w:rPr>
        <w:t> </w:t>
      </w:r>
      <w:r>
        <w:rPr>
          <w:color w:val="231F20"/>
        </w:rPr>
        <w:t>qualities</w:t>
      </w:r>
      <w:r>
        <w:rPr>
          <w:color w:val="231F20"/>
          <w:spacing w:val="-6"/>
        </w:rPr>
        <w:t> </w:t>
      </w:r>
      <w:r>
        <w:rPr>
          <w:color w:val="231F20"/>
        </w:rPr>
        <w:t>and</w:t>
      </w:r>
      <w:r>
        <w:rPr>
          <w:color w:val="231F20"/>
          <w:spacing w:val="-6"/>
        </w:rPr>
        <w:t> </w:t>
      </w:r>
      <w:r>
        <w:rPr>
          <w:color w:val="231F20"/>
        </w:rPr>
        <w:t>characteristics»</w:t>
      </w:r>
      <w:r>
        <w:rPr>
          <w:color w:val="231F20"/>
          <w:spacing w:val="-6"/>
        </w:rPr>
        <w:t> </w:t>
      </w:r>
      <w:r>
        <w:rPr>
          <w:color w:val="231F20"/>
        </w:rPr>
        <w:t>such</w:t>
      </w:r>
      <w:r>
        <w:rPr>
          <w:color w:val="231F20"/>
          <w:spacing w:val="-6"/>
        </w:rPr>
        <w:t> </w:t>
      </w:r>
      <w:r>
        <w:rPr>
          <w:color w:val="231F20"/>
        </w:rPr>
        <w:t>as</w:t>
      </w:r>
      <w:r>
        <w:rPr>
          <w:color w:val="231F20"/>
          <w:spacing w:val="-6"/>
        </w:rPr>
        <w:t> </w:t>
      </w:r>
      <w:r>
        <w:rPr>
          <w:color w:val="231F20"/>
        </w:rPr>
        <w:t>being</w:t>
      </w:r>
      <w:r>
        <w:rPr>
          <w:color w:val="231F20"/>
          <w:spacing w:val="-6"/>
        </w:rPr>
        <w:t> </w:t>
      </w:r>
      <w:r>
        <w:rPr>
          <w:color w:val="231F20"/>
        </w:rPr>
        <w:t>all</w:t>
      </w:r>
      <w:r>
        <w:rPr>
          <w:color w:val="231F20"/>
          <w:spacing w:val="-6"/>
        </w:rPr>
        <w:t> </w:t>
      </w:r>
      <w:r>
        <w:rPr>
          <w:color w:val="231F20"/>
        </w:rPr>
        <w:t>shareholders</w:t>
      </w:r>
      <w:r>
        <w:rPr>
          <w:color w:val="231F20"/>
          <w:spacing w:val="-6"/>
        </w:rPr>
        <w:t> </w:t>
      </w:r>
      <w:r>
        <w:rPr>
          <w:color w:val="231F20"/>
        </w:rPr>
        <w:t>of the same company which must instead be specifically named</w:t>
      </w:r>
      <w:r>
        <w:rPr>
          <w:color w:val="231F20"/>
          <w:position w:val="8"/>
          <w:sz w:val="14"/>
        </w:rPr>
        <w:t>22</w:t>
      </w:r>
      <w:r>
        <w:rPr>
          <w:color w:val="231F20"/>
        </w:rPr>
        <w:t>.</w:t>
      </w:r>
    </w:p>
    <w:p>
      <w:pPr>
        <w:pStyle w:val="BodyText"/>
        <w:spacing w:before="151"/>
      </w:pPr>
    </w:p>
    <w:p>
      <w:pPr>
        <w:pStyle w:val="ListParagraph"/>
        <w:numPr>
          <w:ilvl w:val="1"/>
          <w:numId w:val="1"/>
        </w:numPr>
        <w:tabs>
          <w:tab w:pos="572" w:val="left" w:leader="none"/>
        </w:tabs>
        <w:spacing w:line="244" w:lineRule="auto" w:before="1" w:after="0"/>
        <w:ind w:left="157" w:right="118" w:firstLine="0"/>
        <w:jc w:val="both"/>
        <w:rPr>
          <w:b/>
          <w:sz w:val="24"/>
        </w:rPr>
      </w:pPr>
      <w:r>
        <w:rPr>
          <w:b/>
          <w:color w:val="231F20"/>
          <w:spacing w:val="-2"/>
          <w:sz w:val="24"/>
        </w:rPr>
        <w:t>Invalidity</w:t>
      </w:r>
      <w:r>
        <w:rPr>
          <w:b/>
          <w:color w:val="231F20"/>
          <w:spacing w:val="-4"/>
          <w:sz w:val="24"/>
        </w:rPr>
        <w:t> </w:t>
      </w:r>
      <w:r>
        <w:rPr>
          <w:b/>
          <w:color w:val="231F20"/>
          <w:spacing w:val="-2"/>
          <w:sz w:val="24"/>
        </w:rPr>
        <w:t>of</w:t>
      </w:r>
      <w:r>
        <w:rPr>
          <w:b/>
          <w:color w:val="231F20"/>
          <w:spacing w:val="-4"/>
          <w:sz w:val="24"/>
        </w:rPr>
        <w:t> </w:t>
      </w:r>
      <w:r>
        <w:rPr>
          <w:b/>
          <w:color w:val="231F20"/>
          <w:spacing w:val="-2"/>
          <w:sz w:val="24"/>
        </w:rPr>
        <w:t>the</w:t>
      </w:r>
      <w:r>
        <w:rPr>
          <w:b/>
          <w:color w:val="231F20"/>
          <w:spacing w:val="-4"/>
          <w:sz w:val="24"/>
        </w:rPr>
        <w:t> </w:t>
      </w:r>
      <w:r>
        <w:rPr>
          <w:b/>
          <w:color w:val="231F20"/>
          <w:spacing w:val="-2"/>
          <w:sz w:val="24"/>
        </w:rPr>
        <w:t>DAC</w:t>
      </w:r>
      <w:r>
        <w:rPr>
          <w:b/>
          <w:color w:val="231F20"/>
          <w:spacing w:val="-4"/>
          <w:sz w:val="24"/>
        </w:rPr>
        <w:t> </w:t>
      </w:r>
      <w:r>
        <w:rPr>
          <w:b/>
          <w:color w:val="231F20"/>
          <w:spacing w:val="-2"/>
          <w:sz w:val="24"/>
        </w:rPr>
        <w:t>Directive</w:t>
      </w:r>
      <w:r>
        <w:rPr>
          <w:b/>
          <w:color w:val="231F20"/>
          <w:spacing w:val="-4"/>
          <w:sz w:val="24"/>
        </w:rPr>
        <w:t> </w:t>
      </w:r>
      <w:r>
        <w:rPr>
          <w:b/>
          <w:color w:val="231F20"/>
          <w:spacing w:val="-2"/>
          <w:sz w:val="24"/>
        </w:rPr>
        <w:t>Provision</w:t>
      </w:r>
      <w:r>
        <w:rPr>
          <w:b/>
          <w:color w:val="231F20"/>
          <w:spacing w:val="-4"/>
          <w:sz w:val="24"/>
        </w:rPr>
        <w:t> </w:t>
      </w:r>
      <w:r>
        <w:rPr>
          <w:b/>
          <w:color w:val="231F20"/>
          <w:spacing w:val="-2"/>
          <w:sz w:val="24"/>
        </w:rPr>
        <w:t>requiring</w:t>
      </w:r>
      <w:r>
        <w:rPr>
          <w:b/>
          <w:color w:val="231F20"/>
          <w:spacing w:val="-4"/>
          <w:sz w:val="24"/>
        </w:rPr>
        <w:t> </w:t>
      </w:r>
      <w:r>
        <w:rPr>
          <w:b/>
          <w:color w:val="231F20"/>
          <w:spacing w:val="-2"/>
          <w:sz w:val="24"/>
        </w:rPr>
        <w:t>the</w:t>
      </w:r>
      <w:r>
        <w:rPr>
          <w:b/>
          <w:color w:val="231F20"/>
          <w:spacing w:val="-4"/>
          <w:sz w:val="24"/>
        </w:rPr>
        <w:t> </w:t>
      </w:r>
      <w:r>
        <w:rPr>
          <w:b/>
          <w:color w:val="231F20"/>
          <w:spacing w:val="-2"/>
          <w:sz w:val="24"/>
        </w:rPr>
        <w:t>intermediary </w:t>
      </w:r>
      <w:r>
        <w:rPr>
          <w:b/>
          <w:color w:val="231F20"/>
          <w:sz w:val="24"/>
        </w:rPr>
        <w:t>lawyer to notify another intermediary of his obligation to communicate the «Cross-Border Arrangement» recommended to his Client</w:t>
      </w:r>
    </w:p>
    <w:p>
      <w:pPr>
        <w:pStyle w:val="BodyText"/>
        <w:spacing w:line="225" w:lineRule="auto" w:before="263"/>
        <w:ind w:left="157" w:right="117"/>
        <w:jc w:val="both"/>
      </w:pPr>
      <w:r>
        <w:rPr>
          <w:color w:val="231F20"/>
        </w:rPr>
        <w:t>The fourth judgment concerning Directive 2011/16/EU, unlike the first three, originated from a question of validity of an important provision of the directive raised by the Belgian Constitutional Court. Article 8ab(1) requires</w:t>
      </w:r>
      <w:r>
        <w:rPr>
          <w:color w:val="231F20"/>
          <w:spacing w:val="-7"/>
        </w:rPr>
        <w:t> </w:t>
      </w:r>
      <w:r>
        <w:rPr>
          <w:color w:val="231F20"/>
        </w:rPr>
        <w:t>so-called</w:t>
      </w:r>
      <w:r>
        <w:rPr>
          <w:color w:val="231F20"/>
          <w:spacing w:val="-7"/>
        </w:rPr>
        <w:t> </w:t>
      </w:r>
      <w:r>
        <w:rPr>
          <w:color w:val="231F20"/>
        </w:rPr>
        <w:t>intermediaries</w:t>
      </w:r>
      <w:r>
        <w:rPr>
          <w:color w:val="231F20"/>
          <w:position w:val="8"/>
          <w:sz w:val="14"/>
        </w:rPr>
        <w:t>23</w:t>
      </w:r>
      <w:r>
        <w:rPr>
          <w:color w:val="231F20"/>
          <w:spacing w:val="18"/>
          <w:position w:val="8"/>
          <w:sz w:val="14"/>
        </w:rPr>
        <w:t> </w:t>
      </w:r>
      <w:r>
        <w:rPr>
          <w:color w:val="231F20"/>
        </w:rPr>
        <w:t>to</w:t>
      </w:r>
      <w:r>
        <w:rPr>
          <w:color w:val="231F20"/>
          <w:spacing w:val="-7"/>
        </w:rPr>
        <w:t> </w:t>
      </w:r>
      <w:r>
        <w:rPr>
          <w:color w:val="231F20"/>
        </w:rPr>
        <w:t>communicate</w:t>
      </w:r>
      <w:r>
        <w:rPr>
          <w:color w:val="231F20"/>
          <w:spacing w:val="-7"/>
        </w:rPr>
        <w:t> </w:t>
      </w:r>
      <w:r>
        <w:rPr>
          <w:color w:val="231F20"/>
        </w:rPr>
        <w:t>to</w:t>
      </w:r>
      <w:r>
        <w:rPr>
          <w:color w:val="231F20"/>
          <w:spacing w:val="-7"/>
        </w:rPr>
        <w:t> </w:t>
      </w:r>
      <w:r>
        <w:rPr>
          <w:color w:val="231F20"/>
        </w:rPr>
        <w:t>their</w:t>
      </w:r>
      <w:r>
        <w:rPr>
          <w:color w:val="231F20"/>
          <w:spacing w:val="-7"/>
        </w:rPr>
        <w:t> </w:t>
      </w:r>
      <w:r>
        <w:rPr>
          <w:color w:val="231F20"/>
        </w:rPr>
        <w:t>tax</w:t>
      </w:r>
      <w:r>
        <w:rPr>
          <w:color w:val="231F20"/>
          <w:spacing w:val="-7"/>
        </w:rPr>
        <w:t> </w:t>
      </w:r>
      <w:r>
        <w:rPr>
          <w:color w:val="231F20"/>
        </w:rPr>
        <w:t>administra- </w:t>
      </w:r>
      <w:r>
        <w:rPr>
          <w:color w:val="231F20"/>
          <w:spacing w:val="-2"/>
        </w:rPr>
        <w:t>tions</w:t>
      </w:r>
      <w:r>
        <w:rPr>
          <w:color w:val="231F20"/>
          <w:spacing w:val="-8"/>
        </w:rPr>
        <w:t> </w:t>
      </w:r>
      <w:r>
        <w:rPr>
          <w:color w:val="231F20"/>
          <w:spacing w:val="-2"/>
        </w:rPr>
        <w:t>the</w:t>
      </w:r>
      <w:r>
        <w:rPr>
          <w:color w:val="231F20"/>
          <w:spacing w:val="-8"/>
        </w:rPr>
        <w:t> </w:t>
      </w:r>
      <w:r>
        <w:rPr>
          <w:color w:val="231F20"/>
          <w:spacing w:val="-2"/>
        </w:rPr>
        <w:t>«cross-border</w:t>
      </w:r>
      <w:r>
        <w:rPr>
          <w:color w:val="231F20"/>
          <w:spacing w:val="-8"/>
        </w:rPr>
        <w:t> </w:t>
      </w:r>
      <w:r>
        <w:rPr>
          <w:color w:val="231F20"/>
          <w:spacing w:val="-2"/>
        </w:rPr>
        <w:t>arrangements»</w:t>
      </w:r>
      <w:r>
        <w:rPr>
          <w:color w:val="231F20"/>
          <w:spacing w:val="-8"/>
        </w:rPr>
        <w:t> </w:t>
      </w:r>
      <w:r>
        <w:rPr>
          <w:color w:val="231F20"/>
          <w:spacing w:val="-2"/>
        </w:rPr>
        <w:t>of</w:t>
      </w:r>
      <w:r>
        <w:rPr>
          <w:color w:val="231F20"/>
          <w:spacing w:val="-8"/>
        </w:rPr>
        <w:t> </w:t>
      </w:r>
      <w:r>
        <w:rPr>
          <w:color w:val="231F20"/>
          <w:spacing w:val="-2"/>
        </w:rPr>
        <w:t>potentially</w:t>
      </w:r>
      <w:r>
        <w:rPr>
          <w:color w:val="231F20"/>
          <w:spacing w:val="-8"/>
        </w:rPr>
        <w:t> </w:t>
      </w:r>
      <w:r>
        <w:rPr>
          <w:color w:val="231F20"/>
          <w:spacing w:val="-2"/>
        </w:rPr>
        <w:t>aggressive</w:t>
      </w:r>
      <w:r>
        <w:rPr>
          <w:color w:val="231F20"/>
          <w:spacing w:val="-8"/>
        </w:rPr>
        <w:t> </w:t>
      </w:r>
      <w:r>
        <w:rPr>
          <w:color w:val="231F20"/>
          <w:spacing w:val="-2"/>
        </w:rPr>
        <w:t>tax</w:t>
      </w:r>
      <w:r>
        <w:rPr>
          <w:color w:val="231F20"/>
          <w:spacing w:val="-8"/>
        </w:rPr>
        <w:t> </w:t>
      </w:r>
      <w:r>
        <w:rPr>
          <w:color w:val="231F20"/>
          <w:spacing w:val="-2"/>
        </w:rPr>
        <w:t>planning. </w:t>
      </w:r>
      <w:r>
        <w:rPr>
          <w:color w:val="231F20"/>
        </w:rPr>
        <w:t>However, if the intermediary required to notify is bound by professional secrecy</w:t>
      </w:r>
      <w:r>
        <w:rPr>
          <w:color w:val="231F20"/>
          <w:spacing w:val="-13"/>
        </w:rPr>
        <w:t> </w:t>
      </w:r>
      <w:r>
        <w:rPr>
          <w:color w:val="231F20"/>
        </w:rPr>
        <w:t>-</w:t>
      </w:r>
      <w:r>
        <w:rPr>
          <w:color w:val="231F20"/>
          <w:spacing w:val="-13"/>
        </w:rPr>
        <w:t> </w:t>
      </w:r>
      <w:r>
        <w:rPr>
          <w:color w:val="231F20"/>
        </w:rPr>
        <w:t>and</w:t>
      </w:r>
      <w:r>
        <w:rPr>
          <w:color w:val="231F20"/>
          <w:spacing w:val="-13"/>
        </w:rPr>
        <w:t> </w:t>
      </w:r>
      <w:r>
        <w:rPr>
          <w:color w:val="231F20"/>
        </w:rPr>
        <w:t>this</w:t>
      </w:r>
      <w:r>
        <w:rPr>
          <w:color w:val="231F20"/>
          <w:spacing w:val="-13"/>
        </w:rPr>
        <w:t> </w:t>
      </w:r>
      <w:r>
        <w:rPr>
          <w:color w:val="231F20"/>
        </w:rPr>
        <w:t>was</w:t>
      </w:r>
      <w:r>
        <w:rPr>
          <w:color w:val="231F20"/>
          <w:spacing w:val="-13"/>
        </w:rPr>
        <w:t> </w:t>
      </w:r>
      <w:r>
        <w:rPr>
          <w:color w:val="231F20"/>
        </w:rPr>
        <w:t>the</w:t>
      </w:r>
      <w:r>
        <w:rPr>
          <w:color w:val="231F20"/>
          <w:spacing w:val="-13"/>
        </w:rPr>
        <w:t> </w:t>
      </w:r>
      <w:r>
        <w:rPr>
          <w:color w:val="231F20"/>
        </w:rPr>
        <w:t>case</w:t>
      </w:r>
      <w:r>
        <w:rPr>
          <w:color w:val="231F20"/>
          <w:spacing w:val="-13"/>
        </w:rPr>
        <w:t> </w:t>
      </w:r>
      <w:r>
        <w:rPr>
          <w:color w:val="231F20"/>
        </w:rPr>
        <w:t>for</w:t>
      </w:r>
      <w:r>
        <w:rPr>
          <w:color w:val="231F20"/>
          <w:spacing w:val="-13"/>
        </w:rPr>
        <w:t> </w:t>
      </w:r>
      <w:r>
        <w:rPr>
          <w:color w:val="231F20"/>
        </w:rPr>
        <w:t>lawyers</w:t>
      </w:r>
      <w:r>
        <w:rPr>
          <w:color w:val="231F20"/>
          <w:spacing w:val="-13"/>
        </w:rPr>
        <w:t> </w:t>
      </w:r>
      <w:r>
        <w:rPr>
          <w:color w:val="231F20"/>
        </w:rPr>
        <w:t>in</w:t>
      </w:r>
      <w:r>
        <w:rPr>
          <w:color w:val="231F20"/>
          <w:spacing w:val="-13"/>
        </w:rPr>
        <w:t> </w:t>
      </w:r>
      <w:r>
        <w:rPr>
          <w:color w:val="231F20"/>
        </w:rPr>
        <w:t>Belgium</w:t>
      </w:r>
      <w:r>
        <w:rPr>
          <w:color w:val="231F20"/>
          <w:spacing w:val="-13"/>
        </w:rPr>
        <w:t> </w:t>
      </w:r>
      <w:r>
        <w:rPr>
          <w:color w:val="231F20"/>
        </w:rPr>
        <w:t>-</w:t>
      </w:r>
      <w:r>
        <w:rPr>
          <w:color w:val="231F20"/>
          <w:spacing w:val="-13"/>
        </w:rPr>
        <w:t> </w:t>
      </w:r>
      <w:r>
        <w:rPr>
          <w:color w:val="231F20"/>
        </w:rPr>
        <w:t>a</w:t>
      </w:r>
      <w:r>
        <w:rPr>
          <w:color w:val="231F20"/>
          <w:spacing w:val="-13"/>
        </w:rPr>
        <w:t> </w:t>
      </w:r>
      <w:r>
        <w:rPr>
          <w:color w:val="231F20"/>
        </w:rPr>
        <w:t>Member</w:t>
      </w:r>
      <w:r>
        <w:rPr>
          <w:color w:val="231F20"/>
          <w:spacing w:val="-13"/>
        </w:rPr>
        <w:t> </w:t>
      </w:r>
      <w:r>
        <w:rPr>
          <w:color w:val="231F20"/>
        </w:rPr>
        <w:t>State</w:t>
      </w:r>
      <w:r>
        <w:rPr>
          <w:color w:val="231F20"/>
          <w:spacing w:val="-13"/>
        </w:rPr>
        <w:t> </w:t>
      </w:r>
      <w:r>
        <w:rPr>
          <w:color w:val="231F20"/>
        </w:rPr>
        <w:t>may exempt such an intermediary from the communication obligation, but in that case, the same Member State must impose on the intermediary the obligation to notify another intermediary or, in his absence, the taxpayer himself (Article 8 ab(5) of the directive). The validity of this provision of the</w:t>
      </w:r>
      <w:r>
        <w:rPr>
          <w:color w:val="231F20"/>
          <w:spacing w:val="-11"/>
        </w:rPr>
        <w:t> </w:t>
      </w:r>
      <w:r>
        <w:rPr>
          <w:color w:val="231F20"/>
        </w:rPr>
        <w:t>directive</w:t>
      </w:r>
      <w:r>
        <w:rPr>
          <w:color w:val="231F20"/>
          <w:spacing w:val="-11"/>
        </w:rPr>
        <w:t> </w:t>
      </w:r>
      <w:r>
        <w:rPr>
          <w:color w:val="231F20"/>
        </w:rPr>
        <w:t>was</w:t>
      </w:r>
      <w:r>
        <w:rPr>
          <w:color w:val="231F20"/>
          <w:spacing w:val="-11"/>
        </w:rPr>
        <w:t> </w:t>
      </w:r>
      <w:r>
        <w:rPr>
          <w:color w:val="231F20"/>
        </w:rPr>
        <w:t>questioned</w:t>
      </w:r>
      <w:r>
        <w:rPr>
          <w:color w:val="231F20"/>
          <w:spacing w:val="-11"/>
        </w:rPr>
        <w:t> </w:t>
      </w:r>
      <w:r>
        <w:rPr>
          <w:color w:val="231F20"/>
        </w:rPr>
        <w:t>by</w:t>
      </w:r>
      <w:r>
        <w:rPr>
          <w:color w:val="231F20"/>
          <w:spacing w:val="-11"/>
        </w:rPr>
        <w:t> </w:t>
      </w:r>
      <w:r>
        <w:rPr>
          <w:color w:val="231F20"/>
        </w:rPr>
        <w:t>the</w:t>
      </w:r>
      <w:r>
        <w:rPr>
          <w:color w:val="231F20"/>
          <w:spacing w:val="-11"/>
        </w:rPr>
        <w:t> </w:t>
      </w:r>
      <w:r>
        <w:rPr>
          <w:color w:val="231F20"/>
        </w:rPr>
        <w:t>referring</w:t>
      </w:r>
      <w:r>
        <w:rPr>
          <w:color w:val="231F20"/>
          <w:spacing w:val="-11"/>
        </w:rPr>
        <w:t> </w:t>
      </w:r>
      <w:r>
        <w:rPr>
          <w:color w:val="231F20"/>
        </w:rPr>
        <w:t>court</w:t>
      </w:r>
      <w:r>
        <w:rPr>
          <w:color w:val="231F20"/>
          <w:spacing w:val="-11"/>
        </w:rPr>
        <w:t> </w:t>
      </w:r>
      <w:r>
        <w:rPr>
          <w:color w:val="231F20"/>
        </w:rPr>
        <w:t>with</w:t>
      </w:r>
      <w:r>
        <w:rPr>
          <w:color w:val="231F20"/>
          <w:spacing w:val="-11"/>
        </w:rPr>
        <w:t> </w:t>
      </w:r>
      <w:r>
        <w:rPr>
          <w:color w:val="231F20"/>
        </w:rPr>
        <w:t>reference</w:t>
      </w:r>
      <w:r>
        <w:rPr>
          <w:color w:val="231F20"/>
          <w:spacing w:val="-11"/>
        </w:rPr>
        <w:t> </w:t>
      </w:r>
      <w:r>
        <w:rPr>
          <w:color w:val="231F20"/>
        </w:rPr>
        <w:t>to</w:t>
      </w:r>
      <w:r>
        <w:rPr>
          <w:color w:val="231F20"/>
          <w:spacing w:val="-11"/>
        </w:rPr>
        <w:t> </w:t>
      </w:r>
      <w:r>
        <w:rPr>
          <w:color w:val="231F20"/>
        </w:rPr>
        <w:t>Article 7 of the CFR (right to respect for private life)</w:t>
      </w:r>
      <w:r>
        <w:rPr>
          <w:color w:val="231F20"/>
          <w:position w:val="8"/>
          <w:sz w:val="14"/>
        </w:rPr>
        <w:t>24</w:t>
      </w:r>
      <w:r>
        <w:rPr>
          <w:color w:val="231F20"/>
        </w:rPr>
        <w:t>. The Court of Justice first noted</w:t>
      </w:r>
      <w:r>
        <w:rPr>
          <w:color w:val="231F20"/>
          <w:spacing w:val="-15"/>
        </w:rPr>
        <w:t> </w:t>
      </w:r>
      <w:r>
        <w:rPr>
          <w:color w:val="231F20"/>
        </w:rPr>
        <w:t>that</w:t>
      </w:r>
      <w:r>
        <w:rPr>
          <w:color w:val="231F20"/>
          <w:spacing w:val="-15"/>
        </w:rPr>
        <w:t> </w:t>
      </w:r>
      <w:r>
        <w:rPr>
          <w:color w:val="231F20"/>
        </w:rPr>
        <w:t>the</w:t>
      </w:r>
      <w:r>
        <w:rPr>
          <w:color w:val="231F20"/>
          <w:spacing w:val="-15"/>
        </w:rPr>
        <w:t> </w:t>
      </w:r>
      <w:r>
        <w:rPr>
          <w:color w:val="231F20"/>
        </w:rPr>
        <w:t>protection</w:t>
      </w:r>
      <w:r>
        <w:rPr>
          <w:color w:val="231F20"/>
          <w:spacing w:val="-15"/>
        </w:rPr>
        <w:t> </w:t>
      </w:r>
      <w:r>
        <w:rPr>
          <w:color w:val="231F20"/>
        </w:rPr>
        <w:t>of</w:t>
      </w:r>
      <w:r>
        <w:rPr>
          <w:color w:val="231F20"/>
          <w:spacing w:val="-15"/>
        </w:rPr>
        <w:t> </w:t>
      </w:r>
      <w:r>
        <w:rPr>
          <w:color w:val="231F20"/>
        </w:rPr>
        <w:t>the</w:t>
      </w:r>
      <w:r>
        <w:rPr>
          <w:color w:val="231F20"/>
          <w:spacing w:val="-15"/>
        </w:rPr>
        <w:t> </w:t>
      </w:r>
      <w:r>
        <w:rPr>
          <w:color w:val="231F20"/>
        </w:rPr>
        <w:t>confidentiality</w:t>
      </w:r>
      <w:r>
        <w:rPr>
          <w:color w:val="231F20"/>
          <w:spacing w:val="-15"/>
        </w:rPr>
        <w:t> </w:t>
      </w:r>
      <w:r>
        <w:rPr>
          <w:color w:val="231F20"/>
        </w:rPr>
        <w:t>of</w:t>
      </w:r>
      <w:r>
        <w:rPr>
          <w:color w:val="231F20"/>
          <w:spacing w:val="-15"/>
        </w:rPr>
        <w:t> </w:t>
      </w:r>
      <w:r>
        <w:rPr>
          <w:color w:val="231F20"/>
        </w:rPr>
        <w:t>communications</w:t>
      </w:r>
      <w:r>
        <w:rPr>
          <w:color w:val="231F20"/>
          <w:spacing w:val="-15"/>
        </w:rPr>
        <w:t> </w:t>
      </w:r>
      <w:r>
        <w:rPr>
          <w:color w:val="231F20"/>
        </w:rPr>
        <w:t>ensured by</w:t>
      </w:r>
      <w:r>
        <w:rPr>
          <w:color w:val="231F20"/>
          <w:spacing w:val="-12"/>
        </w:rPr>
        <w:t> </w:t>
      </w:r>
      <w:r>
        <w:rPr>
          <w:color w:val="231F20"/>
        </w:rPr>
        <w:t>Article</w:t>
      </w:r>
      <w:r>
        <w:rPr>
          <w:color w:val="231F20"/>
          <w:spacing w:val="-12"/>
        </w:rPr>
        <w:t> </w:t>
      </w:r>
      <w:r>
        <w:rPr>
          <w:color w:val="231F20"/>
        </w:rPr>
        <w:t>7</w:t>
      </w:r>
      <w:r>
        <w:rPr>
          <w:color w:val="231F20"/>
          <w:spacing w:val="-12"/>
        </w:rPr>
        <w:t> </w:t>
      </w:r>
      <w:r>
        <w:rPr>
          <w:color w:val="231F20"/>
        </w:rPr>
        <w:t>CFR</w:t>
      </w:r>
      <w:r>
        <w:rPr>
          <w:color w:val="231F20"/>
          <w:spacing w:val="-12"/>
        </w:rPr>
        <w:t> </w:t>
      </w:r>
      <w:r>
        <w:rPr>
          <w:color w:val="231F20"/>
        </w:rPr>
        <w:t>covers</w:t>
      </w:r>
      <w:r>
        <w:rPr>
          <w:color w:val="231F20"/>
          <w:spacing w:val="-12"/>
        </w:rPr>
        <w:t> </w:t>
      </w:r>
      <w:r>
        <w:rPr>
          <w:color w:val="231F20"/>
        </w:rPr>
        <w:t>not</w:t>
      </w:r>
      <w:r>
        <w:rPr>
          <w:color w:val="231F20"/>
          <w:spacing w:val="-12"/>
        </w:rPr>
        <w:t> </w:t>
      </w:r>
      <w:r>
        <w:rPr>
          <w:color w:val="231F20"/>
        </w:rPr>
        <w:t>only</w:t>
      </w:r>
      <w:r>
        <w:rPr>
          <w:color w:val="231F20"/>
          <w:spacing w:val="-12"/>
        </w:rPr>
        <w:t> </w:t>
      </w:r>
      <w:r>
        <w:rPr>
          <w:color w:val="231F20"/>
        </w:rPr>
        <w:t>the</w:t>
      </w:r>
      <w:r>
        <w:rPr>
          <w:color w:val="231F20"/>
          <w:spacing w:val="-12"/>
        </w:rPr>
        <w:t> </w:t>
      </w:r>
      <w:r>
        <w:rPr>
          <w:color w:val="231F20"/>
        </w:rPr>
        <w:t>lawyers’</w:t>
      </w:r>
      <w:r>
        <w:rPr>
          <w:color w:val="231F20"/>
          <w:spacing w:val="-12"/>
        </w:rPr>
        <w:t> </w:t>
      </w:r>
      <w:r>
        <w:rPr>
          <w:color w:val="231F20"/>
        </w:rPr>
        <w:t>activity</w:t>
      </w:r>
      <w:r>
        <w:rPr>
          <w:color w:val="231F20"/>
          <w:spacing w:val="-12"/>
        </w:rPr>
        <w:t> </w:t>
      </w:r>
      <w:r>
        <w:rPr>
          <w:color w:val="231F20"/>
        </w:rPr>
        <w:t>related</w:t>
      </w:r>
      <w:r>
        <w:rPr>
          <w:color w:val="231F20"/>
          <w:spacing w:val="-12"/>
        </w:rPr>
        <w:t> </w:t>
      </w:r>
      <w:r>
        <w:rPr>
          <w:color w:val="231F20"/>
        </w:rPr>
        <w:t>to</w:t>
      </w:r>
      <w:r>
        <w:rPr>
          <w:color w:val="231F20"/>
          <w:spacing w:val="-12"/>
        </w:rPr>
        <w:t> </w:t>
      </w:r>
      <w:r>
        <w:rPr>
          <w:color w:val="231F20"/>
        </w:rPr>
        <w:t>the</w:t>
      </w:r>
      <w:r>
        <w:rPr>
          <w:color w:val="231F20"/>
          <w:spacing w:val="-12"/>
        </w:rPr>
        <w:t> </w:t>
      </w:r>
      <w:r>
        <w:rPr>
          <w:color w:val="231F20"/>
        </w:rPr>
        <w:t>defence of their clients in court but also their legal advisory activity «both with re- gard to its content and its existence»</w:t>
      </w:r>
      <w:r>
        <w:rPr>
          <w:color w:val="231F20"/>
          <w:position w:val="8"/>
          <w:sz w:val="14"/>
        </w:rPr>
        <w:t>25</w:t>
      </w:r>
      <w:r>
        <w:rPr>
          <w:color w:val="231F20"/>
        </w:rPr>
        <w:t>.</w:t>
      </w:r>
    </w:p>
    <w:p>
      <w:pPr>
        <w:pStyle w:val="BodyText"/>
        <w:spacing w:before="207"/>
        <w:rPr>
          <w:sz w:val="20"/>
        </w:rPr>
      </w:pPr>
      <w:r>
        <w:rPr/>
        <mc:AlternateContent>
          <mc:Choice Requires="wps">
            <w:drawing>
              <wp:anchor distT="0" distB="0" distL="0" distR="0" allowOverlap="1" layoutInCell="1" locked="0" behindDoc="1" simplePos="0" relativeHeight="487595520">
                <wp:simplePos x="0" y="0"/>
                <wp:positionH relativeFrom="page">
                  <wp:posOffset>899999</wp:posOffset>
                </wp:positionH>
                <wp:positionV relativeFrom="paragraph">
                  <wp:posOffset>308662</wp:posOffset>
                </wp:positionV>
                <wp:extent cx="792480" cy="1270"/>
                <wp:effectExtent l="0" t="0" r="0" b="0"/>
                <wp:wrapTopAndBottom/>
                <wp:docPr id="40" name="Graphic 40"/>
                <wp:cNvGraphicFramePr>
                  <a:graphicFrameLocks/>
                </wp:cNvGraphicFramePr>
                <a:graphic>
                  <a:graphicData uri="http://schemas.microsoft.com/office/word/2010/wordprocessingShape">
                    <wps:wsp>
                      <wps:cNvPr id="40" name="Graphic 40"/>
                      <wps:cNvSpPr/>
                      <wps:spPr>
                        <a:xfrm>
                          <a:off x="0" y="0"/>
                          <a:ext cx="792480" cy="1270"/>
                        </a:xfrm>
                        <a:custGeom>
                          <a:avLst/>
                          <a:gdLst/>
                          <a:ahLst/>
                          <a:cxnLst/>
                          <a:rect l="l" t="t" r="r" b="b"/>
                          <a:pathLst>
                            <a:path w="792480" h="0">
                              <a:moveTo>
                                <a:pt x="0" y="0"/>
                              </a:moveTo>
                              <a:lnTo>
                                <a:pt x="791997"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shape style="position:absolute;margin-left:70.866096pt;margin-top:24.30410pt;width:62.4pt;height:.1pt;mso-position-horizontal-relative:page;mso-position-vertical-relative:paragraph;z-index:-15720960;mso-wrap-distance-left:0;mso-wrap-distance-right:0" id="docshape33" coordorigin="1417,486" coordsize="1248,0" path="m1417,486l2665,486e" filled="false" stroked="true" strokeweight=".5pt" strokecolor="#231f20">
                <v:path arrowok="t"/>
                <v:stroke dashstyle="solid"/>
                <w10:wrap type="topAndBottom"/>
              </v:shape>
            </w:pict>
          </mc:Fallback>
        </mc:AlternateContent>
      </w:r>
    </w:p>
    <w:p>
      <w:pPr>
        <w:spacing w:line="235" w:lineRule="exact" w:before="190"/>
        <w:ind w:left="157" w:right="0" w:firstLine="0"/>
        <w:jc w:val="both"/>
        <w:rPr>
          <w:sz w:val="19"/>
        </w:rPr>
      </w:pPr>
      <w:r>
        <w:rPr>
          <w:color w:val="231F20"/>
          <w:position w:val="6"/>
          <w:sz w:val="11"/>
        </w:rPr>
        <w:t>22</w:t>
      </w:r>
      <w:r>
        <w:rPr>
          <w:color w:val="231F20"/>
          <w:spacing w:val="53"/>
          <w:position w:val="6"/>
          <w:sz w:val="11"/>
        </w:rPr>
        <w:t>  </w:t>
      </w:r>
      <w:r>
        <w:rPr>
          <w:color w:val="231F20"/>
          <w:sz w:val="19"/>
        </w:rPr>
        <w:t>Case</w:t>
      </w:r>
      <w:r>
        <w:rPr>
          <w:color w:val="231F20"/>
          <w:spacing w:val="1"/>
          <w:sz w:val="19"/>
        </w:rPr>
        <w:t> </w:t>
      </w:r>
      <w:r>
        <w:rPr>
          <w:color w:val="231F20"/>
          <w:sz w:val="19"/>
        </w:rPr>
        <w:t>C-437/19, points 52 to </w:t>
      </w:r>
      <w:r>
        <w:rPr>
          <w:color w:val="231F20"/>
          <w:spacing w:val="-5"/>
          <w:sz w:val="19"/>
        </w:rPr>
        <w:t>62.</w:t>
      </w:r>
    </w:p>
    <w:p>
      <w:pPr>
        <w:spacing w:line="225" w:lineRule="auto" w:before="4"/>
        <w:ind w:left="157" w:right="118" w:firstLine="0"/>
        <w:jc w:val="both"/>
        <w:rPr>
          <w:sz w:val="19"/>
        </w:rPr>
      </w:pPr>
      <w:r>
        <w:rPr>
          <w:color w:val="231F20"/>
          <w:position w:val="6"/>
          <w:sz w:val="11"/>
        </w:rPr>
        <w:t>23</w:t>
      </w:r>
      <w:r>
        <w:rPr>
          <w:color w:val="231F20"/>
          <w:spacing w:val="80"/>
          <w:w w:val="150"/>
          <w:position w:val="6"/>
          <w:sz w:val="11"/>
        </w:rPr>
        <w:t> </w:t>
      </w:r>
      <w:r>
        <w:rPr>
          <w:color w:val="231F20"/>
          <w:sz w:val="19"/>
        </w:rPr>
        <w:t>By</w:t>
      </w:r>
      <w:r>
        <w:rPr>
          <w:color w:val="231F20"/>
          <w:spacing w:val="-11"/>
          <w:sz w:val="19"/>
        </w:rPr>
        <w:t> </w:t>
      </w:r>
      <w:r>
        <w:rPr>
          <w:color w:val="231F20"/>
          <w:sz w:val="19"/>
        </w:rPr>
        <w:t>«intermediary»</w:t>
      </w:r>
      <w:r>
        <w:rPr>
          <w:color w:val="231F20"/>
          <w:spacing w:val="-11"/>
          <w:sz w:val="19"/>
        </w:rPr>
        <w:t> </w:t>
      </w:r>
      <w:r>
        <w:rPr>
          <w:color w:val="231F20"/>
          <w:sz w:val="19"/>
        </w:rPr>
        <w:t>it</w:t>
      </w:r>
      <w:r>
        <w:rPr>
          <w:color w:val="231F20"/>
          <w:spacing w:val="-11"/>
          <w:sz w:val="19"/>
        </w:rPr>
        <w:t> </w:t>
      </w:r>
      <w:r>
        <w:rPr>
          <w:color w:val="231F20"/>
          <w:sz w:val="19"/>
        </w:rPr>
        <w:t>must</w:t>
      </w:r>
      <w:r>
        <w:rPr>
          <w:color w:val="231F20"/>
          <w:spacing w:val="-11"/>
          <w:sz w:val="19"/>
        </w:rPr>
        <w:t> </w:t>
      </w:r>
      <w:r>
        <w:rPr>
          <w:color w:val="231F20"/>
          <w:sz w:val="19"/>
        </w:rPr>
        <w:t>be</w:t>
      </w:r>
      <w:r>
        <w:rPr>
          <w:color w:val="231F20"/>
          <w:spacing w:val="-11"/>
          <w:sz w:val="19"/>
        </w:rPr>
        <w:t> </w:t>
      </w:r>
      <w:r>
        <w:rPr>
          <w:color w:val="231F20"/>
          <w:sz w:val="19"/>
        </w:rPr>
        <w:t>understood,</w:t>
      </w:r>
      <w:r>
        <w:rPr>
          <w:color w:val="231F20"/>
          <w:spacing w:val="-11"/>
          <w:sz w:val="19"/>
        </w:rPr>
        <w:t> </w:t>
      </w:r>
      <w:r>
        <w:rPr>
          <w:color w:val="231F20"/>
          <w:sz w:val="19"/>
        </w:rPr>
        <w:t>pursuant</w:t>
      </w:r>
      <w:r>
        <w:rPr>
          <w:color w:val="231F20"/>
          <w:spacing w:val="-11"/>
          <w:sz w:val="19"/>
        </w:rPr>
        <w:t> </w:t>
      </w:r>
      <w:r>
        <w:rPr>
          <w:color w:val="231F20"/>
          <w:sz w:val="19"/>
        </w:rPr>
        <w:t>to</w:t>
      </w:r>
      <w:r>
        <w:rPr>
          <w:color w:val="231F20"/>
          <w:spacing w:val="-11"/>
          <w:sz w:val="19"/>
        </w:rPr>
        <w:t> </w:t>
      </w:r>
      <w:r>
        <w:rPr>
          <w:color w:val="231F20"/>
          <w:sz w:val="19"/>
        </w:rPr>
        <w:t>art.</w:t>
      </w:r>
      <w:r>
        <w:rPr>
          <w:color w:val="231F20"/>
          <w:spacing w:val="-11"/>
          <w:sz w:val="19"/>
        </w:rPr>
        <w:t> </w:t>
      </w:r>
      <w:r>
        <w:rPr>
          <w:color w:val="231F20"/>
          <w:sz w:val="19"/>
        </w:rPr>
        <w:t>3,</w:t>
      </w:r>
      <w:r>
        <w:rPr>
          <w:color w:val="231F20"/>
          <w:spacing w:val="-11"/>
          <w:sz w:val="19"/>
        </w:rPr>
        <w:t> </w:t>
      </w:r>
      <w:r>
        <w:rPr>
          <w:color w:val="231F20"/>
          <w:sz w:val="19"/>
        </w:rPr>
        <w:t>no.</w:t>
      </w:r>
      <w:r>
        <w:rPr>
          <w:color w:val="231F20"/>
          <w:spacing w:val="-11"/>
          <w:sz w:val="19"/>
        </w:rPr>
        <w:t> </w:t>
      </w:r>
      <w:r>
        <w:rPr>
          <w:color w:val="231F20"/>
          <w:sz w:val="19"/>
        </w:rPr>
        <w:t>21),</w:t>
      </w:r>
      <w:r>
        <w:rPr>
          <w:color w:val="231F20"/>
          <w:spacing w:val="-11"/>
          <w:sz w:val="19"/>
        </w:rPr>
        <w:t> </w:t>
      </w:r>
      <w:r>
        <w:rPr>
          <w:color w:val="231F20"/>
          <w:sz w:val="19"/>
        </w:rPr>
        <w:t>of</w:t>
      </w:r>
      <w:r>
        <w:rPr>
          <w:color w:val="231F20"/>
          <w:spacing w:val="-11"/>
          <w:sz w:val="19"/>
        </w:rPr>
        <w:t> </w:t>
      </w:r>
      <w:r>
        <w:rPr>
          <w:color w:val="231F20"/>
          <w:sz w:val="19"/>
        </w:rPr>
        <w:t>Directive</w:t>
      </w:r>
      <w:r>
        <w:rPr>
          <w:color w:val="231F20"/>
          <w:spacing w:val="-11"/>
          <w:sz w:val="19"/>
        </w:rPr>
        <w:t> </w:t>
      </w:r>
      <w:r>
        <w:rPr>
          <w:color w:val="231F20"/>
          <w:sz w:val="19"/>
        </w:rPr>
        <w:t>2011/16/ EU:</w:t>
      </w:r>
      <w:r>
        <w:rPr>
          <w:color w:val="231F20"/>
          <w:spacing w:val="-9"/>
          <w:sz w:val="19"/>
        </w:rPr>
        <w:t> </w:t>
      </w:r>
      <w:r>
        <w:rPr>
          <w:color w:val="231F20"/>
          <w:sz w:val="19"/>
        </w:rPr>
        <w:t>«any</w:t>
      </w:r>
      <w:r>
        <w:rPr>
          <w:color w:val="231F20"/>
          <w:spacing w:val="-9"/>
          <w:sz w:val="19"/>
        </w:rPr>
        <w:t> </w:t>
      </w:r>
      <w:r>
        <w:rPr>
          <w:color w:val="231F20"/>
          <w:sz w:val="19"/>
        </w:rPr>
        <w:t>person</w:t>
      </w:r>
      <w:r>
        <w:rPr>
          <w:color w:val="231F20"/>
          <w:spacing w:val="-9"/>
          <w:sz w:val="19"/>
        </w:rPr>
        <w:t> </w:t>
      </w:r>
      <w:r>
        <w:rPr>
          <w:color w:val="231F20"/>
          <w:sz w:val="19"/>
        </w:rPr>
        <w:t>who</w:t>
      </w:r>
      <w:r>
        <w:rPr>
          <w:color w:val="231F20"/>
          <w:spacing w:val="-9"/>
          <w:sz w:val="19"/>
        </w:rPr>
        <w:t> </w:t>
      </w:r>
      <w:r>
        <w:rPr>
          <w:color w:val="231F20"/>
          <w:sz w:val="19"/>
        </w:rPr>
        <w:t>designs,</w:t>
      </w:r>
      <w:r>
        <w:rPr>
          <w:color w:val="231F20"/>
          <w:spacing w:val="-9"/>
          <w:sz w:val="19"/>
        </w:rPr>
        <w:t> </w:t>
      </w:r>
      <w:r>
        <w:rPr>
          <w:color w:val="231F20"/>
          <w:sz w:val="19"/>
        </w:rPr>
        <w:t>markets,</w:t>
      </w:r>
      <w:r>
        <w:rPr>
          <w:color w:val="231F20"/>
          <w:spacing w:val="-9"/>
          <w:sz w:val="19"/>
        </w:rPr>
        <w:t> </w:t>
      </w:r>
      <w:r>
        <w:rPr>
          <w:color w:val="231F20"/>
          <w:sz w:val="19"/>
        </w:rPr>
        <w:t>organizes</w:t>
      </w:r>
      <w:r>
        <w:rPr>
          <w:color w:val="231F20"/>
          <w:spacing w:val="-9"/>
          <w:sz w:val="19"/>
        </w:rPr>
        <w:t> </w:t>
      </w:r>
      <w:r>
        <w:rPr>
          <w:color w:val="231F20"/>
          <w:sz w:val="19"/>
        </w:rPr>
        <w:t>or</w:t>
      </w:r>
      <w:r>
        <w:rPr>
          <w:color w:val="231F20"/>
          <w:spacing w:val="-9"/>
          <w:sz w:val="19"/>
        </w:rPr>
        <w:t> </w:t>
      </w:r>
      <w:r>
        <w:rPr>
          <w:color w:val="231F20"/>
          <w:sz w:val="19"/>
        </w:rPr>
        <w:t>makes</w:t>
      </w:r>
      <w:r>
        <w:rPr>
          <w:color w:val="231F20"/>
          <w:spacing w:val="-9"/>
          <w:sz w:val="19"/>
        </w:rPr>
        <w:t> </w:t>
      </w:r>
      <w:r>
        <w:rPr>
          <w:color w:val="231F20"/>
          <w:sz w:val="19"/>
        </w:rPr>
        <w:t>available</w:t>
      </w:r>
      <w:r>
        <w:rPr>
          <w:color w:val="231F20"/>
          <w:spacing w:val="-9"/>
          <w:sz w:val="19"/>
        </w:rPr>
        <w:t> </w:t>
      </w:r>
      <w:r>
        <w:rPr>
          <w:color w:val="231F20"/>
          <w:sz w:val="19"/>
        </w:rPr>
        <w:t>for</w:t>
      </w:r>
      <w:r>
        <w:rPr>
          <w:color w:val="231F20"/>
          <w:spacing w:val="-9"/>
          <w:sz w:val="19"/>
        </w:rPr>
        <w:t> </w:t>
      </w:r>
      <w:r>
        <w:rPr>
          <w:color w:val="231F20"/>
          <w:sz w:val="19"/>
        </w:rPr>
        <w:t>the</w:t>
      </w:r>
      <w:r>
        <w:rPr>
          <w:color w:val="231F20"/>
          <w:spacing w:val="-9"/>
          <w:sz w:val="19"/>
        </w:rPr>
        <w:t> </w:t>
      </w:r>
      <w:r>
        <w:rPr>
          <w:color w:val="231F20"/>
          <w:sz w:val="19"/>
        </w:rPr>
        <w:t>implementation</w:t>
      </w:r>
      <w:r>
        <w:rPr>
          <w:color w:val="231F20"/>
          <w:spacing w:val="-9"/>
          <w:sz w:val="19"/>
        </w:rPr>
        <w:t> </w:t>
      </w:r>
      <w:r>
        <w:rPr>
          <w:color w:val="231F20"/>
          <w:sz w:val="19"/>
        </w:rPr>
        <w:t>or manages the implementation of a reportable cross-border arrangement».</w:t>
      </w:r>
    </w:p>
    <w:p>
      <w:pPr>
        <w:spacing w:line="225" w:lineRule="auto" w:before="3"/>
        <w:ind w:left="157" w:right="118" w:firstLine="0"/>
        <w:jc w:val="both"/>
        <w:rPr>
          <w:i/>
          <w:sz w:val="19"/>
        </w:rPr>
      </w:pPr>
      <w:r>
        <w:rPr>
          <w:color w:val="231F20"/>
          <w:position w:val="6"/>
          <w:sz w:val="11"/>
        </w:rPr>
        <w:t>24</w:t>
      </w:r>
      <w:r>
        <w:rPr>
          <w:color w:val="231F20"/>
          <w:spacing w:val="80"/>
          <w:position w:val="6"/>
          <w:sz w:val="11"/>
        </w:rPr>
        <w:t> </w:t>
      </w:r>
      <w:r>
        <w:rPr>
          <w:color w:val="231F20"/>
          <w:sz w:val="19"/>
        </w:rPr>
        <w:t>For a detailed comment on article 7 of the Charter, see again T. LOCK, in the above mentioned </w:t>
      </w:r>
      <w:r>
        <w:rPr>
          <w:i/>
          <w:color w:val="231F20"/>
          <w:sz w:val="19"/>
        </w:rPr>
        <w:t>Commentary on the EU Treaties</w:t>
      </w:r>
      <w:r>
        <w:rPr>
          <w:color w:val="231F20"/>
          <w:sz w:val="19"/>
        </w:rPr>
        <w:t>, </w:t>
      </w:r>
      <w:r>
        <w:rPr>
          <w:i/>
          <w:color w:val="231F20"/>
          <w:sz w:val="19"/>
        </w:rPr>
        <w:t>op. cit.</w:t>
      </w:r>
    </w:p>
    <w:p>
      <w:pPr>
        <w:spacing w:line="233" w:lineRule="exact" w:before="0"/>
        <w:ind w:left="157" w:right="0" w:firstLine="0"/>
        <w:jc w:val="both"/>
        <w:rPr>
          <w:sz w:val="19"/>
        </w:rPr>
      </w:pPr>
      <w:r>
        <w:rPr>
          <w:color w:val="231F20"/>
          <w:position w:val="6"/>
          <w:sz w:val="11"/>
        </w:rPr>
        <w:t>25</w:t>
      </w:r>
      <w:r>
        <w:rPr>
          <w:color w:val="231F20"/>
          <w:spacing w:val="52"/>
          <w:position w:val="6"/>
          <w:sz w:val="11"/>
        </w:rPr>
        <w:t>  </w:t>
      </w:r>
      <w:r>
        <w:rPr>
          <w:color w:val="231F20"/>
          <w:sz w:val="19"/>
        </w:rPr>
        <w:t>Case </w:t>
      </w:r>
      <w:r>
        <w:rPr>
          <w:i/>
          <w:color w:val="231F20"/>
          <w:sz w:val="19"/>
        </w:rPr>
        <w:t>Orde</w:t>
      </w:r>
      <w:r>
        <w:rPr>
          <w:i/>
          <w:color w:val="231F20"/>
          <w:spacing w:val="-1"/>
          <w:sz w:val="19"/>
        </w:rPr>
        <w:t> </w:t>
      </w:r>
      <w:r>
        <w:rPr>
          <w:i/>
          <w:color w:val="231F20"/>
          <w:sz w:val="19"/>
        </w:rPr>
        <w:t>van</w:t>
      </w:r>
      <w:r>
        <w:rPr>
          <w:i/>
          <w:color w:val="231F20"/>
          <w:spacing w:val="-11"/>
          <w:sz w:val="19"/>
        </w:rPr>
        <w:t> </w:t>
      </w:r>
      <w:r>
        <w:rPr>
          <w:i/>
          <w:color w:val="231F20"/>
          <w:sz w:val="19"/>
        </w:rPr>
        <w:t>Vlaamse Balies,</w:t>
      </w:r>
      <w:r>
        <w:rPr>
          <w:i/>
          <w:color w:val="231F20"/>
          <w:spacing w:val="-1"/>
          <w:sz w:val="19"/>
        </w:rPr>
        <w:t> </w:t>
      </w:r>
      <w:r>
        <w:rPr>
          <w:color w:val="231F20"/>
          <w:sz w:val="19"/>
        </w:rPr>
        <w:t>C-694/20,</w:t>
      </w:r>
      <w:r>
        <w:rPr>
          <w:color w:val="231F20"/>
          <w:spacing w:val="-1"/>
          <w:sz w:val="19"/>
        </w:rPr>
        <w:t> </w:t>
      </w:r>
      <w:r>
        <w:rPr>
          <w:color w:val="231F20"/>
          <w:sz w:val="19"/>
        </w:rPr>
        <w:t>points</w:t>
      </w:r>
      <w:r>
        <w:rPr>
          <w:color w:val="231F20"/>
          <w:spacing w:val="-1"/>
          <w:sz w:val="19"/>
        </w:rPr>
        <w:t> </w:t>
      </w:r>
      <w:r>
        <w:rPr>
          <w:color w:val="231F20"/>
          <w:sz w:val="19"/>
        </w:rPr>
        <w:t>27, 28</w:t>
      </w:r>
      <w:r>
        <w:rPr>
          <w:color w:val="231F20"/>
          <w:spacing w:val="-1"/>
          <w:sz w:val="19"/>
        </w:rPr>
        <w:t> </w:t>
      </w:r>
      <w:r>
        <w:rPr>
          <w:color w:val="231F20"/>
          <w:sz w:val="19"/>
        </w:rPr>
        <w:t>and</w:t>
      </w:r>
      <w:r>
        <w:rPr>
          <w:color w:val="231F20"/>
          <w:spacing w:val="-1"/>
          <w:sz w:val="19"/>
        </w:rPr>
        <w:t> </w:t>
      </w:r>
      <w:r>
        <w:rPr>
          <w:color w:val="231F20"/>
          <w:spacing w:val="-5"/>
          <w:sz w:val="19"/>
        </w:rPr>
        <w:t>29.</w:t>
      </w:r>
    </w:p>
    <w:p>
      <w:pPr>
        <w:spacing w:after="0" w:line="233" w:lineRule="exact"/>
        <w:jc w:val="both"/>
        <w:rPr>
          <w:sz w:val="19"/>
        </w:rPr>
        <w:sectPr>
          <w:pgSz w:w="9640" w:h="13610"/>
          <w:pgMar w:header="0" w:footer="625" w:top="1260" w:bottom="820" w:left="1260" w:right="1240"/>
        </w:sectPr>
      </w:pPr>
    </w:p>
    <w:p>
      <w:pPr>
        <w:pStyle w:val="BodyText"/>
        <w:spacing w:line="225" w:lineRule="auto" w:before="117"/>
        <w:ind w:left="100" w:right="175" w:firstLine="340"/>
        <w:jc w:val="both"/>
      </w:pPr>
      <w:r>
        <w:rPr>
          <w:color w:val="231F20"/>
        </w:rPr>
        <w:t>This obligation of notification from the intermediary lawyer to other intermediaries</w:t>
      </w:r>
      <w:r>
        <w:rPr>
          <w:color w:val="231F20"/>
          <w:spacing w:val="-15"/>
        </w:rPr>
        <w:t> </w:t>
      </w:r>
      <w:r>
        <w:rPr>
          <w:color w:val="231F20"/>
        </w:rPr>
        <w:t>not</w:t>
      </w:r>
      <w:r>
        <w:rPr>
          <w:color w:val="231F20"/>
          <w:spacing w:val="-15"/>
        </w:rPr>
        <w:t> </w:t>
      </w:r>
      <w:r>
        <w:rPr>
          <w:color w:val="231F20"/>
        </w:rPr>
        <w:t>bound</w:t>
      </w:r>
      <w:r>
        <w:rPr>
          <w:color w:val="231F20"/>
          <w:spacing w:val="-15"/>
        </w:rPr>
        <w:t> </w:t>
      </w:r>
      <w:r>
        <w:rPr>
          <w:color w:val="231F20"/>
        </w:rPr>
        <w:t>by</w:t>
      </w:r>
      <w:r>
        <w:rPr>
          <w:color w:val="231F20"/>
          <w:spacing w:val="-15"/>
        </w:rPr>
        <w:t> </w:t>
      </w:r>
      <w:r>
        <w:rPr>
          <w:color w:val="231F20"/>
        </w:rPr>
        <w:t>professional</w:t>
      </w:r>
      <w:r>
        <w:rPr>
          <w:color w:val="231F20"/>
          <w:spacing w:val="-15"/>
        </w:rPr>
        <w:t> </w:t>
      </w:r>
      <w:r>
        <w:rPr>
          <w:color w:val="231F20"/>
        </w:rPr>
        <w:t>secrecy</w:t>
      </w:r>
      <w:r>
        <w:rPr>
          <w:color w:val="231F20"/>
          <w:spacing w:val="-15"/>
        </w:rPr>
        <w:t> </w:t>
      </w:r>
      <w:r>
        <w:rPr>
          <w:color w:val="231F20"/>
        </w:rPr>
        <w:t>constitutes,</w:t>
      </w:r>
      <w:r>
        <w:rPr>
          <w:color w:val="231F20"/>
          <w:spacing w:val="-15"/>
        </w:rPr>
        <w:t> </w:t>
      </w:r>
      <w:r>
        <w:rPr>
          <w:color w:val="231F20"/>
        </w:rPr>
        <w:t>for</w:t>
      </w:r>
      <w:r>
        <w:rPr>
          <w:color w:val="231F20"/>
          <w:spacing w:val="-15"/>
        </w:rPr>
        <w:t> </w:t>
      </w:r>
      <w:r>
        <w:rPr>
          <w:color w:val="231F20"/>
        </w:rPr>
        <w:t>the</w:t>
      </w:r>
      <w:r>
        <w:rPr>
          <w:color w:val="231F20"/>
          <w:spacing w:val="-15"/>
        </w:rPr>
        <w:t> </w:t>
      </w:r>
      <w:r>
        <w:rPr>
          <w:color w:val="231F20"/>
        </w:rPr>
        <w:t>Union </w:t>
      </w:r>
      <w:r>
        <w:rPr>
          <w:color w:val="231F20"/>
          <w:spacing w:val="-2"/>
        </w:rPr>
        <w:t>judges,</w:t>
      </w:r>
      <w:r>
        <w:rPr>
          <w:color w:val="231F20"/>
          <w:spacing w:val="-6"/>
        </w:rPr>
        <w:t> </w:t>
      </w:r>
      <w:r>
        <w:rPr>
          <w:color w:val="231F20"/>
          <w:spacing w:val="-2"/>
        </w:rPr>
        <w:t>a</w:t>
      </w:r>
      <w:r>
        <w:rPr>
          <w:color w:val="231F20"/>
          <w:spacing w:val="-6"/>
        </w:rPr>
        <w:t> </w:t>
      </w:r>
      <w:r>
        <w:rPr>
          <w:color w:val="231F20"/>
          <w:spacing w:val="-2"/>
        </w:rPr>
        <w:t>first</w:t>
      </w:r>
      <w:r>
        <w:rPr>
          <w:color w:val="231F20"/>
          <w:spacing w:val="-6"/>
        </w:rPr>
        <w:t> </w:t>
      </w:r>
      <w:r>
        <w:rPr>
          <w:color w:val="231F20"/>
          <w:spacing w:val="-2"/>
        </w:rPr>
        <w:t>serious</w:t>
      </w:r>
      <w:r>
        <w:rPr>
          <w:color w:val="231F20"/>
          <w:spacing w:val="-6"/>
        </w:rPr>
        <w:t> </w:t>
      </w:r>
      <w:r>
        <w:rPr>
          <w:color w:val="231F20"/>
          <w:spacing w:val="-2"/>
        </w:rPr>
        <w:t>«interference»</w:t>
      </w:r>
      <w:r>
        <w:rPr>
          <w:color w:val="231F20"/>
          <w:spacing w:val="-6"/>
        </w:rPr>
        <w:t> </w:t>
      </w:r>
      <w:r>
        <w:rPr>
          <w:color w:val="231F20"/>
          <w:spacing w:val="-2"/>
        </w:rPr>
        <w:t>with</w:t>
      </w:r>
      <w:r>
        <w:rPr>
          <w:color w:val="231F20"/>
          <w:spacing w:val="-6"/>
        </w:rPr>
        <w:t> </w:t>
      </w:r>
      <w:r>
        <w:rPr>
          <w:color w:val="231F20"/>
          <w:spacing w:val="-2"/>
        </w:rPr>
        <w:t>the</w:t>
      </w:r>
      <w:r>
        <w:rPr>
          <w:color w:val="231F20"/>
          <w:spacing w:val="-6"/>
        </w:rPr>
        <w:t> </w:t>
      </w:r>
      <w:r>
        <w:rPr>
          <w:color w:val="231F20"/>
          <w:spacing w:val="-2"/>
        </w:rPr>
        <w:t>right</w:t>
      </w:r>
      <w:r>
        <w:rPr>
          <w:color w:val="231F20"/>
          <w:spacing w:val="-6"/>
        </w:rPr>
        <w:t> </w:t>
      </w:r>
      <w:r>
        <w:rPr>
          <w:color w:val="231F20"/>
          <w:spacing w:val="-2"/>
        </w:rPr>
        <w:t>to</w:t>
      </w:r>
      <w:r>
        <w:rPr>
          <w:color w:val="231F20"/>
          <w:spacing w:val="-6"/>
        </w:rPr>
        <w:t> </w:t>
      </w:r>
      <w:r>
        <w:rPr>
          <w:color w:val="231F20"/>
          <w:spacing w:val="-2"/>
        </w:rPr>
        <w:t>confidentiality</w:t>
      </w:r>
      <w:r>
        <w:rPr>
          <w:color w:val="231F20"/>
          <w:spacing w:val="-6"/>
        </w:rPr>
        <w:t> </w:t>
      </w:r>
      <w:r>
        <w:rPr>
          <w:color w:val="231F20"/>
          <w:spacing w:val="-2"/>
        </w:rPr>
        <w:t>of</w:t>
      </w:r>
      <w:r>
        <w:rPr>
          <w:color w:val="231F20"/>
          <w:spacing w:val="-6"/>
        </w:rPr>
        <w:t> </w:t>
      </w:r>
      <w:r>
        <w:rPr>
          <w:color w:val="231F20"/>
          <w:spacing w:val="-2"/>
        </w:rPr>
        <w:t>com- </w:t>
      </w:r>
      <w:r>
        <w:rPr>
          <w:color w:val="231F20"/>
        </w:rPr>
        <w:t>munications between lawyers and their clients. This first interference is compounded by a second more serious «interference» resulting from the obligation</w:t>
      </w:r>
      <w:r>
        <w:rPr>
          <w:color w:val="231F20"/>
          <w:spacing w:val="-2"/>
        </w:rPr>
        <w:t> </w:t>
      </w:r>
      <w:r>
        <w:rPr>
          <w:color w:val="231F20"/>
        </w:rPr>
        <w:t>to</w:t>
      </w:r>
      <w:r>
        <w:rPr>
          <w:color w:val="231F20"/>
          <w:spacing w:val="-2"/>
        </w:rPr>
        <w:t> </w:t>
      </w:r>
      <w:r>
        <w:rPr>
          <w:color w:val="231F20"/>
        </w:rPr>
        <w:t>communicate</w:t>
      </w:r>
      <w:r>
        <w:rPr>
          <w:color w:val="231F20"/>
          <w:spacing w:val="-2"/>
        </w:rPr>
        <w:t> </w:t>
      </w:r>
      <w:r>
        <w:rPr>
          <w:color w:val="231F20"/>
        </w:rPr>
        <w:t>to</w:t>
      </w:r>
      <w:r>
        <w:rPr>
          <w:color w:val="231F20"/>
          <w:spacing w:val="-2"/>
        </w:rPr>
        <w:t> </w:t>
      </w:r>
      <w:r>
        <w:rPr>
          <w:color w:val="231F20"/>
        </w:rPr>
        <w:t>the</w:t>
      </w:r>
      <w:r>
        <w:rPr>
          <w:color w:val="231F20"/>
          <w:spacing w:val="-2"/>
        </w:rPr>
        <w:t> </w:t>
      </w:r>
      <w:r>
        <w:rPr>
          <w:color w:val="231F20"/>
        </w:rPr>
        <w:t>tax</w:t>
      </w:r>
      <w:r>
        <w:rPr>
          <w:color w:val="231F20"/>
          <w:spacing w:val="-2"/>
        </w:rPr>
        <w:t> </w:t>
      </w:r>
      <w:r>
        <w:rPr>
          <w:color w:val="231F20"/>
        </w:rPr>
        <w:t>administration</w:t>
      </w:r>
      <w:r>
        <w:rPr>
          <w:color w:val="231F20"/>
          <w:spacing w:val="-2"/>
        </w:rPr>
        <w:t> </w:t>
      </w:r>
      <w:r>
        <w:rPr>
          <w:color w:val="231F20"/>
        </w:rPr>
        <w:t>not</w:t>
      </w:r>
      <w:r>
        <w:rPr>
          <w:color w:val="231F20"/>
          <w:spacing w:val="-2"/>
        </w:rPr>
        <w:t> </w:t>
      </w:r>
      <w:r>
        <w:rPr>
          <w:color w:val="231F20"/>
        </w:rPr>
        <w:t>only</w:t>
      </w:r>
      <w:r>
        <w:rPr>
          <w:color w:val="231F20"/>
          <w:spacing w:val="-2"/>
        </w:rPr>
        <w:t> </w:t>
      </w:r>
      <w:r>
        <w:rPr>
          <w:color w:val="231F20"/>
        </w:rPr>
        <w:t>the</w:t>
      </w:r>
      <w:r>
        <w:rPr>
          <w:color w:val="231F20"/>
          <w:spacing w:val="-2"/>
        </w:rPr>
        <w:t> </w:t>
      </w:r>
      <w:r>
        <w:rPr>
          <w:color w:val="231F20"/>
        </w:rPr>
        <w:t>content of the cross-border arrangement but also the identity of the intermediary lawyer</w:t>
      </w:r>
      <w:r>
        <w:rPr>
          <w:color w:val="231F20"/>
          <w:spacing w:val="-14"/>
        </w:rPr>
        <w:t> </w:t>
      </w:r>
      <w:r>
        <w:rPr>
          <w:color w:val="231F20"/>
        </w:rPr>
        <w:t>and</w:t>
      </w:r>
      <w:r>
        <w:rPr>
          <w:color w:val="231F20"/>
          <w:spacing w:val="-14"/>
        </w:rPr>
        <w:t> </w:t>
      </w:r>
      <w:r>
        <w:rPr>
          <w:color w:val="231F20"/>
        </w:rPr>
        <w:t>the</w:t>
      </w:r>
      <w:r>
        <w:rPr>
          <w:color w:val="231F20"/>
          <w:spacing w:val="-14"/>
        </w:rPr>
        <w:t> </w:t>
      </w:r>
      <w:r>
        <w:rPr>
          <w:color w:val="231F20"/>
        </w:rPr>
        <w:t>consultation</w:t>
      </w:r>
      <w:r>
        <w:rPr>
          <w:color w:val="231F20"/>
          <w:spacing w:val="-14"/>
        </w:rPr>
        <w:t> </w:t>
      </w:r>
      <w:r>
        <w:rPr>
          <w:color w:val="231F20"/>
        </w:rPr>
        <w:t>of</w:t>
      </w:r>
      <w:r>
        <w:rPr>
          <w:color w:val="231F20"/>
          <w:spacing w:val="-14"/>
        </w:rPr>
        <w:t> </w:t>
      </w:r>
      <w:r>
        <w:rPr>
          <w:color w:val="231F20"/>
        </w:rPr>
        <w:t>the</w:t>
      </w:r>
      <w:r>
        <w:rPr>
          <w:color w:val="231F20"/>
          <w:spacing w:val="-14"/>
        </w:rPr>
        <w:t> </w:t>
      </w:r>
      <w:r>
        <w:rPr>
          <w:color w:val="231F20"/>
        </w:rPr>
        <w:t>latter</w:t>
      </w:r>
      <w:r>
        <w:rPr>
          <w:color w:val="231F20"/>
          <w:spacing w:val="-14"/>
        </w:rPr>
        <w:t> </w:t>
      </w:r>
      <w:r>
        <w:rPr>
          <w:color w:val="231F20"/>
        </w:rPr>
        <w:t>by</w:t>
      </w:r>
      <w:r>
        <w:rPr>
          <w:color w:val="231F20"/>
          <w:spacing w:val="-14"/>
        </w:rPr>
        <w:t> </w:t>
      </w:r>
      <w:r>
        <w:rPr>
          <w:color w:val="231F20"/>
        </w:rPr>
        <w:t>the</w:t>
      </w:r>
      <w:r>
        <w:rPr>
          <w:color w:val="231F20"/>
          <w:spacing w:val="-14"/>
        </w:rPr>
        <w:t> </w:t>
      </w:r>
      <w:r>
        <w:rPr>
          <w:color w:val="231F20"/>
        </w:rPr>
        <w:t>taxpayer.</w:t>
      </w:r>
      <w:r>
        <w:rPr>
          <w:color w:val="231F20"/>
          <w:spacing w:val="-14"/>
        </w:rPr>
        <w:t> </w:t>
      </w:r>
      <w:r>
        <w:rPr>
          <w:color w:val="231F20"/>
        </w:rPr>
        <w:t>From</w:t>
      </w:r>
      <w:r>
        <w:rPr>
          <w:color w:val="231F20"/>
          <w:spacing w:val="-14"/>
        </w:rPr>
        <w:t> </w:t>
      </w:r>
      <w:r>
        <w:rPr>
          <w:color w:val="231F20"/>
        </w:rPr>
        <w:t>this</w:t>
      </w:r>
      <w:r>
        <w:rPr>
          <w:color w:val="231F20"/>
          <w:spacing w:val="-14"/>
        </w:rPr>
        <w:t> </w:t>
      </w:r>
      <w:r>
        <w:rPr>
          <w:color w:val="231F20"/>
        </w:rPr>
        <w:t>finding, the Court concluded that Article 8 ab(5) was invalid for violating Article</w:t>
      </w:r>
      <w:r>
        <w:rPr>
          <w:color w:val="231F20"/>
          <w:spacing w:val="40"/>
        </w:rPr>
        <w:t> </w:t>
      </w:r>
      <w:r>
        <w:rPr>
          <w:color w:val="231F20"/>
        </w:rPr>
        <w:t>7</w:t>
      </w:r>
      <w:r>
        <w:rPr>
          <w:color w:val="231F20"/>
          <w:spacing w:val="-3"/>
        </w:rPr>
        <w:t> </w:t>
      </w:r>
      <w:r>
        <w:rPr>
          <w:color w:val="231F20"/>
        </w:rPr>
        <w:t>of</w:t>
      </w:r>
      <w:r>
        <w:rPr>
          <w:color w:val="231F20"/>
          <w:spacing w:val="-3"/>
        </w:rPr>
        <w:t> </w:t>
      </w:r>
      <w:r>
        <w:rPr>
          <w:color w:val="231F20"/>
        </w:rPr>
        <w:t>the</w:t>
      </w:r>
      <w:r>
        <w:rPr>
          <w:color w:val="231F20"/>
          <w:spacing w:val="-3"/>
        </w:rPr>
        <w:t> </w:t>
      </w:r>
      <w:r>
        <w:rPr>
          <w:color w:val="231F20"/>
        </w:rPr>
        <w:t>Charter</w:t>
      </w:r>
      <w:r>
        <w:rPr>
          <w:color w:val="231F20"/>
          <w:spacing w:val="-3"/>
        </w:rPr>
        <w:t> </w:t>
      </w:r>
      <w:r>
        <w:rPr>
          <w:color w:val="231F20"/>
        </w:rPr>
        <w:t>of</w:t>
      </w:r>
      <w:r>
        <w:rPr>
          <w:color w:val="231F20"/>
          <w:spacing w:val="-3"/>
        </w:rPr>
        <w:t> </w:t>
      </w:r>
      <w:r>
        <w:rPr>
          <w:color w:val="231F20"/>
        </w:rPr>
        <w:t>Fundamental</w:t>
      </w:r>
      <w:r>
        <w:rPr>
          <w:color w:val="231F20"/>
          <w:spacing w:val="-3"/>
        </w:rPr>
        <w:t> </w:t>
      </w:r>
      <w:r>
        <w:rPr>
          <w:color w:val="231F20"/>
        </w:rPr>
        <w:t>Rights.</w:t>
      </w:r>
      <w:r>
        <w:rPr>
          <w:color w:val="231F20"/>
          <w:spacing w:val="-3"/>
        </w:rPr>
        <w:t> </w:t>
      </w:r>
      <w:r>
        <w:rPr>
          <w:color w:val="231F20"/>
        </w:rPr>
        <w:t>This</w:t>
      </w:r>
      <w:r>
        <w:rPr>
          <w:color w:val="231F20"/>
          <w:spacing w:val="-3"/>
        </w:rPr>
        <w:t> </w:t>
      </w:r>
      <w:r>
        <w:rPr>
          <w:color w:val="231F20"/>
        </w:rPr>
        <w:t>judgment</w:t>
      </w:r>
      <w:r>
        <w:rPr>
          <w:color w:val="231F20"/>
          <w:spacing w:val="-3"/>
        </w:rPr>
        <w:t> </w:t>
      </w:r>
      <w:r>
        <w:rPr>
          <w:color w:val="231F20"/>
        </w:rPr>
        <w:t>forced</w:t>
      </w:r>
      <w:r>
        <w:rPr>
          <w:color w:val="231F20"/>
          <w:spacing w:val="-3"/>
        </w:rPr>
        <w:t> </w:t>
      </w:r>
      <w:r>
        <w:rPr>
          <w:color w:val="231F20"/>
        </w:rPr>
        <w:t>the</w:t>
      </w:r>
      <w:r>
        <w:rPr>
          <w:color w:val="231F20"/>
          <w:spacing w:val="-3"/>
        </w:rPr>
        <w:t> </w:t>
      </w:r>
      <w:r>
        <w:rPr>
          <w:color w:val="231F20"/>
        </w:rPr>
        <w:t>Union </w:t>
      </w:r>
      <w:r>
        <w:rPr>
          <w:color w:val="231F20"/>
          <w:spacing w:val="-2"/>
        </w:rPr>
        <w:t>legislator</w:t>
      </w:r>
      <w:r>
        <w:rPr>
          <w:color w:val="231F20"/>
          <w:spacing w:val="-4"/>
        </w:rPr>
        <w:t> </w:t>
      </w:r>
      <w:r>
        <w:rPr>
          <w:color w:val="231F20"/>
          <w:spacing w:val="-2"/>
        </w:rPr>
        <w:t>to</w:t>
      </w:r>
      <w:r>
        <w:rPr>
          <w:color w:val="231F20"/>
          <w:spacing w:val="-4"/>
        </w:rPr>
        <w:t> </w:t>
      </w:r>
      <w:r>
        <w:rPr>
          <w:color w:val="231F20"/>
          <w:spacing w:val="-2"/>
        </w:rPr>
        <w:t>amend</w:t>
      </w:r>
      <w:r>
        <w:rPr>
          <w:color w:val="231F20"/>
          <w:spacing w:val="-4"/>
        </w:rPr>
        <w:t> </w:t>
      </w:r>
      <w:r>
        <w:rPr>
          <w:color w:val="231F20"/>
          <w:spacing w:val="-2"/>
        </w:rPr>
        <w:t>the</w:t>
      </w:r>
      <w:r>
        <w:rPr>
          <w:color w:val="231F20"/>
          <w:spacing w:val="-4"/>
        </w:rPr>
        <w:t> </w:t>
      </w:r>
      <w:r>
        <w:rPr>
          <w:color w:val="231F20"/>
          <w:spacing w:val="-2"/>
        </w:rPr>
        <w:t>aforementioned</w:t>
      </w:r>
      <w:r>
        <w:rPr>
          <w:color w:val="231F20"/>
          <w:spacing w:val="-4"/>
        </w:rPr>
        <w:t> </w:t>
      </w:r>
      <w:r>
        <w:rPr>
          <w:color w:val="231F20"/>
          <w:spacing w:val="-2"/>
        </w:rPr>
        <w:t>provision</w:t>
      </w:r>
      <w:r>
        <w:rPr>
          <w:color w:val="231F20"/>
          <w:spacing w:val="-4"/>
        </w:rPr>
        <w:t> </w:t>
      </w:r>
      <w:r>
        <w:rPr>
          <w:color w:val="231F20"/>
          <w:spacing w:val="-2"/>
        </w:rPr>
        <w:t>of</w:t>
      </w:r>
      <w:r>
        <w:rPr>
          <w:color w:val="231F20"/>
          <w:spacing w:val="-4"/>
        </w:rPr>
        <w:t> </w:t>
      </w:r>
      <w:r>
        <w:rPr>
          <w:color w:val="231F20"/>
          <w:spacing w:val="-2"/>
        </w:rPr>
        <w:t>Directive</w:t>
      </w:r>
      <w:r>
        <w:rPr>
          <w:color w:val="231F20"/>
          <w:spacing w:val="-4"/>
        </w:rPr>
        <w:t> </w:t>
      </w:r>
      <w:r>
        <w:rPr>
          <w:color w:val="231F20"/>
          <w:spacing w:val="-2"/>
        </w:rPr>
        <w:t>2011/16/EU </w:t>
      </w:r>
      <w:r>
        <w:rPr>
          <w:color w:val="231F20"/>
        </w:rPr>
        <w:t>by</w:t>
      </w:r>
      <w:r>
        <w:rPr>
          <w:color w:val="231F20"/>
          <w:spacing w:val="-15"/>
        </w:rPr>
        <w:t> </w:t>
      </w:r>
      <w:r>
        <w:rPr>
          <w:color w:val="231F20"/>
        </w:rPr>
        <w:t>Directive</w:t>
      </w:r>
      <w:r>
        <w:rPr>
          <w:color w:val="231F20"/>
          <w:spacing w:val="-15"/>
        </w:rPr>
        <w:t> </w:t>
      </w:r>
      <w:r>
        <w:rPr>
          <w:color w:val="231F20"/>
        </w:rPr>
        <w:t>2023/2226/EU</w:t>
      </w:r>
      <w:r>
        <w:rPr>
          <w:color w:val="231F20"/>
          <w:spacing w:val="-15"/>
        </w:rPr>
        <w:t> </w:t>
      </w:r>
      <w:r>
        <w:rPr>
          <w:color w:val="231F20"/>
        </w:rPr>
        <w:t>(so-called</w:t>
      </w:r>
      <w:r>
        <w:rPr>
          <w:color w:val="231F20"/>
          <w:spacing w:val="-15"/>
        </w:rPr>
        <w:t> </w:t>
      </w:r>
      <w:r>
        <w:rPr>
          <w:color w:val="231F20"/>
        </w:rPr>
        <w:t>DAC</w:t>
      </w:r>
      <w:r>
        <w:rPr>
          <w:color w:val="231F20"/>
          <w:spacing w:val="-15"/>
        </w:rPr>
        <w:t> </w:t>
      </w:r>
      <w:r>
        <w:rPr>
          <w:color w:val="231F20"/>
        </w:rPr>
        <w:t>8)</w:t>
      </w:r>
      <w:r>
        <w:rPr>
          <w:color w:val="231F20"/>
          <w:position w:val="8"/>
          <w:sz w:val="14"/>
        </w:rPr>
        <w:t>26</w:t>
      </w:r>
      <w:r>
        <w:rPr>
          <w:color w:val="231F20"/>
        </w:rPr>
        <w:t>,</w:t>
      </w:r>
      <w:r>
        <w:rPr>
          <w:color w:val="231F20"/>
          <w:spacing w:val="-15"/>
        </w:rPr>
        <w:t> </w:t>
      </w:r>
      <w:r>
        <w:rPr>
          <w:color w:val="231F20"/>
        </w:rPr>
        <w:t>to</w:t>
      </w:r>
      <w:r>
        <w:rPr>
          <w:color w:val="231F20"/>
          <w:spacing w:val="-15"/>
        </w:rPr>
        <w:t> </w:t>
      </w:r>
      <w:r>
        <w:rPr>
          <w:color w:val="231F20"/>
        </w:rPr>
        <w:t>exempt</w:t>
      </w:r>
      <w:r>
        <w:rPr>
          <w:color w:val="231F20"/>
          <w:spacing w:val="-15"/>
        </w:rPr>
        <w:t> </w:t>
      </w:r>
      <w:r>
        <w:rPr>
          <w:color w:val="231F20"/>
        </w:rPr>
        <w:t>the</w:t>
      </w:r>
      <w:r>
        <w:rPr>
          <w:color w:val="231F20"/>
          <w:spacing w:val="-15"/>
        </w:rPr>
        <w:t> </w:t>
      </w:r>
      <w:r>
        <w:rPr>
          <w:color w:val="231F20"/>
        </w:rPr>
        <w:t>intermedi- ary</w:t>
      </w:r>
      <w:r>
        <w:rPr>
          <w:color w:val="231F20"/>
          <w:spacing w:val="-4"/>
        </w:rPr>
        <w:t> </w:t>
      </w:r>
      <w:r>
        <w:rPr>
          <w:color w:val="231F20"/>
        </w:rPr>
        <w:t>lawyer</w:t>
      </w:r>
      <w:r>
        <w:rPr>
          <w:color w:val="231F20"/>
          <w:spacing w:val="-4"/>
        </w:rPr>
        <w:t> </w:t>
      </w:r>
      <w:r>
        <w:rPr>
          <w:color w:val="231F20"/>
        </w:rPr>
        <w:t>from</w:t>
      </w:r>
      <w:r>
        <w:rPr>
          <w:color w:val="231F20"/>
          <w:spacing w:val="-4"/>
        </w:rPr>
        <w:t> </w:t>
      </w:r>
      <w:r>
        <w:rPr>
          <w:color w:val="231F20"/>
        </w:rPr>
        <w:t>the</w:t>
      </w:r>
      <w:r>
        <w:rPr>
          <w:color w:val="231F20"/>
          <w:spacing w:val="-4"/>
        </w:rPr>
        <w:t> </w:t>
      </w:r>
      <w:r>
        <w:rPr>
          <w:color w:val="231F20"/>
        </w:rPr>
        <w:t>obligation</w:t>
      </w:r>
      <w:r>
        <w:rPr>
          <w:color w:val="231F20"/>
          <w:spacing w:val="-4"/>
        </w:rPr>
        <w:t> </w:t>
      </w:r>
      <w:r>
        <w:rPr>
          <w:color w:val="231F20"/>
        </w:rPr>
        <w:t>to</w:t>
      </w:r>
      <w:r>
        <w:rPr>
          <w:color w:val="231F20"/>
          <w:spacing w:val="-4"/>
        </w:rPr>
        <w:t> </w:t>
      </w:r>
      <w:r>
        <w:rPr>
          <w:color w:val="231F20"/>
        </w:rPr>
        <w:t>notify</w:t>
      </w:r>
      <w:r>
        <w:rPr>
          <w:color w:val="231F20"/>
          <w:spacing w:val="-4"/>
        </w:rPr>
        <w:t> </w:t>
      </w:r>
      <w:r>
        <w:rPr>
          <w:color w:val="231F20"/>
        </w:rPr>
        <w:t>another</w:t>
      </w:r>
      <w:r>
        <w:rPr>
          <w:color w:val="231F20"/>
          <w:spacing w:val="-4"/>
        </w:rPr>
        <w:t> </w:t>
      </w:r>
      <w:r>
        <w:rPr>
          <w:color w:val="231F20"/>
        </w:rPr>
        <w:t>intermediary</w:t>
      </w:r>
      <w:r>
        <w:rPr>
          <w:color w:val="231F20"/>
          <w:spacing w:val="-4"/>
        </w:rPr>
        <w:t> </w:t>
      </w:r>
      <w:r>
        <w:rPr>
          <w:color w:val="231F20"/>
        </w:rPr>
        <w:t>of</w:t>
      </w:r>
      <w:r>
        <w:rPr>
          <w:color w:val="231F20"/>
          <w:spacing w:val="-4"/>
        </w:rPr>
        <w:t> </w:t>
      </w:r>
      <w:r>
        <w:rPr>
          <w:color w:val="231F20"/>
        </w:rPr>
        <w:t>the</w:t>
      </w:r>
      <w:r>
        <w:rPr>
          <w:color w:val="231F20"/>
          <w:spacing w:val="-4"/>
        </w:rPr>
        <w:t> </w:t>
      </w:r>
      <w:r>
        <w:rPr>
          <w:color w:val="231F20"/>
        </w:rPr>
        <w:t>cross- border</w:t>
      </w:r>
      <w:r>
        <w:rPr>
          <w:color w:val="231F20"/>
          <w:spacing w:val="-6"/>
        </w:rPr>
        <w:t> </w:t>
      </w:r>
      <w:r>
        <w:rPr>
          <w:color w:val="231F20"/>
        </w:rPr>
        <w:t>arrangement</w:t>
      </w:r>
      <w:r>
        <w:rPr>
          <w:color w:val="231F20"/>
          <w:spacing w:val="-6"/>
        </w:rPr>
        <w:t> </w:t>
      </w:r>
      <w:r>
        <w:rPr>
          <w:color w:val="231F20"/>
        </w:rPr>
        <w:t>and</w:t>
      </w:r>
      <w:r>
        <w:rPr>
          <w:color w:val="231F20"/>
          <w:spacing w:val="-6"/>
        </w:rPr>
        <w:t> </w:t>
      </w:r>
      <w:r>
        <w:rPr>
          <w:color w:val="231F20"/>
        </w:rPr>
        <w:t>to</w:t>
      </w:r>
      <w:r>
        <w:rPr>
          <w:color w:val="231F20"/>
          <w:spacing w:val="-6"/>
        </w:rPr>
        <w:t> </w:t>
      </w:r>
      <w:r>
        <w:rPr>
          <w:color w:val="231F20"/>
        </w:rPr>
        <w:t>limit</w:t>
      </w:r>
      <w:r>
        <w:rPr>
          <w:color w:val="231F20"/>
          <w:spacing w:val="-6"/>
        </w:rPr>
        <w:t> </w:t>
      </w:r>
      <w:r>
        <w:rPr>
          <w:color w:val="231F20"/>
        </w:rPr>
        <w:t>this</w:t>
      </w:r>
      <w:r>
        <w:rPr>
          <w:color w:val="231F20"/>
          <w:spacing w:val="-6"/>
        </w:rPr>
        <w:t> </w:t>
      </w:r>
      <w:r>
        <w:rPr>
          <w:color w:val="231F20"/>
        </w:rPr>
        <w:t>obligation</w:t>
      </w:r>
      <w:r>
        <w:rPr>
          <w:color w:val="231F20"/>
          <w:spacing w:val="-6"/>
        </w:rPr>
        <w:t> </w:t>
      </w:r>
      <w:r>
        <w:rPr>
          <w:color w:val="231F20"/>
        </w:rPr>
        <w:t>to</w:t>
      </w:r>
      <w:r>
        <w:rPr>
          <w:color w:val="231F20"/>
          <w:spacing w:val="-6"/>
        </w:rPr>
        <w:t> </w:t>
      </w:r>
      <w:r>
        <w:rPr>
          <w:color w:val="231F20"/>
        </w:rPr>
        <w:t>the</w:t>
      </w:r>
      <w:r>
        <w:rPr>
          <w:color w:val="231F20"/>
          <w:spacing w:val="-6"/>
        </w:rPr>
        <w:t> </w:t>
      </w:r>
      <w:r>
        <w:rPr>
          <w:color w:val="231F20"/>
        </w:rPr>
        <w:t>lawyer’s</w:t>
      </w:r>
      <w:r>
        <w:rPr>
          <w:color w:val="231F20"/>
          <w:spacing w:val="-6"/>
        </w:rPr>
        <w:t> </w:t>
      </w:r>
      <w:r>
        <w:rPr>
          <w:color w:val="231F20"/>
        </w:rPr>
        <w:t>client</w:t>
      </w:r>
      <w:r>
        <w:rPr>
          <w:color w:val="231F20"/>
          <w:spacing w:val="-6"/>
        </w:rPr>
        <w:t> </w:t>
      </w:r>
      <w:r>
        <w:rPr>
          <w:color w:val="231F20"/>
        </w:rPr>
        <w:t>only.</w:t>
      </w:r>
    </w:p>
    <w:p>
      <w:pPr>
        <w:pStyle w:val="BodyText"/>
        <w:spacing w:before="159"/>
      </w:pPr>
    </w:p>
    <w:p>
      <w:pPr>
        <w:pStyle w:val="ListParagraph"/>
        <w:numPr>
          <w:ilvl w:val="1"/>
          <w:numId w:val="1"/>
        </w:numPr>
        <w:tabs>
          <w:tab w:pos="526" w:val="left" w:leader="none"/>
        </w:tabs>
        <w:spacing w:line="244" w:lineRule="auto" w:before="0" w:after="0"/>
        <w:ind w:left="100" w:right="634" w:firstLine="0"/>
        <w:jc w:val="left"/>
        <w:rPr>
          <w:b/>
          <w:sz w:val="24"/>
        </w:rPr>
      </w:pPr>
      <w:r>
        <w:rPr>
          <w:b/>
          <w:color w:val="231F20"/>
          <w:sz w:val="24"/>
        </w:rPr>
        <w:t>The derogation from the obligation to notify the reporting obligation</w:t>
      </w:r>
      <w:r>
        <w:rPr>
          <w:b/>
          <w:color w:val="231F20"/>
          <w:spacing w:val="-5"/>
          <w:sz w:val="24"/>
        </w:rPr>
        <w:t> </w:t>
      </w:r>
      <w:r>
        <w:rPr>
          <w:b/>
          <w:color w:val="231F20"/>
          <w:sz w:val="24"/>
        </w:rPr>
        <w:t>to</w:t>
      </w:r>
      <w:r>
        <w:rPr>
          <w:b/>
          <w:color w:val="231F20"/>
          <w:spacing w:val="-5"/>
          <w:sz w:val="24"/>
        </w:rPr>
        <w:t> </w:t>
      </w:r>
      <w:r>
        <w:rPr>
          <w:b/>
          <w:color w:val="231F20"/>
          <w:sz w:val="24"/>
        </w:rPr>
        <w:t>another</w:t>
      </w:r>
      <w:r>
        <w:rPr>
          <w:b/>
          <w:color w:val="231F20"/>
          <w:spacing w:val="-5"/>
          <w:sz w:val="24"/>
        </w:rPr>
        <w:t> </w:t>
      </w:r>
      <w:r>
        <w:rPr>
          <w:b/>
          <w:color w:val="231F20"/>
          <w:sz w:val="24"/>
        </w:rPr>
        <w:t>intermediary</w:t>
      </w:r>
      <w:r>
        <w:rPr>
          <w:b/>
          <w:color w:val="231F20"/>
          <w:spacing w:val="-5"/>
          <w:sz w:val="24"/>
        </w:rPr>
        <w:t> </w:t>
      </w:r>
      <w:r>
        <w:rPr>
          <w:b/>
          <w:color w:val="231F20"/>
          <w:sz w:val="24"/>
        </w:rPr>
        <w:t>does</w:t>
      </w:r>
      <w:r>
        <w:rPr>
          <w:b/>
          <w:color w:val="231F20"/>
          <w:spacing w:val="-5"/>
          <w:sz w:val="24"/>
        </w:rPr>
        <w:t> </w:t>
      </w:r>
      <w:r>
        <w:rPr>
          <w:b/>
          <w:color w:val="231F20"/>
          <w:sz w:val="24"/>
        </w:rPr>
        <w:t>not</w:t>
      </w:r>
      <w:r>
        <w:rPr>
          <w:b/>
          <w:color w:val="231F20"/>
          <w:spacing w:val="-5"/>
          <w:sz w:val="24"/>
        </w:rPr>
        <w:t> </w:t>
      </w:r>
      <w:r>
        <w:rPr>
          <w:b/>
          <w:color w:val="231F20"/>
          <w:sz w:val="24"/>
        </w:rPr>
        <w:t>apply</w:t>
      </w:r>
      <w:r>
        <w:rPr>
          <w:b/>
          <w:color w:val="231F20"/>
          <w:spacing w:val="-5"/>
          <w:sz w:val="24"/>
        </w:rPr>
        <w:t> </w:t>
      </w:r>
      <w:r>
        <w:rPr>
          <w:b/>
          <w:color w:val="231F20"/>
          <w:sz w:val="24"/>
        </w:rPr>
        <w:t>to</w:t>
      </w:r>
      <w:r>
        <w:rPr>
          <w:b/>
          <w:color w:val="231F20"/>
          <w:spacing w:val="-5"/>
          <w:sz w:val="24"/>
        </w:rPr>
        <w:t> </w:t>
      </w:r>
      <w:r>
        <w:rPr>
          <w:b/>
          <w:color w:val="231F20"/>
          <w:sz w:val="24"/>
        </w:rPr>
        <w:t>intermediaries other than lawyers</w:t>
      </w:r>
    </w:p>
    <w:p>
      <w:pPr>
        <w:pStyle w:val="BodyText"/>
        <w:spacing w:line="225" w:lineRule="auto" w:before="264"/>
        <w:ind w:left="100" w:right="174"/>
        <w:jc w:val="both"/>
      </w:pPr>
      <w:r>
        <w:rPr>
          <w:color w:val="231F20"/>
          <w:spacing w:val="-2"/>
        </w:rPr>
        <w:t>Subsequently,</w:t>
      </w:r>
      <w:r>
        <w:rPr>
          <w:color w:val="231F20"/>
          <w:spacing w:val="-7"/>
        </w:rPr>
        <w:t> </w:t>
      </w:r>
      <w:r>
        <w:rPr>
          <w:color w:val="231F20"/>
          <w:spacing w:val="-2"/>
        </w:rPr>
        <w:t>upon</w:t>
      </w:r>
      <w:r>
        <w:rPr>
          <w:color w:val="231F20"/>
          <w:spacing w:val="-7"/>
        </w:rPr>
        <w:t> </w:t>
      </w:r>
      <w:r>
        <w:rPr>
          <w:color w:val="231F20"/>
          <w:spacing w:val="-2"/>
        </w:rPr>
        <w:t>a</w:t>
      </w:r>
      <w:r>
        <w:rPr>
          <w:color w:val="231F20"/>
          <w:spacing w:val="-7"/>
        </w:rPr>
        <w:t> </w:t>
      </w:r>
      <w:r>
        <w:rPr>
          <w:color w:val="231F20"/>
          <w:spacing w:val="-2"/>
        </w:rPr>
        <w:t>second</w:t>
      </w:r>
      <w:r>
        <w:rPr>
          <w:color w:val="231F20"/>
          <w:spacing w:val="-7"/>
        </w:rPr>
        <w:t> </w:t>
      </w:r>
      <w:r>
        <w:rPr>
          <w:color w:val="231F20"/>
          <w:spacing w:val="-2"/>
        </w:rPr>
        <w:t>referral</w:t>
      </w:r>
      <w:r>
        <w:rPr>
          <w:color w:val="231F20"/>
          <w:spacing w:val="-7"/>
        </w:rPr>
        <w:t> </w:t>
      </w:r>
      <w:r>
        <w:rPr>
          <w:color w:val="231F20"/>
          <w:spacing w:val="-2"/>
        </w:rPr>
        <w:t>for</w:t>
      </w:r>
      <w:r>
        <w:rPr>
          <w:color w:val="231F20"/>
          <w:spacing w:val="-7"/>
        </w:rPr>
        <w:t> </w:t>
      </w:r>
      <w:r>
        <w:rPr>
          <w:color w:val="231F20"/>
          <w:spacing w:val="-2"/>
        </w:rPr>
        <w:t>a</w:t>
      </w:r>
      <w:r>
        <w:rPr>
          <w:color w:val="231F20"/>
          <w:spacing w:val="-7"/>
        </w:rPr>
        <w:t> </w:t>
      </w:r>
      <w:r>
        <w:rPr>
          <w:color w:val="231F20"/>
          <w:spacing w:val="-2"/>
        </w:rPr>
        <w:t>preliminary</w:t>
      </w:r>
      <w:r>
        <w:rPr>
          <w:color w:val="231F20"/>
          <w:spacing w:val="-7"/>
        </w:rPr>
        <w:t> </w:t>
      </w:r>
      <w:r>
        <w:rPr>
          <w:color w:val="231F20"/>
          <w:spacing w:val="-2"/>
        </w:rPr>
        <w:t>ruling</w:t>
      </w:r>
      <w:r>
        <w:rPr>
          <w:color w:val="231F20"/>
          <w:spacing w:val="-7"/>
        </w:rPr>
        <w:t> </w:t>
      </w:r>
      <w:r>
        <w:rPr>
          <w:color w:val="231F20"/>
          <w:spacing w:val="-2"/>
        </w:rPr>
        <w:t>by</w:t>
      </w:r>
      <w:r>
        <w:rPr>
          <w:color w:val="231F20"/>
          <w:spacing w:val="-7"/>
        </w:rPr>
        <w:t> </w:t>
      </w:r>
      <w:r>
        <w:rPr>
          <w:color w:val="231F20"/>
          <w:spacing w:val="-2"/>
        </w:rPr>
        <w:t>the</w:t>
      </w:r>
      <w:r>
        <w:rPr>
          <w:color w:val="231F20"/>
          <w:spacing w:val="-7"/>
        </w:rPr>
        <w:t> </w:t>
      </w:r>
      <w:r>
        <w:rPr>
          <w:color w:val="231F20"/>
          <w:spacing w:val="-2"/>
        </w:rPr>
        <w:t>Belgian </w:t>
      </w:r>
      <w:r>
        <w:rPr>
          <w:color w:val="231F20"/>
        </w:rPr>
        <w:t>Constitutional Court, the Court of Justice was called to clarify whether the</w:t>
      </w:r>
      <w:r>
        <w:rPr>
          <w:color w:val="231F20"/>
          <w:spacing w:val="-2"/>
        </w:rPr>
        <w:t> </w:t>
      </w:r>
      <w:r>
        <w:rPr>
          <w:color w:val="231F20"/>
        </w:rPr>
        <w:t>exemption</w:t>
      </w:r>
      <w:r>
        <w:rPr>
          <w:color w:val="231F20"/>
          <w:spacing w:val="-2"/>
        </w:rPr>
        <w:t> </w:t>
      </w:r>
      <w:r>
        <w:rPr>
          <w:color w:val="231F20"/>
        </w:rPr>
        <w:t>for</w:t>
      </w:r>
      <w:r>
        <w:rPr>
          <w:color w:val="231F20"/>
          <w:spacing w:val="-2"/>
        </w:rPr>
        <w:t> </w:t>
      </w:r>
      <w:r>
        <w:rPr>
          <w:color w:val="231F20"/>
        </w:rPr>
        <w:t>lawyers</w:t>
      </w:r>
      <w:r>
        <w:rPr>
          <w:color w:val="231F20"/>
          <w:spacing w:val="-2"/>
        </w:rPr>
        <w:t> </w:t>
      </w:r>
      <w:r>
        <w:rPr>
          <w:color w:val="231F20"/>
        </w:rPr>
        <w:t>-</w:t>
      </w:r>
      <w:r>
        <w:rPr>
          <w:color w:val="231F20"/>
          <w:spacing w:val="-2"/>
        </w:rPr>
        <w:t> </w:t>
      </w:r>
      <w:r>
        <w:rPr>
          <w:color w:val="231F20"/>
        </w:rPr>
        <w:t>stemming</w:t>
      </w:r>
      <w:r>
        <w:rPr>
          <w:color w:val="231F20"/>
          <w:spacing w:val="-2"/>
        </w:rPr>
        <w:t> </w:t>
      </w:r>
      <w:r>
        <w:rPr>
          <w:color w:val="231F20"/>
        </w:rPr>
        <w:t>out</w:t>
      </w:r>
      <w:r>
        <w:rPr>
          <w:color w:val="231F20"/>
          <w:spacing w:val="-2"/>
        </w:rPr>
        <w:t> </w:t>
      </w:r>
      <w:r>
        <w:rPr>
          <w:color w:val="231F20"/>
        </w:rPr>
        <w:t>from</w:t>
      </w:r>
      <w:r>
        <w:rPr>
          <w:color w:val="231F20"/>
          <w:spacing w:val="-2"/>
        </w:rPr>
        <w:t> </w:t>
      </w:r>
      <w:r>
        <w:rPr>
          <w:color w:val="231F20"/>
        </w:rPr>
        <w:t>the</w:t>
      </w:r>
      <w:r>
        <w:rPr>
          <w:color w:val="231F20"/>
          <w:spacing w:val="-2"/>
        </w:rPr>
        <w:t> </w:t>
      </w:r>
      <w:r>
        <w:rPr>
          <w:color w:val="231F20"/>
        </w:rPr>
        <w:t>declaration</w:t>
      </w:r>
      <w:r>
        <w:rPr>
          <w:color w:val="231F20"/>
          <w:spacing w:val="-2"/>
        </w:rPr>
        <w:t> </w:t>
      </w:r>
      <w:r>
        <w:rPr>
          <w:color w:val="231F20"/>
        </w:rPr>
        <w:t>of</w:t>
      </w:r>
      <w:r>
        <w:rPr>
          <w:color w:val="231F20"/>
          <w:spacing w:val="-2"/>
        </w:rPr>
        <w:t> </w:t>
      </w:r>
      <w:r>
        <w:rPr>
          <w:color w:val="231F20"/>
        </w:rPr>
        <w:t>invalid- ity of Article 8 ab(5) of the DAC Directive - from the obligation to no- tify another intermediary of his/her obligation to communicate to the tax administration «cross-border arrangements» of potentially aggressive tax planning, could be extended also to other professionals who, like lawyers, are authorised under a Member State law to ensure legal representation of taxpayers</w:t>
      </w:r>
      <w:r>
        <w:rPr>
          <w:color w:val="231F20"/>
          <w:spacing w:val="-11"/>
        </w:rPr>
        <w:t> </w:t>
      </w:r>
      <w:r>
        <w:rPr>
          <w:color w:val="231F20"/>
        </w:rPr>
        <w:t>before</w:t>
      </w:r>
      <w:r>
        <w:rPr>
          <w:color w:val="231F20"/>
          <w:spacing w:val="-11"/>
        </w:rPr>
        <w:t> </w:t>
      </w:r>
      <w:r>
        <w:rPr>
          <w:color w:val="231F20"/>
        </w:rPr>
        <w:t>tax</w:t>
      </w:r>
      <w:r>
        <w:rPr>
          <w:color w:val="231F20"/>
          <w:spacing w:val="-11"/>
        </w:rPr>
        <w:t> </w:t>
      </w:r>
      <w:r>
        <w:rPr>
          <w:color w:val="231F20"/>
        </w:rPr>
        <w:t>courts.</w:t>
      </w:r>
      <w:r>
        <w:rPr>
          <w:color w:val="231F20"/>
          <w:spacing w:val="39"/>
        </w:rPr>
        <w:t> </w:t>
      </w:r>
      <w:r>
        <w:rPr>
          <w:color w:val="231F20"/>
        </w:rPr>
        <w:t>On</w:t>
      </w:r>
      <w:r>
        <w:rPr>
          <w:color w:val="231F20"/>
          <w:spacing w:val="-11"/>
        </w:rPr>
        <w:t> </w:t>
      </w:r>
      <w:r>
        <w:rPr>
          <w:color w:val="231F20"/>
        </w:rPr>
        <w:t>this</w:t>
      </w:r>
      <w:r>
        <w:rPr>
          <w:color w:val="231F20"/>
          <w:spacing w:val="-11"/>
        </w:rPr>
        <w:t> </w:t>
      </w:r>
      <w:r>
        <w:rPr>
          <w:color w:val="231F20"/>
        </w:rPr>
        <w:t>issue</w:t>
      </w:r>
      <w:r>
        <w:rPr>
          <w:color w:val="231F20"/>
          <w:spacing w:val="-11"/>
        </w:rPr>
        <w:t> </w:t>
      </w:r>
      <w:r>
        <w:rPr>
          <w:color w:val="231F20"/>
        </w:rPr>
        <w:t>the</w:t>
      </w:r>
      <w:r>
        <w:rPr>
          <w:color w:val="231F20"/>
          <w:spacing w:val="-11"/>
        </w:rPr>
        <w:t> </w:t>
      </w:r>
      <w:r>
        <w:rPr>
          <w:color w:val="231F20"/>
        </w:rPr>
        <w:t>Court</w:t>
      </w:r>
      <w:r>
        <w:rPr>
          <w:color w:val="231F20"/>
          <w:spacing w:val="-11"/>
        </w:rPr>
        <w:t> </w:t>
      </w:r>
      <w:r>
        <w:rPr>
          <w:color w:val="231F20"/>
        </w:rPr>
        <w:t>of</w:t>
      </w:r>
      <w:r>
        <w:rPr>
          <w:color w:val="231F20"/>
          <w:spacing w:val="-11"/>
        </w:rPr>
        <w:t> </w:t>
      </w:r>
      <w:r>
        <w:rPr>
          <w:color w:val="231F20"/>
        </w:rPr>
        <w:t>Justice</w:t>
      </w:r>
      <w:r>
        <w:rPr>
          <w:color w:val="231F20"/>
          <w:spacing w:val="-11"/>
        </w:rPr>
        <w:t> </w:t>
      </w:r>
      <w:r>
        <w:rPr>
          <w:color w:val="231F20"/>
        </w:rPr>
        <w:t>has</w:t>
      </w:r>
      <w:r>
        <w:rPr>
          <w:color w:val="231F20"/>
          <w:spacing w:val="-11"/>
        </w:rPr>
        <w:t> </w:t>
      </w:r>
      <w:r>
        <w:rPr>
          <w:color w:val="231F20"/>
        </w:rPr>
        <w:t>declared, by</w:t>
      </w:r>
      <w:r>
        <w:rPr>
          <w:color w:val="231F20"/>
          <w:spacing w:val="-1"/>
        </w:rPr>
        <w:t> </w:t>
      </w:r>
      <w:r>
        <w:rPr>
          <w:color w:val="231F20"/>
        </w:rPr>
        <w:t>relying</w:t>
      </w:r>
      <w:r>
        <w:rPr>
          <w:color w:val="231F20"/>
          <w:spacing w:val="-1"/>
        </w:rPr>
        <w:t> </w:t>
      </w:r>
      <w:r>
        <w:rPr>
          <w:color w:val="231F20"/>
        </w:rPr>
        <w:t>on</w:t>
      </w:r>
      <w:r>
        <w:rPr>
          <w:color w:val="231F20"/>
          <w:spacing w:val="-1"/>
        </w:rPr>
        <w:t> </w:t>
      </w:r>
      <w:r>
        <w:rPr>
          <w:color w:val="231F20"/>
        </w:rPr>
        <w:t>two</w:t>
      </w:r>
      <w:r>
        <w:rPr>
          <w:color w:val="231F20"/>
          <w:spacing w:val="-1"/>
        </w:rPr>
        <w:t> </w:t>
      </w:r>
      <w:r>
        <w:rPr>
          <w:color w:val="231F20"/>
        </w:rPr>
        <w:t>judgements</w:t>
      </w:r>
      <w:r>
        <w:rPr>
          <w:color w:val="231F20"/>
          <w:spacing w:val="-1"/>
        </w:rPr>
        <w:t> </w:t>
      </w:r>
      <w:r>
        <w:rPr>
          <w:color w:val="231F20"/>
        </w:rPr>
        <w:t>of</w:t>
      </w:r>
      <w:r>
        <w:rPr>
          <w:color w:val="231F20"/>
          <w:spacing w:val="-1"/>
        </w:rPr>
        <w:t> </w:t>
      </w:r>
      <w:r>
        <w:rPr>
          <w:color w:val="231F20"/>
        </w:rPr>
        <w:t>the</w:t>
      </w:r>
      <w:r>
        <w:rPr>
          <w:color w:val="231F20"/>
          <w:spacing w:val="-1"/>
        </w:rPr>
        <w:t> </w:t>
      </w:r>
      <w:r>
        <w:rPr>
          <w:color w:val="231F20"/>
        </w:rPr>
        <w:t>European</w:t>
      </w:r>
      <w:r>
        <w:rPr>
          <w:color w:val="231F20"/>
          <w:spacing w:val="-1"/>
        </w:rPr>
        <w:t> </w:t>
      </w:r>
      <w:r>
        <w:rPr>
          <w:color w:val="231F20"/>
        </w:rPr>
        <w:t>Court</w:t>
      </w:r>
      <w:r>
        <w:rPr>
          <w:color w:val="231F20"/>
          <w:spacing w:val="-1"/>
        </w:rPr>
        <w:t> </w:t>
      </w:r>
      <w:r>
        <w:rPr>
          <w:color w:val="231F20"/>
        </w:rPr>
        <w:t>of</w:t>
      </w:r>
      <w:r>
        <w:rPr>
          <w:color w:val="231F20"/>
          <w:spacing w:val="-1"/>
        </w:rPr>
        <w:t> </w:t>
      </w:r>
      <w:r>
        <w:rPr>
          <w:color w:val="231F20"/>
        </w:rPr>
        <w:t>Human</w:t>
      </w:r>
      <w:r>
        <w:rPr>
          <w:color w:val="231F20"/>
          <w:spacing w:val="-1"/>
        </w:rPr>
        <w:t> </w:t>
      </w:r>
      <w:r>
        <w:rPr>
          <w:color w:val="231F20"/>
        </w:rPr>
        <w:t>Rights</w:t>
      </w:r>
      <w:r>
        <w:rPr>
          <w:color w:val="231F20"/>
          <w:position w:val="8"/>
          <w:sz w:val="14"/>
        </w:rPr>
        <w:t>27</w:t>
      </w:r>
      <w:r>
        <w:rPr>
          <w:color w:val="231F20"/>
        </w:rPr>
        <w:t>, that</w:t>
      </w:r>
      <w:r>
        <w:rPr>
          <w:color w:val="231F20"/>
          <w:spacing w:val="-3"/>
        </w:rPr>
        <w:t> </w:t>
      </w:r>
      <w:r>
        <w:rPr>
          <w:color w:val="231F20"/>
        </w:rPr>
        <w:t>the</w:t>
      </w:r>
      <w:r>
        <w:rPr>
          <w:color w:val="231F20"/>
          <w:spacing w:val="-3"/>
        </w:rPr>
        <w:t> </w:t>
      </w:r>
      <w:r>
        <w:rPr>
          <w:color w:val="231F20"/>
        </w:rPr>
        <w:t>confidentiality</w:t>
      </w:r>
      <w:r>
        <w:rPr>
          <w:color w:val="231F20"/>
          <w:spacing w:val="-3"/>
        </w:rPr>
        <w:t> </w:t>
      </w:r>
      <w:r>
        <w:rPr>
          <w:color w:val="231F20"/>
        </w:rPr>
        <w:t>of</w:t>
      </w:r>
      <w:r>
        <w:rPr>
          <w:color w:val="231F20"/>
          <w:spacing w:val="-3"/>
        </w:rPr>
        <w:t> </w:t>
      </w:r>
      <w:r>
        <w:rPr>
          <w:color w:val="231F20"/>
        </w:rPr>
        <w:t>the</w:t>
      </w:r>
      <w:r>
        <w:rPr>
          <w:color w:val="231F20"/>
          <w:spacing w:val="-3"/>
        </w:rPr>
        <w:t> </w:t>
      </w:r>
      <w:r>
        <w:rPr>
          <w:color w:val="231F20"/>
        </w:rPr>
        <w:t>relationship</w:t>
      </w:r>
      <w:r>
        <w:rPr>
          <w:color w:val="231F20"/>
          <w:spacing w:val="-3"/>
        </w:rPr>
        <w:t> </w:t>
      </w:r>
      <w:r>
        <w:rPr>
          <w:color w:val="231F20"/>
        </w:rPr>
        <w:t>between</w:t>
      </w:r>
      <w:r>
        <w:rPr>
          <w:color w:val="231F20"/>
          <w:spacing w:val="-3"/>
        </w:rPr>
        <w:t> </w:t>
      </w:r>
      <w:r>
        <w:rPr>
          <w:color w:val="231F20"/>
        </w:rPr>
        <w:t>a</w:t>
      </w:r>
      <w:r>
        <w:rPr>
          <w:color w:val="231F20"/>
          <w:spacing w:val="-3"/>
        </w:rPr>
        <w:t> </w:t>
      </w:r>
      <w:r>
        <w:rPr>
          <w:color w:val="231F20"/>
        </w:rPr>
        <w:t>lawyer</w:t>
      </w:r>
      <w:r>
        <w:rPr>
          <w:color w:val="231F20"/>
          <w:spacing w:val="-3"/>
        </w:rPr>
        <w:t> </w:t>
      </w:r>
      <w:r>
        <w:rPr>
          <w:color w:val="231F20"/>
        </w:rPr>
        <w:t>and</w:t>
      </w:r>
      <w:r>
        <w:rPr>
          <w:color w:val="231F20"/>
          <w:spacing w:val="-3"/>
        </w:rPr>
        <w:t> </w:t>
      </w:r>
      <w:r>
        <w:rPr>
          <w:color w:val="231F20"/>
        </w:rPr>
        <w:t>his</w:t>
      </w:r>
      <w:r>
        <w:rPr>
          <w:color w:val="231F20"/>
          <w:spacing w:val="-3"/>
        </w:rPr>
        <w:t> </w:t>
      </w:r>
      <w:r>
        <w:rPr>
          <w:color w:val="231F20"/>
        </w:rPr>
        <w:t>or</w:t>
      </w:r>
      <w:r>
        <w:rPr>
          <w:color w:val="231F20"/>
          <w:spacing w:val="-3"/>
        </w:rPr>
        <w:t> </w:t>
      </w:r>
      <w:r>
        <w:rPr>
          <w:color w:val="231F20"/>
        </w:rPr>
        <w:t>her client</w:t>
      </w:r>
      <w:r>
        <w:rPr>
          <w:color w:val="231F20"/>
          <w:spacing w:val="-4"/>
        </w:rPr>
        <w:t> </w:t>
      </w:r>
      <w:r>
        <w:rPr>
          <w:color w:val="231F20"/>
        </w:rPr>
        <w:t>enjoys</w:t>
      </w:r>
      <w:r>
        <w:rPr>
          <w:color w:val="231F20"/>
          <w:spacing w:val="-4"/>
        </w:rPr>
        <w:t> </w:t>
      </w:r>
      <w:r>
        <w:rPr>
          <w:color w:val="231F20"/>
        </w:rPr>
        <w:t>a</w:t>
      </w:r>
      <w:r>
        <w:rPr>
          <w:color w:val="231F20"/>
          <w:spacing w:val="-4"/>
        </w:rPr>
        <w:t> </w:t>
      </w:r>
      <w:r>
        <w:rPr>
          <w:color w:val="231F20"/>
        </w:rPr>
        <w:t>very</w:t>
      </w:r>
      <w:r>
        <w:rPr>
          <w:color w:val="231F20"/>
          <w:spacing w:val="-4"/>
        </w:rPr>
        <w:t> </w:t>
      </w:r>
      <w:r>
        <w:rPr>
          <w:color w:val="231F20"/>
        </w:rPr>
        <w:t>specific</w:t>
      </w:r>
      <w:r>
        <w:rPr>
          <w:color w:val="231F20"/>
          <w:spacing w:val="-4"/>
        </w:rPr>
        <w:t> </w:t>
      </w:r>
      <w:r>
        <w:rPr>
          <w:color w:val="231F20"/>
        </w:rPr>
        <w:t>protection</w:t>
      </w:r>
      <w:r>
        <w:rPr>
          <w:color w:val="231F20"/>
          <w:spacing w:val="-4"/>
        </w:rPr>
        <w:t> </w:t>
      </w:r>
      <w:r>
        <w:rPr>
          <w:color w:val="231F20"/>
        </w:rPr>
        <w:t>which</w:t>
      </w:r>
      <w:r>
        <w:rPr>
          <w:color w:val="231F20"/>
          <w:spacing w:val="-4"/>
        </w:rPr>
        <w:t> </w:t>
      </w:r>
      <w:r>
        <w:rPr>
          <w:color w:val="231F20"/>
        </w:rPr>
        <w:t>relates</w:t>
      </w:r>
      <w:r>
        <w:rPr>
          <w:color w:val="231F20"/>
          <w:spacing w:val="-4"/>
        </w:rPr>
        <w:t> </w:t>
      </w:r>
      <w:r>
        <w:rPr>
          <w:color w:val="231F20"/>
        </w:rPr>
        <w:t>to</w:t>
      </w:r>
      <w:r>
        <w:rPr>
          <w:color w:val="231F20"/>
          <w:spacing w:val="-4"/>
        </w:rPr>
        <w:t> </w:t>
      </w:r>
      <w:r>
        <w:rPr>
          <w:color w:val="231F20"/>
        </w:rPr>
        <w:t>the</w:t>
      </w:r>
      <w:r>
        <w:rPr>
          <w:color w:val="231F20"/>
          <w:spacing w:val="-4"/>
        </w:rPr>
        <w:t> </w:t>
      </w:r>
      <w:r>
        <w:rPr>
          <w:color w:val="231F20"/>
        </w:rPr>
        <w:t>special</w:t>
      </w:r>
      <w:r>
        <w:rPr>
          <w:color w:val="231F20"/>
          <w:spacing w:val="-4"/>
        </w:rPr>
        <w:t> </w:t>
      </w:r>
      <w:r>
        <w:rPr>
          <w:color w:val="231F20"/>
        </w:rPr>
        <w:t>position occupied by a lawyer in the judicial organisation of Member States. From this</w:t>
      </w:r>
      <w:r>
        <w:rPr>
          <w:color w:val="231F20"/>
          <w:spacing w:val="-6"/>
        </w:rPr>
        <w:t> </w:t>
      </w:r>
      <w:r>
        <w:rPr>
          <w:color w:val="231F20"/>
        </w:rPr>
        <w:t>general</w:t>
      </w:r>
      <w:r>
        <w:rPr>
          <w:color w:val="231F20"/>
          <w:spacing w:val="-6"/>
        </w:rPr>
        <w:t> </w:t>
      </w:r>
      <w:r>
        <w:rPr>
          <w:color w:val="231F20"/>
        </w:rPr>
        <w:t>principle</w:t>
      </w:r>
      <w:r>
        <w:rPr>
          <w:color w:val="231F20"/>
          <w:spacing w:val="-6"/>
        </w:rPr>
        <w:t> </w:t>
      </w:r>
      <w:r>
        <w:rPr>
          <w:color w:val="231F20"/>
        </w:rPr>
        <w:t>the</w:t>
      </w:r>
      <w:r>
        <w:rPr>
          <w:color w:val="231F20"/>
          <w:spacing w:val="-6"/>
        </w:rPr>
        <w:t> </w:t>
      </w:r>
      <w:r>
        <w:rPr>
          <w:color w:val="231F20"/>
        </w:rPr>
        <w:t>Union</w:t>
      </w:r>
      <w:r>
        <w:rPr>
          <w:color w:val="231F20"/>
          <w:spacing w:val="-6"/>
        </w:rPr>
        <w:t> </w:t>
      </w:r>
      <w:r>
        <w:rPr>
          <w:color w:val="231F20"/>
        </w:rPr>
        <w:t>judges</w:t>
      </w:r>
      <w:r>
        <w:rPr>
          <w:color w:val="231F20"/>
          <w:spacing w:val="-6"/>
        </w:rPr>
        <w:t> </w:t>
      </w:r>
      <w:r>
        <w:rPr>
          <w:color w:val="231F20"/>
        </w:rPr>
        <w:t>have</w:t>
      </w:r>
      <w:r>
        <w:rPr>
          <w:color w:val="231F20"/>
          <w:spacing w:val="-6"/>
        </w:rPr>
        <w:t> </w:t>
      </w:r>
      <w:r>
        <w:rPr>
          <w:color w:val="231F20"/>
        </w:rPr>
        <w:t>drawn</w:t>
      </w:r>
      <w:r>
        <w:rPr>
          <w:color w:val="231F20"/>
          <w:spacing w:val="-6"/>
        </w:rPr>
        <w:t> </w:t>
      </w:r>
      <w:r>
        <w:rPr>
          <w:color w:val="231F20"/>
        </w:rPr>
        <w:t>the</w:t>
      </w:r>
      <w:r>
        <w:rPr>
          <w:color w:val="231F20"/>
          <w:spacing w:val="-6"/>
        </w:rPr>
        <w:t> </w:t>
      </w:r>
      <w:r>
        <w:rPr>
          <w:color w:val="231F20"/>
        </w:rPr>
        <w:t>conclusion</w:t>
      </w:r>
      <w:r>
        <w:rPr>
          <w:color w:val="231F20"/>
          <w:spacing w:val="-6"/>
        </w:rPr>
        <w:t> </w:t>
      </w:r>
      <w:r>
        <w:rPr>
          <w:color w:val="231F20"/>
        </w:rPr>
        <w:t>that</w:t>
      </w:r>
      <w:r>
        <w:rPr>
          <w:color w:val="231F20"/>
          <w:spacing w:val="-6"/>
        </w:rPr>
        <w:t> </w:t>
      </w:r>
      <w:r>
        <w:rPr>
          <w:color w:val="231F20"/>
          <w:spacing w:val="-5"/>
        </w:rPr>
        <w:t>the</w:t>
      </w:r>
    </w:p>
    <w:p>
      <w:pPr>
        <w:pStyle w:val="BodyText"/>
        <w:spacing w:before="23"/>
        <w:rPr>
          <w:sz w:val="20"/>
        </w:rPr>
      </w:pPr>
      <w:r>
        <w:rPr/>
        <mc:AlternateContent>
          <mc:Choice Requires="wps">
            <w:drawing>
              <wp:anchor distT="0" distB="0" distL="0" distR="0" allowOverlap="1" layoutInCell="1" locked="0" behindDoc="1" simplePos="0" relativeHeight="487597056">
                <wp:simplePos x="0" y="0"/>
                <wp:positionH relativeFrom="page">
                  <wp:posOffset>864000</wp:posOffset>
                </wp:positionH>
                <wp:positionV relativeFrom="paragraph">
                  <wp:posOffset>191686</wp:posOffset>
                </wp:positionV>
                <wp:extent cx="792480" cy="1270"/>
                <wp:effectExtent l="0" t="0" r="0" b="0"/>
                <wp:wrapTopAndBottom/>
                <wp:docPr id="41" name="Graphic 41"/>
                <wp:cNvGraphicFramePr>
                  <a:graphicFrameLocks/>
                </wp:cNvGraphicFramePr>
                <a:graphic>
                  <a:graphicData uri="http://schemas.microsoft.com/office/word/2010/wordprocessingShape">
                    <wps:wsp>
                      <wps:cNvPr id="41" name="Graphic 41"/>
                      <wps:cNvSpPr/>
                      <wps:spPr>
                        <a:xfrm>
                          <a:off x="0" y="0"/>
                          <a:ext cx="792480" cy="1270"/>
                        </a:xfrm>
                        <a:custGeom>
                          <a:avLst/>
                          <a:gdLst/>
                          <a:ahLst/>
                          <a:cxnLst/>
                          <a:rect l="l" t="t" r="r" b="b"/>
                          <a:pathLst>
                            <a:path w="792480" h="0">
                              <a:moveTo>
                                <a:pt x="0" y="0"/>
                              </a:moveTo>
                              <a:lnTo>
                                <a:pt x="791997"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shape style="position:absolute;margin-left:68.031502pt;margin-top:15.09346pt;width:62.4pt;height:.1pt;mso-position-horizontal-relative:page;mso-position-vertical-relative:paragraph;z-index:-15719424;mso-wrap-distance-left:0;mso-wrap-distance-right:0" id="docshape34" coordorigin="1361,302" coordsize="1248,0" path="m1361,302l2608,302e" filled="false" stroked="true" strokeweight=".5pt" strokecolor="#231f20">
                <v:path arrowok="t"/>
                <v:stroke dashstyle="solid"/>
                <w10:wrap type="topAndBottom"/>
              </v:shape>
            </w:pict>
          </mc:Fallback>
        </mc:AlternateContent>
      </w:r>
    </w:p>
    <w:p>
      <w:pPr>
        <w:spacing w:line="225" w:lineRule="auto" w:before="201"/>
        <w:ind w:left="100" w:right="174" w:firstLine="0"/>
        <w:jc w:val="both"/>
        <w:rPr>
          <w:sz w:val="19"/>
        </w:rPr>
      </w:pPr>
      <w:r>
        <w:rPr>
          <w:color w:val="231F20"/>
          <w:position w:val="6"/>
          <w:sz w:val="11"/>
        </w:rPr>
        <w:t>26</w:t>
      </w:r>
      <w:r>
        <w:rPr>
          <w:color w:val="231F20"/>
          <w:spacing w:val="80"/>
          <w:position w:val="6"/>
          <w:sz w:val="11"/>
        </w:rPr>
        <w:t> </w:t>
      </w:r>
      <w:r>
        <w:rPr>
          <w:color w:val="231F20"/>
          <w:sz w:val="19"/>
        </w:rPr>
        <w:t>Council Directive 2023/2226/EU of 17 October 2023, «amending Directive 2011/16/</w:t>
      </w:r>
      <w:r>
        <w:rPr>
          <w:color w:val="231F20"/>
          <w:spacing w:val="40"/>
          <w:sz w:val="19"/>
        </w:rPr>
        <w:t> </w:t>
      </w:r>
      <w:r>
        <w:rPr>
          <w:color w:val="231F20"/>
          <w:sz w:val="19"/>
        </w:rPr>
        <w:t>EU on administrative cooperation in the field of taxation» (so-called DAC 8), in OJEU L of </w:t>
      </w:r>
      <w:r>
        <w:rPr>
          <w:color w:val="231F20"/>
          <w:spacing w:val="-2"/>
          <w:sz w:val="19"/>
        </w:rPr>
        <w:t>24.10.2023.</w:t>
      </w:r>
    </w:p>
    <w:p>
      <w:pPr>
        <w:spacing w:line="234" w:lineRule="exact" w:before="0"/>
        <w:ind w:left="100" w:right="0" w:firstLine="0"/>
        <w:jc w:val="both"/>
        <w:rPr>
          <w:i/>
          <w:sz w:val="19"/>
        </w:rPr>
      </w:pPr>
      <w:r>
        <w:rPr>
          <w:color w:val="231F20"/>
          <w:position w:val="6"/>
          <w:sz w:val="11"/>
        </w:rPr>
        <w:t>27</w:t>
      </w:r>
      <w:r>
        <w:rPr>
          <w:color w:val="231F20"/>
          <w:spacing w:val="48"/>
          <w:position w:val="6"/>
          <w:sz w:val="11"/>
        </w:rPr>
        <w:t>  </w:t>
      </w:r>
      <w:r>
        <w:rPr>
          <w:color w:val="231F20"/>
          <w:sz w:val="19"/>
        </w:rPr>
        <w:t>ECtHR,</w:t>
      </w:r>
      <w:r>
        <w:rPr>
          <w:color w:val="231F20"/>
          <w:spacing w:val="-2"/>
          <w:sz w:val="19"/>
        </w:rPr>
        <w:t> </w:t>
      </w:r>
      <w:r>
        <w:rPr>
          <w:color w:val="231F20"/>
          <w:sz w:val="19"/>
        </w:rPr>
        <w:t>6</w:t>
      </w:r>
      <w:r>
        <w:rPr>
          <w:color w:val="231F20"/>
          <w:spacing w:val="-3"/>
          <w:sz w:val="19"/>
        </w:rPr>
        <w:t> </w:t>
      </w:r>
      <w:r>
        <w:rPr>
          <w:color w:val="231F20"/>
          <w:sz w:val="19"/>
        </w:rPr>
        <w:t>December</w:t>
      </w:r>
      <w:r>
        <w:rPr>
          <w:color w:val="231F20"/>
          <w:spacing w:val="-3"/>
          <w:sz w:val="19"/>
        </w:rPr>
        <w:t> </w:t>
      </w:r>
      <w:r>
        <w:rPr>
          <w:color w:val="231F20"/>
          <w:sz w:val="19"/>
        </w:rPr>
        <w:t>2012,</w:t>
      </w:r>
      <w:r>
        <w:rPr>
          <w:color w:val="231F20"/>
          <w:spacing w:val="-3"/>
          <w:sz w:val="19"/>
        </w:rPr>
        <w:t> </w:t>
      </w:r>
      <w:r>
        <w:rPr>
          <w:i/>
          <w:color w:val="231F20"/>
          <w:sz w:val="19"/>
        </w:rPr>
        <w:t>Michaud</w:t>
      </w:r>
      <w:r>
        <w:rPr>
          <w:i/>
          <w:color w:val="231F20"/>
          <w:spacing w:val="-3"/>
          <w:sz w:val="19"/>
        </w:rPr>
        <w:t> </w:t>
      </w:r>
      <w:r>
        <w:rPr>
          <w:i/>
          <w:color w:val="231F20"/>
          <w:sz w:val="19"/>
        </w:rPr>
        <w:t>v.</w:t>
      </w:r>
      <w:r>
        <w:rPr>
          <w:i/>
          <w:color w:val="231F20"/>
          <w:spacing w:val="-3"/>
          <w:sz w:val="19"/>
        </w:rPr>
        <w:t> </w:t>
      </w:r>
      <w:r>
        <w:rPr>
          <w:i/>
          <w:color w:val="231F20"/>
          <w:sz w:val="19"/>
        </w:rPr>
        <w:t>France</w:t>
      </w:r>
      <w:r>
        <w:rPr>
          <w:i/>
          <w:color w:val="231F20"/>
          <w:spacing w:val="-3"/>
          <w:sz w:val="19"/>
        </w:rPr>
        <w:t> </w:t>
      </w:r>
      <w:r>
        <w:rPr>
          <w:color w:val="231F20"/>
          <w:sz w:val="19"/>
        </w:rPr>
        <w:t>and</w:t>
      </w:r>
      <w:r>
        <w:rPr>
          <w:color w:val="231F20"/>
          <w:spacing w:val="-3"/>
          <w:sz w:val="19"/>
        </w:rPr>
        <w:t> </w:t>
      </w:r>
      <w:r>
        <w:rPr>
          <w:color w:val="231F20"/>
          <w:sz w:val="19"/>
        </w:rPr>
        <w:t>9</w:t>
      </w:r>
      <w:r>
        <w:rPr>
          <w:color w:val="231F20"/>
          <w:spacing w:val="-2"/>
          <w:sz w:val="19"/>
        </w:rPr>
        <w:t> </w:t>
      </w:r>
      <w:r>
        <w:rPr>
          <w:color w:val="231F20"/>
          <w:sz w:val="19"/>
        </w:rPr>
        <w:t>April</w:t>
      </w:r>
      <w:r>
        <w:rPr>
          <w:color w:val="231F20"/>
          <w:spacing w:val="-3"/>
          <w:sz w:val="19"/>
        </w:rPr>
        <w:t> </w:t>
      </w:r>
      <w:r>
        <w:rPr>
          <w:color w:val="231F20"/>
          <w:sz w:val="19"/>
        </w:rPr>
        <w:t>2019,</w:t>
      </w:r>
      <w:r>
        <w:rPr>
          <w:color w:val="231F20"/>
          <w:spacing w:val="-3"/>
          <w:sz w:val="19"/>
        </w:rPr>
        <w:t> </w:t>
      </w:r>
      <w:r>
        <w:rPr>
          <w:i/>
          <w:color w:val="231F20"/>
          <w:sz w:val="19"/>
        </w:rPr>
        <w:t>Altay</w:t>
      </w:r>
      <w:r>
        <w:rPr>
          <w:i/>
          <w:color w:val="231F20"/>
          <w:spacing w:val="-3"/>
          <w:sz w:val="19"/>
        </w:rPr>
        <w:t> </w:t>
      </w:r>
      <w:r>
        <w:rPr>
          <w:i/>
          <w:color w:val="231F20"/>
          <w:sz w:val="19"/>
        </w:rPr>
        <w:t>v.</w:t>
      </w:r>
      <w:r>
        <w:rPr>
          <w:i/>
          <w:color w:val="231F20"/>
          <w:spacing w:val="-12"/>
          <w:sz w:val="19"/>
        </w:rPr>
        <w:t> </w:t>
      </w:r>
      <w:r>
        <w:rPr>
          <w:i/>
          <w:color w:val="231F20"/>
          <w:spacing w:val="-2"/>
          <w:sz w:val="19"/>
        </w:rPr>
        <w:t>Turkey.</w:t>
      </w:r>
    </w:p>
    <w:p>
      <w:pPr>
        <w:spacing w:after="0" w:line="234" w:lineRule="exact"/>
        <w:jc w:val="both"/>
        <w:rPr>
          <w:sz w:val="19"/>
        </w:rPr>
        <w:sectPr>
          <w:pgSz w:w="9640" w:h="13610"/>
          <w:pgMar w:header="0" w:footer="625" w:top="1260" w:bottom="820" w:left="1260" w:right="1240"/>
        </w:sectPr>
      </w:pPr>
    </w:p>
    <w:p>
      <w:pPr>
        <w:pStyle w:val="BodyText"/>
        <w:spacing w:line="225" w:lineRule="auto" w:before="117"/>
        <w:ind w:left="157" w:right="118"/>
        <w:jc w:val="both"/>
      </w:pPr>
      <w:r>
        <w:rPr/>
        <mc:AlternateContent>
          <mc:Choice Requires="wps">
            <w:drawing>
              <wp:anchor distT="0" distB="0" distL="0" distR="0" allowOverlap="1" layoutInCell="1" locked="0" behindDoc="0" simplePos="0" relativeHeight="15738880">
                <wp:simplePos x="0" y="0"/>
                <wp:positionH relativeFrom="page">
                  <wp:posOffset>5608609</wp:posOffset>
                </wp:positionH>
                <wp:positionV relativeFrom="page">
                  <wp:posOffset>2376001</wp:posOffset>
                </wp:positionV>
                <wp:extent cx="511809" cy="2412365"/>
                <wp:effectExtent l="0" t="0" r="0" b="0"/>
                <wp:wrapNone/>
                <wp:docPr id="42" name="Group 42"/>
                <wp:cNvGraphicFramePr>
                  <a:graphicFrameLocks/>
                </wp:cNvGraphicFramePr>
                <a:graphic>
                  <a:graphicData uri="http://schemas.microsoft.com/office/word/2010/wordprocessingGroup">
                    <wpg:wgp>
                      <wpg:cNvPr id="42" name="Group 42"/>
                      <wpg:cNvGrpSpPr/>
                      <wpg:grpSpPr>
                        <a:xfrm>
                          <a:off x="0" y="0"/>
                          <a:ext cx="511809" cy="2412365"/>
                          <a:chExt cx="511809" cy="2412365"/>
                        </a:xfrm>
                      </wpg:grpSpPr>
                      <wps:wsp>
                        <wps:cNvPr id="43" name="Graphic 43"/>
                        <wps:cNvSpPr/>
                        <wps:spPr>
                          <a:xfrm>
                            <a:off x="7393" y="3"/>
                            <a:ext cx="504190" cy="360045"/>
                          </a:xfrm>
                          <a:custGeom>
                            <a:avLst/>
                            <a:gdLst/>
                            <a:ahLst/>
                            <a:cxnLst/>
                            <a:rect l="l" t="t" r="r" b="b"/>
                            <a:pathLst>
                              <a:path w="504190" h="360045">
                                <a:moveTo>
                                  <a:pt x="503999" y="0"/>
                                </a:moveTo>
                                <a:lnTo>
                                  <a:pt x="0" y="0"/>
                                </a:lnTo>
                                <a:lnTo>
                                  <a:pt x="0" y="359994"/>
                                </a:lnTo>
                                <a:lnTo>
                                  <a:pt x="503999" y="359994"/>
                                </a:lnTo>
                                <a:lnTo>
                                  <a:pt x="503999" y="0"/>
                                </a:lnTo>
                                <a:close/>
                              </a:path>
                            </a:pathLst>
                          </a:custGeom>
                          <a:solidFill>
                            <a:srgbClr val="939598"/>
                          </a:solidFill>
                        </wps:spPr>
                        <wps:bodyPr wrap="square" lIns="0" tIns="0" rIns="0" bIns="0" rtlCol="0">
                          <a:prstTxWarp prst="textNoShape">
                            <a:avLst/>
                          </a:prstTxWarp>
                          <a:noAutofit/>
                        </wps:bodyPr>
                      </wps:wsp>
                      <wps:wsp>
                        <wps:cNvPr id="44" name="Graphic 44"/>
                        <wps:cNvSpPr/>
                        <wps:spPr>
                          <a:xfrm>
                            <a:off x="6350" y="0"/>
                            <a:ext cx="1270" cy="2412365"/>
                          </a:xfrm>
                          <a:custGeom>
                            <a:avLst/>
                            <a:gdLst/>
                            <a:ahLst/>
                            <a:cxnLst/>
                            <a:rect l="l" t="t" r="r" b="b"/>
                            <a:pathLst>
                              <a:path w="0" h="2412365">
                                <a:moveTo>
                                  <a:pt x="0" y="0"/>
                                </a:moveTo>
                                <a:lnTo>
                                  <a:pt x="0" y="2411996"/>
                                </a:lnTo>
                              </a:path>
                            </a:pathLst>
                          </a:custGeom>
                          <a:ln w="12700">
                            <a:solidFill>
                              <a:srgbClr val="939598"/>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441.622803pt;margin-top:187.0867pt;width:40.3pt;height:189.95pt;mso-position-horizontal-relative:page;mso-position-vertical-relative:page;z-index:15738880" id="docshapegroup35" coordorigin="8832,3742" coordsize="806,3799">
                <v:rect style="position:absolute;left:8844;top:3741;width:794;height:567" id="docshape36" filled="true" fillcolor="#939598" stroked="false">
                  <v:fill type="solid"/>
                </v:rect>
                <v:line style="position:absolute" from="8842,3742" to="8842,7540" stroked="true" strokeweight="1pt" strokecolor="#939598">
                  <v:stroke dashstyle="solid"/>
                </v:line>
                <w10:wrap type="none"/>
              </v:group>
            </w:pict>
          </mc:Fallback>
        </mc:AlternateContent>
      </w:r>
      <w:r>
        <w:rPr/>
        <mc:AlternateContent>
          <mc:Choice Requires="wps">
            <w:drawing>
              <wp:anchor distT="0" distB="0" distL="0" distR="0" allowOverlap="1" layoutInCell="1" locked="0" behindDoc="0" simplePos="0" relativeHeight="15739392">
                <wp:simplePos x="0" y="0"/>
                <wp:positionH relativeFrom="page">
                  <wp:posOffset>5635147</wp:posOffset>
                </wp:positionH>
                <wp:positionV relativeFrom="page">
                  <wp:posOffset>2795300</wp:posOffset>
                </wp:positionV>
                <wp:extent cx="299720" cy="1995805"/>
                <wp:effectExtent l="0" t="0" r="0" b="0"/>
                <wp:wrapNone/>
                <wp:docPr id="45" name="Textbox 45"/>
                <wp:cNvGraphicFramePr>
                  <a:graphicFrameLocks/>
                </wp:cNvGraphicFramePr>
                <a:graphic>
                  <a:graphicData uri="http://schemas.microsoft.com/office/word/2010/wordprocessingShape">
                    <wps:wsp>
                      <wps:cNvPr id="45" name="Textbox 45"/>
                      <wps:cNvSpPr txBox="1"/>
                      <wps:spPr>
                        <a:xfrm>
                          <a:off x="0" y="0"/>
                          <a:ext cx="299720" cy="1995805"/>
                        </a:xfrm>
                        <a:prstGeom prst="rect">
                          <a:avLst/>
                        </a:prstGeom>
                      </wps:spPr>
                      <wps:txbx>
                        <w:txbxContent>
                          <w:p>
                            <w:pPr>
                              <w:spacing w:before="20"/>
                              <w:ind w:left="20" w:right="0" w:firstLine="0"/>
                              <w:jc w:val="left"/>
                              <w:rPr>
                                <w:rFonts w:ascii="Minion Pro"/>
                                <w:sz w:val="32"/>
                              </w:rPr>
                            </w:pPr>
                            <w:r>
                              <w:rPr>
                                <w:rFonts w:ascii="Minion Pro"/>
                                <w:color w:val="231F20"/>
                                <w:sz w:val="32"/>
                              </w:rPr>
                              <w:t>Commented</w:t>
                            </w:r>
                            <w:r>
                              <w:rPr>
                                <w:rFonts w:ascii="Minion Pro"/>
                                <w:color w:val="231F20"/>
                                <w:spacing w:val="-10"/>
                                <w:sz w:val="32"/>
                              </w:rPr>
                              <w:t> </w:t>
                            </w:r>
                            <w:r>
                              <w:rPr>
                                <w:rFonts w:ascii="Minion Pro"/>
                                <w:color w:val="231F20"/>
                                <w:spacing w:val="-2"/>
                                <w:sz w:val="32"/>
                              </w:rPr>
                              <w:t>documents</w:t>
                            </w:r>
                          </w:p>
                        </w:txbxContent>
                      </wps:txbx>
                      <wps:bodyPr wrap="square" lIns="0" tIns="0" rIns="0" bIns="0" rtlCol="0" vert="vert">
                        <a:noAutofit/>
                      </wps:bodyPr>
                    </wps:wsp>
                  </a:graphicData>
                </a:graphic>
              </wp:anchor>
            </w:drawing>
          </mc:Choice>
          <mc:Fallback>
            <w:pict>
              <v:shape style="position:absolute;margin-left:443.712402pt;margin-top:220.102402pt;width:23.6pt;height:157.15pt;mso-position-horizontal-relative:page;mso-position-vertical-relative:page;z-index:15739392" type="#_x0000_t202" id="docshape37" filled="false" stroked="false">
                <v:textbox inset="0,0,0,0" style="layout-flow:vertical">
                  <w:txbxContent>
                    <w:p>
                      <w:pPr>
                        <w:spacing w:before="20"/>
                        <w:ind w:left="20" w:right="0" w:firstLine="0"/>
                        <w:jc w:val="left"/>
                        <w:rPr>
                          <w:rFonts w:ascii="Minion Pro"/>
                          <w:sz w:val="32"/>
                        </w:rPr>
                      </w:pPr>
                      <w:r>
                        <w:rPr>
                          <w:rFonts w:ascii="Minion Pro"/>
                          <w:color w:val="231F20"/>
                          <w:sz w:val="32"/>
                        </w:rPr>
                        <w:t>Commented</w:t>
                      </w:r>
                      <w:r>
                        <w:rPr>
                          <w:rFonts w:ascii="Minion Pro"/>
                          <w:color w:val="231F20"/>
                          <w:spacing w:val="-10"/>
                          <w:sz w:val="32"/>
                        </w:rPr>
                        <w:t> </w:t>
                      </w:r>
                      <w:r>
                        <w:rPr>
                          <w:rFonts w:ascii="Minion Pro"/>
                          <w:color w:val="231F20"/>
                          <w:spacing w:val="-2"/>
                          <w:sz w:val="32"/>
                        </w:rPr>
                        <w:t>documents</w:t>
                      </w:r>
                    </w:p>
                  </w:txbxContent>
                </v:textbox>
                <w10:wrap type="none"/>
              </v:shape>
            </w:pict>
          </mc:Fallback>
        </mc:AlternateContent>
      </w:r>
      <w:r>
        <w:rPr>
          <w:color w:val="231F20"/>
        </w:rPr>
        <w:t>invalidity</w:t>
      </w:r>
      <w:r>
        <w:rPr>
          <w:color w:val="231F20"/>
          <w:spacing w:val="-13"/>
        </w:rPr>
        <w:t> </w:t>
      </w:r>
      <w:r>
        <w:rPr>
          <w:color w:val="231F20"/>
        </w:rPr>
        <w:t>of</w:t>
      </w:r>
      <w:r>
        <w:rPr>
          <w:color w:val="231F20"/>
          <w:spacing w:val="-13"/>
        </w:rPr>
        <w:t> </w:t>
      </w:r>
      <w:r>
        <w:rPr>
          <w:color w:val="231F20"/>
        </w:rPr>
        <w:t>the</w:t>
      </w:r>
      <w:r>
        <w:rPr>
          <w:color w:val="231F20"/>
          <w:spacing w:val="-13"/>
        </w:rPr>
        <w:t> </w:t>
      </w:r>
      <w:r>
        <w:rPr>
          <w:color w:val="231F20"/>
        </w:rPr>
        <w:t>obligation</w:t>
      </w:r>
      <w:r>
        <w:rPr>
          <w:color w:val="231F20"/>
          <w:spacing w:val="-13"/>
        </w:rPr>
        <w:t> </w:t>
      </w:r>
      <w:r>
        <w:rPr>
          <w:color w:val="231F20"/>
        </w:rPr>
        <w:t>to</w:t>
      </w:r>
      <w:r>
        <w:rPr>
          <w:color w:val="231F20"/>
          <w:spacing w:val="-13"/>
        </w:rPr>
        <w:t> </w:t>
      </w:r>
      <w:r>
        <w:rPr>
          <w:color w:val="231F20"/>
        </w:rPr>
        <w:t>notify</w:t>
      </w:r>
      <w:r>
        <w:rPr>
          <w:color w:val="231F20"/>
          <w:spacing w:val="-13"/>
        </w:rPr>
        <w:t> </w:t>
      </w:r>
      <w:r>
        <w:rPr>
          <w:color w:val="231F20"/>
        </w:rPr>
        <w:t>another</w:t>
      </w:r>
      <w:r>
        <w:rPr>
          <w:color w:val="231F20"/>
          <w:spacing w:val="-13"/>
        </w:rPr>
        <w:t> </w:t>
      </w:r>
      <w:r>
        <w:rPr>
          <w:color w:val="231F20"/>
        </w:rPr>
        <w:t>intermediary</w:t>
      </w:r>
      <w:r>
        <w:rPr>
          <w:color w:val="231F20"/>
          <w:spacing w:val="-13"/>
        </w:rPr>
        <w:t> </w:t>
      </w:r>
      <w:r>
        <w:rPr>
          <w:color w:val="231F20"/>
        </w:rPr>
        <w:t>of</w:t>
      </w:r>
      <w:r>
        <w:rPr>
          <w:color w:val="231F20"/>
          <w:spacing w:val="-13"/>
        </w:rPr>
        <w:t> </w:t>
      </w:r>
      <w:r>
        <w:rPr>
          <w:color w:val="231F20"/>
        </w:rPr>
        <w:t>the</w:t>
      </w:r>
      <w:r>
        <w:rPr>
          <w:color w:val="231F20"/>
          <w:spacing w:val="-13"/>
        </w:rPr>
        <w:t> </w:t>
      </w:r>
      <w:r>
        <w:rPr>
          <w:color w:val="231F20"/>
        </w:rPr>
        <w:t>obligation to</w:t>
      </w:r>
      <w:r>
        <w:rPr>
          <w:color w:val="231F20"/>
          <w:spacing w:val="-1"/>
        </w:rPr>
        <w:t> </w:t>
      </w:r>
      <w:r>
        <w:rPr>
          <w:color w:val="231F20"/>
        </w:rPr>
        <w:t>communicate</w:t>
      </w:r>
      <w:r>
        <w:rPr>
          <w:color w:val="231F20"/>
          <w:spacing w:val="-1"/>
        </w:rPr>
        <w:t> </w:t>
      </w:r>
      <w:r>
        <w:rPr>
          <w:color w:val="231F20"/>
        </w:rPr>
        <w:t>the</w:t>
      </w:r>
      <w:r>
        <w:rPr>
          <w:color w:val="231F20"/>
          <w:spacing w:val="-1"/>
        </w:rPr>
        <w:t> </w:t>
      </w:r>
      <w:r>
        <w:rPr>
          <w:color w:val="231F20"/>
        </w:rPr>
        <w:t>«cross-border</w:t>
      </w:r>
      <w:r>
        <w:rPr>
          <w:color w:val="231F20"/>
          <w:spacing w:val="-1"/>
        </w:rPr>
        <w:t> </w:t>
      </w:r>
      <w:r>
        <w:rPr>
          <w:color w:val="231F20"/>
        </w:rPr>
        <w:t>arrangement»</w:t>
      </w:r>
      <w:r>
        <w:rPr>
          <w:color w:val="231F20"/>
          <w:spacing w:val="-1"/>
        </w:rPr>
        <w:t> </w:t>
      </w:r>
      <w:r>
        <w:rPr>
          <w:color w:val="231F20"/>
        </w:rPr>
        <w:t>to</w:t>
      </w:r>
      <w:r>
        <w:rPr>
          <w:color w:val="231F20"/>
          <w:spacing w:val="-1"/>
        </w:rPr>
        <w:t> </w:t>
      </w:r>
      <w:r>
        <w:rPr>
          <w:color w:val="231F20"/>
        </w:rPr>
        <w:t>the</w:t>
      </w:r>
      <w:r>
        <w:rPr>
          <w:color w:val="231F20"/>
          <w:spacing w:val="-1"/>
        </w:rPr>
        <w:t> </w:t>
      </w:r>
      <w:r>
        <w:rPr>
          <w:color w:val="231F20"/>
        </w:rPr>
        <w:t>tax</w:t>
      </w:r>
      <w:r>
        <w:rPr>
          <w:color w:val="231F20"/>
          <w:spacing w:val="-1"/>
        </w:rPr>
        <w:t> </w:t>
      </w:r>
      <w:r>
        <w:rPr>
          <w:color w:val="231F20"/>
        </w:rPr>
        <w:t>administration applies</w:t>
      </w:r>
      <w:r>
        <w:rPr>
          <w:color w:val="231F20"/>
          <w:spacing w:val="-15"/>
        </w:rPr>
        <w:t> </w:t>
      </w:r>
      <w:r>
        <w:rPr>
          <w:color w:val="231F20"/>
        </w:rPr>
        <w:t>only</w:t>
      </w:r>
      <w:r>
        <w:rPr>
          <w:color w:val="231F20"/>
          <w:spacing w:val="-15"/>
        </w:rPr>
        <w:t> </w:t>
      </w:r>
      <w:r>
        <w:rPr>
          <w:color w:val="231F20"/>
        </w:rPr>
        <w:t>to</w:t>
      </w:r>
      <w:r>
        <w:rPr>
          <w:color w:val="231F20"/>
          <w:spacing w:val="-15"/>
        </w:rPr>
        <w:t> </w:t>
      </w:r>
      <w:r>
        <w:rPr>
          <w:color w:val="231F20"/>
        </w:rPr>
        <w:t>lawyers</w:t>
      </w:r>
      <w:r>
        <w:rPr>
          <w:color w:val="231F20"/>
          <w:spacing w:val="-15"/>
        </w:rPr>
        <w:t> </w:t>
      </w:r>
      <w:r>
        <w:rPr>
          <w:color w:val="231F20"/>
        </w:rPr>
        <w:t>who</w:t>
      </w:r>
      <w:r>
        <w:rPr>
          <w:color w:val="231F20"/>
          <w:spacing w:val="-15"/>
        </w:rPr>
        <w:t> </w:t>
      </w:r>
      <w:r>
        <w:rPr>
          <w:color w:val="231F20"/>
        </w:rPr>
        <w:t>pursue</w:t>
      </w:r>
      <w:r>
        <w:rPr>
          <w:color w:val="231F20"/>
          <w:spacing w:val="-15"/>
        </w:rPr>
        <w:t> </w:t>
      </w:r>
      <w:r>
        <w:rPr>
          <w:color w:val="231F20"/>
        </w:rPr>
        <w:t>their</w:t>
      </w:r>
      <w:r>
        <w:rPr>
          <w:color w:val="231F20"/>
          <w:spacing w:val="-15"/>
        </w:rPr>
        <w:t> </w:t>
      </w:r>
      <w:r>
        <w:rPr>
          <w:color w:val="231F20"/>
        </w:rPr>
        <w:t>professional</w:t>
      </w:r>
      <w:r>
        <w:rPr>
          <w:color w:val="231F20"/>
          <w:spacing w:val="-15"/>
        </w:rPr>
        <w:t> </w:t>
      </w:r>
      <w:r>
        <w:rPr>
          <w:color w:val="231F20"/>
        </w:rPr>
        <w:t>activities</w:t>
      </w:r>
      <w:r>
        <w:rPr>
          <w:color w:val="231F20"/>
          <w:spacing w:val="-15"/>
        </w:rPr>
        <w:t> </w:t>
      </w:r>
      <w:r>
        <w:rPr>
          <w:color w:val="231F20"/>
        </w:rPr>
        <w:t>under</w:t>
      </w:r>
      <w:r>
        <w:rPr>
          <w:color w:val="231F20"/>
          <w:spacing w:val="-15"/>
        </w:rPr>
        <w:t> </w:t>
      </w:r>
      <w:r>
        <w:rPr>
          <w:color w:val="231F20"/>
        </w:rPr>
        <w:t>one</w:t>
      </w:r>
      <w:r>
        <w:rPr>
          <w:color w:val="231F20"/>
          <w:spacing w:val="-15"/>
        </w:rPr>
        <w:t> </w:t>
      </w:r>
      <w:r>
        <w:rPr>
          <w:color w:val="231F20"/>
        </w:rPr>
        <w:t>of the</w:t>
      </w:r>
      <w:r>
        <w:rPr>
          <w:color w:val="231F20"/>
          <w:spacing w:val="-15"/>
        </w:rPr>
        <w:t> </w:t>
      </w:r>
      <w:r>
        <w:rPr>
          <w:color w:val="231F20"/>
        </w:rPr>
        <w:t>professional</w:t>
      </w:r>
      <w:r>
        <w:rPr>
          <w:color w:val="231F20"/>
          <w:spacing w:val="-15"/>
        </w:rPr>
        <w:t> </w:t>
      </w:r>
      <w:r>
        <w:rPr>
          <w:color w:val="231F20"/>
        </w:rPr>
        <w:t>titles</w:t>
      </w:r>
      <w:r>
        <w:rPr>
          <w:color w:val="231F20"/>
          <w:spacing w:val="-15"/>
        </w:rPr>
        <w:t> </w:t>
      </w:r>
      <w:r>
        <w:rPr>
          <w:color w:val="231F20"/>
        </w:rPr>
        <w:t>referred</w:t>
      </w:r>
      <w:r>
        <w:rPr>
          <w:color w:val="231F20"/>
          <w:spacing w:val="-15"/>
        </w:rPr>
        <w:t> </w:t>
      </w:r>
      <w:r>
        <w:rPr>
          <w:color w:val="231F20"/>
        </w:rPr>
        <w:t>to</w:t>
      </w:r>
      <w:r>
        <w:rPr>
          <w:color w:val="231F20"/>
          <w:spacing w:val="-15"/>
        </w:rPr>
        <w:t> </w:t>
      </w:r>
      <w:r>
        <w:rPr>
          <w:color w:val="231F20"/>
        </w:rPr>
        <w:t>in</w:t>
      </w:r>
      <w:r>
        <w:rPr>
          <w:color w:val="231F20"/>
          <w:spacing w:val="-15"/>
        </w:rPr>
        <w:t> </w:t>
      </w:r>
      <w:r>
        <w:rPr>
          <w:color w:val="231F20"/>
        </w:rPr>
        <w:t>Article</w:t>
      </w:r>
      <w:r>
        <w:rPr>
          <w:color w:val="231F20"/>
          <w:spacing w:val="-15"/>
        </w:rPr>
        <w:t> </w:t>
      </w:r>
      <w:r>
        <w:rPr>
          <w:color w:val="231F20"/>
        </w:rPr>
        <w:t>1(2)(a)</w:t>
      </w:r>
      <w:r>
        <w:rPr>
          <w:color w:val="231F20"/>
          <w:spacing w:val="-15"/>
        </w:rPr>
        <w:t> </w:t>
      </w:r>
      <w:r>
        <w:rPr>
          <w:color w:val="231F20"/>
        </w:rPr>
        <w:t>of</w:t>
      </w:r>
      <w:r>
        <w:rPr>
          <w:color w:val="231F20"/>
          <w:spacing w:val="-15"/>
        </w:rPr>
        <w:t> </w:t>
      </w:r>
      <w:r>
        <w:rPr>
          <w:color w:val="231F20"/>
        </w:rPr>
        <w:t>Directive</w:t>
      </w:r>
      <w:r>
        <w:rPr>
          <w:color w:val="231F20"/>
          <w:spacing w:val="-15"/>
        </w:rPr>
        <w:t> </w:t>
      </w:r>
      <w:r>
        <w:rPr>
          <w:color w:val="231F20"/>
        </w:rPr>
        <w:t>98/5,</w:t>
      </w:r>
      <w:r>
        <w:rPr>
          <w:color w:val="231F20"/>
          <w:spacing w:val="-15"/>
        </w:rPr>
        <w:t> </w:t>
      </w:r>
      <w:r>
        <w:rPr>
          <w:color w:val="231F20"/>
        </w:rPr>
        <w:t>i.e.</w:t>
      </w:r>
      <w:r>
        <w:rPr>
          <w:color w:val="231F20"/>
          <w:spacing w:val="-15"/>
        </w:rPr>
        <w:t> </w:t>
      </w:r>
      <w:r>
        <w:rPr>
          <w:color w:val="231F20"/>
        </w:rPr>
        <w:t>the EU Directive governing the right of establishment of practising lawyers</w:t>
      </w:r>
      <w:r>
        <w:rPr>
          <w:color w:val="231F20"/>
          <w:position w:val="8"/>
          <w:sz w:val="14"/>
        </w:rPr>
        <w:t>28</w:t>
      </w:r>
      <w:r>
        <w:rPr>
          <w:color w:val="231F20"/>
        </w:rPr>
        <w:t>.</w:t>
      </w:r>
    </w:p>
    <w:p>
      <w:pPr>
        <w:pStyle w:val="BodyText"/>
        <w:spacing w:before="91"/>
      </w:pPr>
    </w:p>
    <w:p>
      <w:pPr>
        <w:pStyle w:val="ListParagraph"/>
        <w:numPr>
          <w:ilvl w:val="1"/>
          <w:numId w:val="1"/>
        </w:numPr>
        <w:tabs>
          <w:tab w:pos="569" w:val="left" w:leader="none"/>
        </w:tabs>
        <w:spacing w:line="244" w:lineRule="auto" w:before="0" w:after="0"/>
        <w:ind w:left="157" w:right="155" w:firstLine="0"/>
        <w:jc w:val="left"/>
        <w:rPr>
          <w:b/>
          <w:sz w:val="24"/>
        </w:rPr>
      </w:pPr>
      <w:r>
        <w:rPr>
          <w:b/>
          <w:color w:val="231F20"/>
          <w:spacing w:val="-4"/>
          <w:sz w:val="24"/>
        </w:rPr>
        <w:t>The obligation to communicate to Tax Administrations «cross-border </w:t>
      </w:r>
      <w:r>
        <w:rPr>
          <w:b/>
          <w:color w:val="231F20"/>
          <w:sz w:val="24"/>
        </w:rPr>
        <w:t>Arrangements»</w:t>
      </w:r>
      <w:r>
        <w:rPr>
          <w:b/>
          <w:color w:val="231F20"/>
          <w:spacing w:val="-5"/>
          <w:sz w:val="24"/>
        </w:rPr>
        <w:t> </w:t>
      </w:r>
      <w:r>
        <w:rPr>
          <w:b/>
          <w:color w:val="231F20"/>
          <w:sz w:val="24"/>
        </w:rPr>
        <w:t>of</w:t>
      </w:r>
      <w:r>
        <w:rPr>
          <w:b/>
          <w:color w:val="231F20"/>
          <w:spacing w:val="-5"/>
          <w:sz w:val="24"/>
        </w:rPr>
        <w:t> </w:t>
      </w:r>
      <w:r>
        <w:rPr>
          <w:b/>
          <w:color w:val="231F20"/>
          <w:sz w:val="24"/>
        </w:rPr>
        <w:t>aggressive</w:t>
      </w:r>
      <w:r>
        <w:rPr>
          <w:b/>
          <w:color w:val="231F20"/>
          <w:spacing w:val="-5"/>
          <w:sz w:val="24"/>
        </w:rPr>
        <w:t> </w:t>
      </w:r>
      <w:r>
        <w:rPr>
          <w:b/>
          <w:color w:val="231F20"/>
          <w:sz w:val="24"/>
        </w:rPr>
        <w:t>tax</w:t>
      </w:r>
      <w:r>
        <w:rPr>
          <w:b/>
          <w:color w:val="231F20"/>
          <w:spacing w:val="-5"/>
          <w:sz w:val="24"/>
        </w:rPr>
        <w:t> </w:t>
      </w:r>
      <w:r>
        <w:rPr>
          <w:b/>
          <w:color w:val="231F20"/>
          <w:sz w:val="24"/>
        </w:rPr>
        <w:t>planning</w:t>
      </w:r>
      <w:r>
        <w:rPr>
          <w:b/>
          <w:color w:val="231F20"/>
          <w:spacing w:val="-5"/>
          <w:sz w:val="24"/>
        </w:rPr>
        <w:t> </w:t>
      </w:r>
      <w:r>
        <w:rPr>
          <w:b/>
          <w:color w:val="231F20"/>
          <w:sz w:val="24"/>
        </w:rPr>
        <w:t>does</w:t>
      </w:r>
      <w:r>
        <w:rPr>
          <w:b/>
          <w:color w:val="231F20"/>
          <w:spacing w:val="-5"/>
          <w:sz w:val="24"/>
        </w:rPr>
        <w:t> </w:t>
      </w:r>
      <w:r>
        <w:rPr>
          <w:b/>
          <w:color w:val="231F20"/>
          <w:sz w:val="24"/>
        </w:rPr>
        <w:t>not</w:t>
      </w:r>
      <w:r>
        <w:rPr>
          <w:b/>
          <w:color w:val="231F20"/>
          <w:spacing w:val="-5"/>
          <w:sz w:val="24"/>
        </w:rPr>
        <w:t> </w:t>
      </w:r>
      <w:r>
        <w:rPr>
          <w:b/>
          <w:color w:val="231F20"/>
          <w:sz w:val="24"/>
        </w:rPr>
        <w:t>infringe</w:t>
      </w:r>
      <w:r>
        <w:rPr>
          <w:b/>
          <w:color w:val="231F20"/>
          <w:spacing w:val="-5"/>
          <w:sz w:val="24"/>
        </w:rPr>
        <w:t> </w:t>
      </w:r>
      <w:r>
        <w:rPr>
          <w:b/>
          <w:color w:val="231F20"/>
          <w:sz w:val="24"/>
        </w:rPr>
        <w:t>Article</w:t>
      </w:r>
      <w:r>
        <w:rPr>
          <w:b/>
          <w:color w:val="231F20"/>
          <w:spacing w:val="-5"/>
          <w:sz w:val="24"/>
        </w:rPr>
        <w:t> </w:t>
      </w:r>
      <w:r>
        <w:rPr>
          <w:b/>
          <w:color w:val="231F20"/>
          <w:sz w:val="24"/>
        </w:rPr>
        <w:t>7</w:t>
      </w:r>
      <w:r>
        <w:rPr>
          <w:b/>
          <w:color w:val="231F20"/>
          <w:spacing w:val="-5"/>
          <w:sz w:val="24"/>
        </w:rPr>
        <w:t> </w:t>
      </w:r>
      <w:r>
        <w:rPr>
          <w:b/>
          <w:color w:val="231F20"/>
          <w:sz w:val="24"/>
        </w:rPr>
        <w:t>of the Charter</w:t>
      </w:r>
    </w:p>
    <w:p>
      <w:pPr>
        <w:pStyle w:val="BodyText"/>
        <w:spacing w:line="225" w:lineRule="auto" w:before="235"/>
        <w:ind w:left="157" w:right="117"/>
        <w:jc w:val="both"/>
      </w:pPr>
      <w:r>
        <w:rPr>
          <w:color w:val="231F20"/>
        </w:rPr>
        <w:t>With</w:t>
      </w:r>
      <w:r>
        <w:rPr>
          <w:color w:val="231F20"/>
          <w:spacing w:val="-9"/>
        </w:rPr>
        <w:t> </w:t>
      </w:r>
      <w:r>
        <w:rPr>
          <w:color w:val="231F20"/>
        </w:rPr>
        <w:t>the</w:t>
      </w:r>
      <w:r>
        <w:rPr>
          <w:color w:val="231F20"/>
          <w:spacing w:val="-9"/>
        </w:rPr>
        <w:t> </w:t>
      </w:r>
      <w:r>
        <w:rPr>
          <w:color w:val="231F20"/>
        </w:rPr>
        <w:t>same</w:t>
      </w:r>
      <w:r>
        <w:rPr>
          <w:color w:val="231F20"/>
          <w:spacing w:val="-9"/>
        </w:rPr>
        <w:t> </w:t>
      </w:r>
      <w:r>
        <w:rPr>
          <w:color w:val="231F20"/>
        </w:rPr>
        <w:t>request</w:t>
      </w:r>
      <w:r>
        <w:rPr>
          <w:color w:val="231F20"/>
          <w:spacing w:val="-9"/>
        </w:rPr>
        <w:t> </w:t>
      </w:r>
      <w:r>
        <w:rPr>
          <w:color w:val="231F20"/>
        </w:rPr>
        <w:t>for</w:t>
      </w:r>
      <w:r>
        <w:rPr>
          <w:color w:val="231F20"/>
          <w:spacing w:val="-9"/>
        </w:rPr>
        <w:t> </w:t>
      </w:r>
      <w:r>
        <w:rPr>
          <w:color w:val="231F20"/>
        </w:rPr>
        <w:t>preliminary</w:t>
      </w:r>
      <w:r>
        <w:rPr>
          <w:color w:val="231F20"/>
          <w:spacing w:val="-9"/>
        </w:rPr>
        <w:t> </w:t>
      </w:r>
      <w:r>
        <w:rPr>
          <w:color w:val="231F20"/>
        </w:rPr>
        <w:t>ruling</w:t>
      </w:r>
      <w:r>
        <w:rPr>
          <w:color w:val="231F20"/>
          <w:spacing w:val="-9"/>
        </w:rPr>
        <w:t> </w:t>
      </w:r>
      <w:r>
        <w:rPr>
          <w:color w:val="231F20"/>
        </w:rPr>
        <w:t>in</w:t>
      </w:r>
      <w:r>
        <w:rPr>
          <w:color w:val="231F20"/>
          <w:spacing w:val="-9"/>
        </w:rPr>
        <w:t> </w:t>
      </w:r>
      <w:r>
        <w:rPr>
          <w:color w:val="231F20"/>
        </w:rPr>
        <w:t>case</w:t>
      </w:r>
      <w:r>
        <w:rPr>
          <w:color w:val="231F20"/>
          <w:spacing w:val="-9"/>
        </w:rPr>
        <w:t> </w:t>
      </w:r>
      <w:r>
        <w:rPr>
          <w:color w:val="231F20"/>
        </w:rPr>
        <w:t>C-623/22</w:t>
      </w:r>
      <w:r>
        <w:rPr>
          <w:color w:val="231F20"/>
          <w:spacing w:val="-9"/>
        </w:rPr>
        <w:t> </w:t>
      </w:r>
      <w:r>
        <w:rPr>
          <w:color w:val="231F20"/>
        </w:rPr>
        <w:t>the</w:t>
      </w:r>
      <w:r>
        <w:rPr>
          <w:color w:val="231F20"/>
          <w:spacing w:val="-9"/>
        </w:rPr>
        <w:t> </w:t>
      </w:r>
      <w:r>
        <w:rPr>
          <w:color w:val="231F20"/>
        </w:rPr>
        <w:t>Belgian Constitutional</w:t>
      </w:r>
      <w:r>
        <w:rPr>
          <w:color w:val="231F20"/>
          <w:spacing w:val="-9"/>
        </w:rPr>
        <w:t> </w:t>
      </w:r>
      <w:r>
        <w:rPr>
          <w:color w:val="231F20"/>
        </w:rPr>
        <w:t>Court</w:t>
      </w:r>
      <w:r>
        <w:rPr>
          <w:color w:val="231F20"/>
          <w:spacing w:val="-9"/>
        </w:rPr>
        <w:t> </w:t>
      </w:r>
      <w:r>
        <w:rPr>
          <w:color w:val="231F20"/>
        </w:rPr>
        <w:t>raised</w:t>
      </w:r>
      <w:r>
        <w:rPr>
          <w:color w:val="231F20"/>
          <w:spacing w:val="-9"/>
        </w:rPr>
        <w:t> </w:t>
      </w:r>
      <w:r>
        <w:rPr>
          <w:color w:val="231F20"/>
        </w:rPr>
        <w:t>a</w:t>
      </w:r>
      <w:r>
        <w:rPr>
          <w:color w:val="231F20"/>
          <w:spacing w:val="-9"/>
        </w:rPr>
        <w:t> </w:t>
      </w:r>
      <w:r>
        <w:rPr>
          <w:color w:val="231F20"/>
        </w:rPr>
        <w:t>wider</w:t>
      </w:r>
      <w:r>
        <w:rPr>
          <w:color w:val="231F20"/>
          <w:spacing w:val="-9"/>
        </w:rPr>
        <w:t> </w:t>
      </w:r>
      <w:r>
        <w:rPr>
          <w:color w:val="231F20"/>
        </w:rPr>
        <w:t>question</w:t>
      </w:r>
      <w:r>
        <w:rPr>
          <w:color w:val="231F20"/>
          <w:spacing w:val="-9"/>
        </w:rPr>
        <w:t> </w:t>
      </w:r>
      <w:r>
        <w:rPr>
          <w:color w:val="231F20"/>
        </w:rPr>
        <w:t>of</w:t>
      </w:r>
      <w:r>
        <w:rPr>
          <w:color w:val="231F20"/>
          <w:spacing w:val="-9"/>
        </w:rPr>
        <w:t> </w:t>
      </w:r>
      <w:r>
        <w:rPr>
          <w:color w:val="231F20"/>
        </w:rPr>
        <w:t>compatibility</w:t>
      </w:r>
      <w:r>
        <w:rPr>
          <w:color w:val="231F20"/>
          <w:spacing w:val="-9"/>
        </w:rPr>
        <w:t> </w:t>
      </w:r>
      <w:r>
        <w:rPr>
          <w:color w:val="231F20"/>
        </w:rPr>
        <w:t>of</w:t>
      </w:r>
      <w:r>
        <w:rPr>
          <w:color w:val="231F20"/>
          <w:spacing w:val="-9"/>
        </w:rPr>
        <w:t> </w:t>
      </w:r>
      <w:r>
        <w:rPr>
          <w:color w:val="231F20"/>
        </w:rPr>
        <w:t>the</w:t>
      </w:r>
      <w:r>
        <w:rPr>
          <w:color w:val="231F20"/>
          <w:spacing w:val="-9"/>
        </w:rPr>
        <w:t> </w:t>
      </w:r>
      <w:r>
        <w:rPr>
          <w:color w:val="231F20"/>
        </w:rPr>
        <w:t>whole reporting</w:t>
      </w:r>
      <w:r>
        <w:rPr>
          <w:color w:val="231F20"/>
          <w:spacing w:val="-4"/>
        </w:rPr>
        <w:t> </w:t>
      </w:r>
      <w:r>
        <w:rPr>
          <w:color w:val="231F20"/>
        </w:rPr>
        <w:t>(of</w:t>
      </w:r>
      <w:r>
        <w:rPr>
          <w:color w:val="231F20"/>
          <w:spacing w:val="-4"/>
        </w:rPr>
        <w:t> </w:t>
      </w:r>
      <w:r>
        <w:rPr>
          <w:color w:val="231F20"/>
        </w:rPr>
        <w:t>«cross-border</w:t>
      </w:r>
      <w:r>
        <w:rPr>
          <w:color w:val="231F20"/>
          <w:spacing w:val="-4"/>
        </w:rPr>
        <w:t> </w:t>
      </w:r>
      <w:r>
        <w:rPr>
          <w:color w:val="231F20"/>
        </w:rPr>
        <w:t>arrangements»</w:t>
      </w:r>
      <w:r>
        <w:rPr>
          <w:color w:val="231F20"/>
          <w:spacing w:val="-4"/>
        </w:rPr>
        <w:t> </w:t>
      </w:r>
      <w:r>
        <w:rPr>
          <w:color w:val="231F20"/>
        </w:rPr>
        <w:t>to</w:t>
      </w:r>
      <w:r>
        <w:rPr>
          <w:color w:val="231F20"/>
          <w:spacing w:val="-4"/>
        </w:rPr>
        <w:t> </w:t>
      </w:r>
      <w:r>
        <w:rPr>
          <w:color w:val="231F20"/>
        </w:rPr>
        <w:t>the</w:t>
      </w:r>
      <w:r>
        <w:rPr>
          <w:color w:val="231F20"/>
          <w:spacing w:val="-4"/>
        </w:rPr>
        <w:t> </w:t>
      </w:r>
      <w:r>
        <w:rPr>
          <w:color w:val="231F20"/>
        </w:rPr>
        <w:t>tax</w:t>
      </w:r>
      <w:r>
        <w:rPr>
          <w:color w:val="231F20"/>
          <w:spacing w:val="-4"/>
        </w:rPr>
        <w:t> </w:t>
      </w:r>
      <w:r>
        <w:rPr>
          <w:color w:val="231F20"/>
        </w:rPr>
        <w:t>administration)</w:t>
      </w:r>
      <w:r>
        <w:rPr>
          <w:color w:val="231F20"/>
          <w:spacing w:val="40"/>
        </w:rPr>
        <w:t> </w:t>
      </w:r>
      <w:r>
        <w:rPr>
          <w:color w:val="231F20"/>
        </w:rPr>
        <w:t>obli- gation</w:t>
      </w:r>
      <w:r>
        <w:rPr>
          <w:color w:val="231F20"/>
          <w:spacing w:val="-2"/>
        </w:rPr>
        <w:t> </w:t>
      </w:r>
      <w:r>
        <w:rPr>
          <w:color w:val="231F20"/>
        </w:rPr>
        <w:t>imposed</w:t>
      </w:r>
      <w:r>
        <w:rPr>
          <w:color w:val="231F20"/>
          <w:spacing w:val="-2"/>
        </w:rPr>
        <w:t> </w:t>
      </w:r>
      <w:r>
        <w:rPr>
          <w:color w:val="231F20"/>
        </w:rPr>
        <w:t>upon</w:t>
      </w:r>
      <w:r>
        <w:rPr>
          <w:color w:val="231F20"/>
          <w:spacing w:val="-2"/>
        </w:rPr>
        <w:t> </w:t>
      </w:r>
      <w:r>
        <w:rPr>
          <w:color w:val="231F20"/>
        </w:rPr>
        <w:t>intermediaries</w:t>
      </w:r>
      <w:r>
        <w:rPr>
          <w:color w:val="231F20"/>
          <w:spacing w:val="-2"/>
        </w:rPr>
        <w:t> </w:t>
      </w:r>
      <w:r>
        <w:rPr>
          <w:color w:val="231F20"/>
        </w:rPr>
        <w:t>(tax</w:t>
      </w:r>
      <w:r>
        <w:rPr>
          <w:color w:val="231F20"/>
          <w:spacing w:val="-2"/>
        </w:rPr>
        <w:t> </w:t>
      </w:r>
      <w:r>
        <w:rPr>
          <w:color w:val="231F20"/>
        </w:rPr>
        <w:t>law</w:t>
      </w:r>
      <w:r>
        <w:rPr>
          <w:color w:val="231F20"/>
          <w:spacing w:val="-2"/>
        </w:rPr>
        <w:t> </w:t>
      </w:r>
      <w:r>
        <w:rPr>
          <w:color w:val="231F20"/>
        </w:rPr>
        <w:t>advisers)</w:t>
      </w:r>
      <w:r>
        <w:rPr>
          <w:color w:val="231F20"/>
          <w:spacing w:val="-2"/>
        </w:rPr>
        <w:t> </w:t>
      </w:r>
      <w:r>
        <w:rPr>
          <w:color w:val="231F20"/>
        </w:rPr>
        <w:t>and</w:t>
      </w:r>
      <w:r>
        <w:rPr>
          <w:color w:val="231F20"/>
          <w:spacing w:val="-2"/>
        </w:rPr>
        <w:t> </w:t>
      </w:r>
      <w:r>
        <w:rPr>
          <w:color w:val="231F20"/>
        </w:rPr>
        <w:t>taxpayers,</w:t>
      </w:r>
      <w:r>
        <w:rPr>
          <w:color w:val="231F20"/>
          <w:spacing w:val="-2"/>
        </w:rPr>
        <w:t> </w:t>
      </w:r>
      <w:r>
        <w:rPr>
          <w:color w:val="231F20"/>
        </w:rPr>
        <w:t>with the</w:t>
      </w:r>
      <w:r>
        <w:rPr>
          <w:color w:val="231F20"/>
          <w:spacing w:val="-15"/>
        </w:rPr>
        <w:t> </w:t>
      </w:r>
      <w:r>
        <w:rPr>
          <w:color w:val="231F20"/>
        </w:rPr>
        <w:t>fundamental</w:t>
      </w:r>
      <w:r>
        <w:rPr>
          <w:color w:val="231F20"/>
          <w:spacing w:val="-15"/>
        </w:rPr>
        <w:t> </w:t>
      </w:r>
      <w:r>
        <w:rPr>
          <w:color w:val="231F20"/>
        </w:rPr>
        <w:t>right</w:t>
      </w:r>
      <w:r>
        <w:rPr>
          <w:color w:val="231F20"/>
          <w:spacing w:val="-15"/>
        </w:rPr>
        <w:t> </w:t>
      </w:r>
      <w:r>
        <w:rPr>
          <w:color w:val="231F20"/>
        </w:rPr>
        <w:t>to</w:t>
      </w:r>
      <w:r>
        <w:rPr>
          <w:color w:val="231F20"/>
          <w:spacing w:val="-15"/>
        </w:rPr>
        <w:t> </w:t>
      </w:r>
      <w:r>
        <w:rPr>
          <w:color w:val="231F20"/>
        </w:rPr>
        <w:t>respect</w:t>
      </w:r>
      <w:r>
        <w:rPr>
          <w:color w:val="231F20"/>
          <w:spacing w:val="-15"/>
        </w:rPr>
        <w:t> </w:t>
      </w:r>
      <w:r>
        <w:rPr>
          <w:color w:val="231F20"/>
        </w:rPr>
        <w:t>of</w:t>
      </w:r>
      <w:r>
        <w:rPr>
          <w:color w:val="231F20"/>
          <w:spacing w:val="-15"/>
        </w:rPr>
        <w:t> </w:t>
      </w:r>
      <w:r>
        <w:rPr>
          <w:color w:val="231F20"/>
        </w:rPr>
        <w:t>private</w:t>
      </w:r>
      <w:r>
        <w:rPr>
          <w:color w:val="231F20"/>
          <w:spacing w:val="-15"/>
        </w:rPr>
        <w:t> </w:t>
      </w:r>
      <w:r>
        <w:rPr>
          <w:color w:val="231F20"/>
        </w:rPr>
        <w:t>life</w:t>
      </w:r>
      <w:r>
        <w:rPr>
          <w:color w:val="231F20"/>
          <w:spacing w:val="-15"/>
        </w:rPr>
        <w:t> </w:t>
      </w:r>
      <w:r>
        <w:rPr>
          <w:color w:val="231F20"/>
        </w:rPr>
        <w:t>guaranteed</w:t>
      </w:r>
      <w:r>
        <w:rPr>
          <w:color w:val="231F20"/>
          <w:spacing w:val="-15"/>
        </w:rPr>
        <w:t> </w:t>
      </w:r>
      <w:r>
        <w:rPr>
          <w:color w:val="231F20"/>
        </w:rPr>
        <w:t>by</w:t>
      </w:r>
      <w:r>
        <w:rPr>
          <w:color w:val="231F20"/>
          <w:spacing w:val="-15"/>
        </w:rPr>
        <w:t> </w:t>
      </w:r>
      <w:r>
        <w:rPr>
          <w:color w:val="231F20"/>
        </w:rPr>
        <w:t>article</w:t>
      </w:r>
      <w:r>
        <w:rPr>
          <w:color w:val="231F20"/>
          <w:spacing w:val="-15"/>
        </w:rPr>
        <w:t> </w:t>
      </w:r>
      <w:r>
        <w:rPr>
          <w:color w:val="231F20"/>
        </w:rPr>
        <w:t>7</w:t>
      </w:r>
      <w:r>
        <w:rPr>
          <w:color w:val="231F20"/>
          <w:spacing w:val="-15"/>
        </w:rPr>
        <w:t> </w:t>
      </w:r>
      <w:r>
        <w:rPr>
          <w:color w:val="231F20"/>
        </w:rPr>
        <w:t>of</w:t>
      </w:r>
      <w:r>
        <w:rPr>
          <w:color w:val="231F20"/>
          <w:spacing w:val="-15"/>
        </w:rPr>
        <w:t> </w:t>
      </w:r>
      <w:r>
        <w:rPr>
          <w:color w:val="231F20"/>
        </w:rPr>
        <w:t>the CFR.</w:t>
      </w:r>
      <w:r>
        <w:rPr>
          <w:color w:val="231F20"/>
          <w:spacing w:val="-3"/>
        </w:rPr>
        <w:t> </w:t>
      </w:r>
      <w:r>
        <w:rPr>
          <w:color w:val="231F20"/>
        </w:rPr>
        <w:t>After</w:t>
      </w:r>
      <w:r>
        <w:rPr>
          <w:color w:val="231F20"/>
          <w:spacing w:val="-3"/>
        </w:rPr>
        <w:t> </w:t>
      </w:r>
      <w:r>
        <w:rPr>
          <w:color w:val="231F20"/>
        </w:rPr>
        <w:t>having</w:t>
      </w:r>
      <w:r>
        <w:rPr>
          <w:color w:val="231F20"/>
          <w:spacing w:val="-3"/>
        </w:rPr>
        <w:t> </w:t>
      </w:r>
      <w:r>
        <w:rPr>
          <w:color w:val="231F20"/>
        </w:rPr>
        <w:t>recognised</w:t>
      </w:r>
      <w:r>
        <w:rPr>
          <w:color w:val="231F20"/>
          <w:spacing w:val="-3"/>
        </w:rPr>
        <w:t> </w:t>
      </w:r>
      <w:r>
        <w:rPr>
          <w:color w:val="231F20"/>
        </w:rPr>
        <w:t>that</w:t>
      </w:r>
      <w:r>
        <w:rPr>
          <w:color w:val="231F20"/>
          <w:spacing w:val="-3"/>
        </w:rPr>
        <w:t> </w:t>
      </w:r>
      <w:r>
        <w:rPr>
          <w:color w:val="231F20"/>
        </w:rPr>
        <w:t>such</w:t>
      </w:r>
      <w:r>
        <w:rPr>
          <w:color w:val="231F20"/>
          <w:spacing w:val="-3"/>
        </w:rPr>
        <w:t> </w:t>
      </w:r>
      <w:r>
        <w:rPr>
          <w:color w:val="231F20"/>
        </w:rPr>
        <w:t>reporting</w:t>
      </w:r>
      <w:r>
        <w:rPr>
          <w:color w:val="231F20"/>
          <w:spacing w:val="-3"/>
        </w:rPr>
        <w:t> </w:t>
      </w:r>
      <w:r>
        <w:rPr>
          <w:color w:val="231F20"/>
        </w:rPr>
        <w:t>obligation</w:t>
      </w:r>
      <w:r>
        <w:rPr>
          <w:color w:val="231F20"/>
          <w:spacing w:val="-3"/>
        </w:rPr>
        <w:t> </w:t>
      </w:r>
      <w:r>
        <w:rPr>
          <w:color w:val="231F20"/>
        </w:rPr>
        <w:t>entails</w:t>
      </w:r>
      <w:r>
        <w:rPr>
          <w:color w:val="231F20"/>
          <w:spacing w:val="-3"/>
        </w:rPr>
        <w:t> </w:t>
      </w:r>
      <w:r>
        <w:rPr>
          <w:color w:val="231F20"/>
        </w:rPr>
        <w:t>a</w:t>
      </w:r>
      <w:r>
        <w:rPr>
          <w:color w:val="231F20"/>
          <w:spacing w:val="-3"/>
        </w:rPr>
        <w:t> </w:t>
      </w:r>
      <w:r>
        <w:rPr>
          <w:color w:val="231F20"/>
        </w:rPr>
        <w:t>sub- stantial limitation of the freedom of taxpayers and intermediaries to orga- nise</w:t>
      </w:r>
      <w:r>
        <w:rPr>
          <w:color w:val="231F20"/>
          <w:spacing w:val="-10"/>
        </w:rPr>
        <w:t> </w:t>
      </w:r>
      <w:r>
        <w:rPr>
          <w:color w:val="231F20"/>
        </w:rPr>
        <w:t>their</w:t>
      </w:r>
      <w:r>
        <w:rPr>
          <w:color w:val="231F20"/>
          <w:spacing w:val="-10"/>
        </w:rPr>
        <w:t> </w:t>
      </w:r>
      <w:r>
        <w:rPr>
          <w:color w:val="231F20"/>
        </w:rPr>
        <w:t>professional</w:t>
      </w:r>
      <w:r>
        <w:rPr>
          <w:color w:val="231F20"/>
          <w:spacing w:val="-10"/>
        </w:rPr>
        <w:t> </w:t>
      </w:r>
      <w:r>
        <w:rPr>
          <w:color w:val="231F20"/>
        </w:rPr>
        <w:t>and</w:t>
      </w:r>
      <w:r>
        <w:rPr>
          <w:color w:val="231F20"/>
          <w:spacing w:val="-10"/>
        </w:rPr>
        <w:t> </w:t>
      </w:r>
      <w:r>
        <w:rPr>
          <w:color w:val="231F20"/>
        </w:rPr>
        <w:t>business</w:t>
      </w:r>
      <w:r>
        <w:rPr>
          <w:color w:val="231F20"/>
          <w:spacing w:val="-10"/>
        </w:rPr>
        <w:t> </w:t>
      </w:r>
      <w:r>
        <w:rPr>
          <w:color w:val="231F20"/>
        </w:rPr>
        <w:t>activities,</w:t>
      </w:r>
      <w:r>
        <w:rPr>
          <w:color w:val="231F20"/>
          <w:spacing w:val="-10"/>
        </w:rPr>
        <w:t> </w:t>
      </w:r>
      <w:r>
        <w:rPr>
          <w:color w:val="231F20"/>
        </w:rPr>
        <w:t>the</w:t>
      </w:r>
      <w:r>
        <w:rPr>
          <w:color w:val="231F20"/>
          <w:spacing w:val="-10"/>
        </w:rPr>
        <w:t> </w:t>
      </w:r>
      <w:r>
        <w:rPr>
          <w:color w:val="231F20"/>
        </w:rPr>
        <w:t>Court</w:t>
      </w:r>
      <w:r>
        <w:rPr>
          <w:color w:val="231F20"/>
          <w:spacing w:val="-10"/>
        </w:rPr>
        <w:t> </w:t>
      </w:r>
      <w:r>
        <w:rPr>
          <w:color w:val="231F20"/>
        </w:rPr>
        <w:t>of</w:t>
      </w:r>
      <w:r>
        <w:rPr>
          <w:color w:val="231F20"/>
          <w:spacing w:val="-10"/>
        </w:rPr>
        <w:t> </w:t>
      </w:r>
      <w:r>
        <w:rPr>
          <w:color w:val="231F20"/>
        </w:rPr>
        <w:t>justice</w:t>
      </w:r>
      <w:r>
        <w:rPr>
          <w:color w:val="231F20"/>
          <w:spacing w:val="-10"/>
        </w:rPr>
        <w:t> </w:t>
      </w:r>
      <w:r>
        <w:rPr>
          <w:color w:val="231F20"/>
        </w:rPr>
        <w:t>admitted </w:t>
      </w:r>
      <w:r>
        <w:rPr>
          <w:color w:val="231F20"/>
          <w:spacing w:val="-2"/>
        </w:rPr>
        <w:t>nevertheless</w:t>
      </w:r>
      <w:r>
        <w:rPr>
          <w:color w:val="231F20"/>
          <w:spacing w:val="-8"/>
        </w:rPr>
        <w:t> </w:t>
      </w:r>
      <w:r>
        <w:rPr>
          <w:color w:val="231F20"/>
          <w:spacing w:val="-2"/>
        </w:rPr>
        <w:t>that</w:t>
      </w:r>
      <w:r>
        <w:rPr>
          <w:color w:val="231F20"/>
          <w:spacing w:val="-8"/>
        </w:rPr>
        <w:t> </w:t>
      </w:r>
      <w:r>
        <w:rPr>
          <w:color w:val="231F20"/>
          <w:spacing w:val="-2"/>
        </w:rPr>
        <w:t>such</w:t>
      </w:r>
      <w:r>
        <w:rPr>
          <w:color w:val="231F20"/>
          <w:spacing w:val="-8"/>
        </w:rPr>
        <w:t> </w:t>
      </w:r>
      <w:r>
        <w:rPr>
          <w:color w:val="231F20"/>
          <w:spacing w:val="-2"/>
        </w:rPr>
        <w:t>heavy</w:t>
      </w:r>
      <w:r>
        <w:rPr>
          <w:color w:val="231F20"/>
          <w:spacing w:val="-8"/>
        </w:rPr>
        <w:t> </w:t>
      </w:r>
      <w:r>
        <w:rPr>
          <w:color w:val="231F20"/>
          <w:spacing w:val="-2"/>
        </w:rPr>
        <w:t>interference</w:t>
      </w:r>
      <w:r>
        <w:rPr>
          <w:color w:val="231F20"/>
          <w:spacing w:val="-8"/>
        </w:rPr>
        <w:t> </w:t>
      </w:r>
      <w:r>
        <w:rPr>
          <w:color w:val="231F20"/>
          <w:spacing w:val="-2"/>
        </w:rPr>
        <w:t>with</w:t>
      </w:r>
      <w:r>
        <w:rPr>
          <w:color w:val="231F20"/>
          <w:spacing w:val="-8"/>
        </w:rPr>
        <w:t> </w:t>
      </w:r>
      <w:r>
        <w:rPr>
          <w:color w:val="231F20"/>
          <w:spacing w:val="-2"/>
        </w:rPr>
        <w:t>the</w:t>
      </w:r>
      <w:r>
        <w:rPr>
          <w:color w:val="231F20"/>
          <w:spacing w:val="-8"/>
        </w:rPr>
        <w:t> </w:t>
      </w:r>
      <w:r>
        <w:rPr>
          <w:color w:val="231F20"/>
          <w:spacing w:val="-2"/>
        </w:rPr>
        <w:t>right</w:t>
      </w:r>
      <w:r>
        <w:rPr>
          <w:color w:val="231F20"/>
          <w:spacing w:val="-8"/>
        </w:rPr>
        <w:t> </w:t>
      </w:r>
      <w:r>
        <w:rPr>
          <w:color w:val="231F20"/>
          <w:spacing w:val="-2"/>
        </w:rPr>
        <w:t>to</w:t>
      </w:r>
      <w:r>
        <w:rPr>
          <w:color w:val="231F20"/>
          <w:spacing w:val="-8"/>
        </w:rPr>
        <w:t> </w:t>
      </w:r>
      <w:r>
        <w:rPr>
          <w:color w:val="231F20"/>
          <w:spacing w:val="-2"/>
        </w:rPr>
        <w:t>respect</w:t>
      </w:r>
      <w:r>
        <w:rPr>
          <w:color w:val="231F20"/>
          <w:spacing w:val="-8"/>
        </w:rPr>
        <w:t> </w:t>
      </w:r>
      <w:r>
        <w:rPr>
          <w:color w:val="231F20"/>
          <w:spacing w:val="-2"/>
        </w:rPr>
        <w:t>for</w:t>
      </w:r>
      <w:r>
        <w:rPr>
          <w:color w:val="231F20"/>
          <w:spacing w:val="-8"/>
        </w:rPr>
        <w:t> </w:t>
      </w:r>
      <w:r>
        <w:rPr>
          <w:color w:val="231F20"/>
          <w:spacing w:val="-2"/>
        </w:rPr>
        <w:t>private </w:t>
      </w:r>
      <w:r>
        <w:rPr>
          <w:color w:val="231F20"/>
        </w:rPr>
        <w:t>life</w:t>
      </w:r>
      <w:r>
        <w:rPr>
          <w:color w:val="231F20"/>
          <w:spacing w:val="-7"/>
        </w:rPr>
        <w:t> </w:t>
      </w:r>
      <w:r>
        <w:rPr>
          <w:color w:val="231F20"/>
        </w:rPr>
        <w:t>was</w:t>
      </w:r>
      <w:r>
        <w:rPr>
          <w:color w:val="231F20"/>
          <w:spacing w:val="-7"/>
        </w:rPr>
        <w:t> </w:t>
      </w:r>
      <w:r>
        <w:rPr>
          <w:color w:val="231F20"/>
        </w:rPr>
        <w:t>justified</w:t>
      </w:r>
      <w:r>
        <w:rPr>
          <w:color w:val="231F20"/>
          <w:spacing w:val="-7"/>
        </w:rPr>
        <w:t> </w:t>
      </w:r>
      <w:r>
        <w:rPr>
          <w:color w:val="231F20"/>
        </w:rPr>
        <w:t>by</w:t>
      </w:r>
      <w:r>
        <w:rPr>
          <w:color w:val="231F20"/>
          <w:spacing w:val="-7"/>
        </w:rPr>
        <w:t> </w:t>
      </w:r>
      <w:r>
        <w:rPr>
          <w:color w:val="231F20"/>
        </w:rPr>
        <w:t>some</w:t>
      </w:r>
      <w:r>
        <w:rPr>
          <w:color w:val="231F20"/>
          <w:spacing w:val="-7"/>
        </w:rPr>
        <w:t> </w:t>
      </w:r>
      <w:r>
        <w:rPr>
          <w:color w:val="231F20"/>
        </w:rPr>
        <w:t>important</w:t>
      </w:r>
      <w:r>
        <w:rPr>
          <w:color w:val="231F20"/>
          <w:spacing w:val="-7"/>
        </w:rPr>
        <w:t> </w:t>
      </w:r>
      <w:r>
        <w:rPr>
          <w:color w:val="231F20"/>
        </w:rPr>
        <w:t>public</w:t>
      </w:r>
      <w:r>
        <w:rPr>
          <w:color w:val="231F20"/>
          <w:spacing w:val="-7"/>
        </w:rPr>
        <w:t> </w:t>
      </w:r>
      <w:r>
        <w:rPr>
          <w:color w:val="231F20"/>
        </w:rPr>
        <w:t>interest</w:t>
      </w:r>
      <w:r>
        <w:rPr>
          <w:color w:val="231F20"/>
          <w:spacing w:val="-7"/>
        </w:rPr>
        <w:t> </w:t>
      </w:r>
      <w:r>
        <w:rPr>
          <w:color w:val="231F20"/>
        </w:rPr>
        <w:t>objectives</w:t>
      </w:r>
      <w:r>
        <w:rPr>
          <w:color w:val="231F20"/>
          <w:spacing w:val="-7"/>
        </w:rPr>
        <w:t> </w:t>
      </w:r>
      <w:r>
        <w:rPr>
          <w:color w:val="231F20"/>
        </w:rPr>
        <w:t>such</w:t>
      </w:r>
      <w:r>
        <w:rPr>
          <w:color w:val="231F20"/>
          <w:spacing w:val="-7"/>
        </w:rPr>
        <w:t> </w:t>
      </w:r>
      <w:r>
        <w:rPr>
          <w:color w:val="231F20"/>
        </w:rPr>
        <w:t>as</w:t>
      </w:r>
      <w:r>
        <w:rPr>
          <w:color w:val="231F20"/>
          <w:spacing w:val="-7"/>
        </w:rPr>
        <w:t> </w:t>
      </w:r>
      <w:r>
        <w:rPr>
          <w:color w:val="231F20"/>
        </w:rPr>
        <w:t>com- bating</w:t>
      </w:r>
      <w:r>
        <w:rPr>
          <w:color w:val="231F20"/>
          <w:spacing w:val="-15"/>
        </w:rPr>
        <w:t> </w:t>
      </w:r>
      <w:r>
        <w:rPr>
          <w:color w:val="231F20"/>
        </w:rPr>
        <w:t>aggressive</w:t>
      </w:r>
      <w:r>
        <w:rPr>
          <w:color w:val="231F20"/>
          <w:spacing w:val="-15"/>
        </w:rPr>
        <w:t> </w:t>
      </w:r>
      <w:r>
        <w:rPr>
          <w:color w:val="231F20"/>
        </w:rPr>
        <w:t>tax</w:t>
      </w:r>
      <w:r>
        <w:rPr>
          <w:color w:val="231F20"/>
          <w:spacing w:val="-15"/>
        </w:rPr>
        <w:t> </w:t>
      </w:r>
      <w:r>
        <w:rPr>
          <w:color w:val="231F20"/>
        </w:rPr>
        <w:t>planning</w:t>
      </w:r>
      <w:r>
        <w:rPr>
          <w:color w:val="231F20"/>
          <w:spacing w:val="-15"/>
        </w:rPr>
        <w:t> </w:t>
      </w:r>
      <w:r>
        <w:rPr>
          <w:color w:val="231F20"/>
        </w:rPr>
        <w:t>and</w:t>
      </w:r>
      <w:r>
        <w:rPr>
          <w:color w:val="231F20"/>
          <w:spacing w:val="-15"/>
        </w:rPr>
        <w:t> </w:t>
      </w:r>
      <w:r>
        <w:rPr>
          <w:color w:val="231F20"/>
        </w:rPr>
        <w:t>preventing</w:t>
      </w:r>
      <w:r>
        <w:rPr>
          <w:color w:val="231F20"/>
          <w:spacing w:val="-15"/>
        </w:rPr>
        <w:t> </w:t>
      </w:r>
      <w:r>
        <w:rPr>
          <w:color w:val="231F20"/>
        </w:rPr>
        <w:t>the</w:t>
      </w:r>
      <w:r>
        <w:rPr>
          <w:color w:val="231F20"/>
          <w:spacing w:val="-15"/>
        </w:rPr>
        <w:t> </w:t>
      </w:r>
      <w:r>
        <w:rPr>
          <w:color w:val="231F20"/>
        </w:rPr>
        <w:t>risks</w:t>
      </w:r>
      <w:r>
        <w:rPr>
          <w:color w:val="231F20"/>
          <w:spacing w:val="-15"/>
        </w:rPr>
        <w:t> </w:t>
      </w:r>
      <w:r>
        <w:rPr>
          <w:color w:val="231F20"/>
        </w:rPr>
        <w:t>of</w:t>
      </w:r>
      <w:r>
        <w:rPr>
          <w:color w:val="231F20"/>
          <w:spacing w:val="-15"/>
        </w:rPr>
        <w:t> </w:t>
      </w:r>
      <w:r>
        <w:rPr>
          <w:color w:val="231F20"/>
        </w:rPr>
        <w:t>tax</w:t>
      </w:r>
      <w:r>
        <w:rPr>
          <w:color w:val="231F20"/>
          <w:spacing w:val="-15"/>
        </w:rPr>
        <w:t> </w:t>
      </w:r>
      <w:r>
        <w:rPr>
          <w:color w:val="231F20"/>
        </w:rPr>
        <w:t>avoidance</w:t>
      </w:r>
      <w:r>
        <w:rPr>
          <w:color w:val="231F20"/>
          <w:spacing w:val="-15"/>
        </w:rPr>
        <w:t> </w:t>
      </w:r>
      <w:r>
        <w:rPr>
          <w:color w:val="231F20"/>
        </w:rPr>
        <w:t>and evasion,</w:t>
      </w:r>
      <w:r>
        <w:rPr>
          <w:color w:val="231F20"/>
          <w:spacing w:val="-9"/>
        </w:rPr>
        <w:t> </w:t>
      </w:r>
      <w:r>
        <w:rPr>
          <w:color w:val="231F20"/>
        </w:rPr>
        <w:t>the</w:t>
      </w:r>
      <w:r>
        <w:rPr>
          <w:color w:val="231F20"/>
          <w:spacing w:val="-9"/>
        </w:rPr>
        <w:t> </w:t>
      </w:r>
      <w:r>
        <w:rPr>
          <w:color w:val="231F20"/>
        </w:rPr>
        <w:t>establishment</w:t>
      </w:r>
      <w:r>
        <w:rPr>
          <w:color w:val="231F20"/>
          <w:spacing w:val="-9"/>
        </w:rPr>
        <w:t> </w:t>
      </w:r>
      <w:r>
        <w:rPr>
          <w:color w:val="231F20"/>
        </w:rPr>
        <w:t>of</w:t>
      </w:r>
      <w:r>
        <w:rPr>
          <w:color w:val="231F20"/>
          <w:spacing w:val="-9"/>
        </w:rPr>
        <w:t> </w:t>
      </w:r>
      <w:r>
        <w:rPr>
          <w:color w:val="231F20"/>
        </w:rPr>
        <w:t>a</w:t>
      </w:r>
      <w:r>
        <w:rPr>
          <w:color w:val="231F20"/>
          <w:spacing w:val="-9"/>
        </w:rPr>
        <w:t> </w:t>
      </w:r>
      <w:r>
        <w:rPr>
          <w:color w:val="231F20"/>
        </w:rPr>
        <w:t>fair</w:t>
      </w:r>
      <w:r>
        <w:rPr>
          <w:color w:val="231F20"/>
          <w:spacing w:val="-9"/>
        </w:rPr>
        <w:t> </w:t>
      </w:r>
      <w:r>
        <w:rPr>
          <w:color w:val="231F20"/>
        </w:rPr>
        <w:t>tax</w:t>
      </w:r>
      <w:r>
        <w:rPr>
          <w:color w:val="231F20"/>
          <w:spacing w:val="-9"/>
        </w:rPr>
        <w:t> </w:t>
      </w:r>
      <w:r>
        <w:rPr>
          <w:color w:val="231F20"/>
        </w:rPr>
        <w:t>environment</w:t>
      </w:r>
      <w:r>
        <w:rPr>
          <w:color w:val="231F20"/>
          <w:spacing w:val="-9"/>
        </w:rPr>
        <w:t> </w:t>
      </w:r>
      <w:r>
        <w:rPr>
          <w:color w:val="231F20"/>
        </w:rPr>
        <w:t>in</w:t>
      </w:r>
      <w:r>
        <w:rPr>
          <w:color w:val="231F20"/>
          <w:spacing w:val="-9"/>
        </w:rPr>
        <w:t> </w:t>
      </w:r>
      <w:r>
        <w:rPr>
          <w:color w:val="231F20"/>
        </w:rPr>
        <w:t>the</w:t>
      </w:r>
      <w:r>
        <w:rPr>
          <w:color w:val="231F20"/>
          <w:spacing w:val="-9"/>
        </w:rPr>
        <w:t> </w:t>
      </w:r>
      <w:r>
        <w:rPr>
          <w:color w:val="231F20"/>
        </w:rPr>
        <w:t>internal</w:t>
      </w:r>
      <w:r>
        <w:rPr>
          <w:color w:val="231F20"/>
          <w:spacing w:val="-9"/>
        </w:rPr>
        <w:t> </w:t>
      </w:r>
      <w:r>
        <w:rPr>
          <w:color w:val="231F20"/>
        </w:rPr>
        <w:t>market, the safeguard of the balanced allocation of the Member States’ powers of taxation</w:t>
      </w:r>
      <w:r>
        <w:rPr>
          <w:color w:val="231F20"/>
          <w:spacing w:val="-4"/>
        </w:rPr>
        <w:t> </w:t>
      </w:r>
      <w:r>
        <w:rPr>
          <w:color w:val="231F20"/>
        </w:rPr>
        <w:t>and</w:t>
      </w:r>
      <w:r>
        <w:rPr>
          <w:color w:val="231F20"/>
          <w:spacing w:val="-4"/>
        </w:rPr>
        <w:t> </w:t>
      </w:r>
      <w:r>
        <w:rPr>
          <w:color w:val="231F20"/>
        </w:rPr>
        <w:t>of</w:t>
      </w:r>
      <w:r>
        <w:rPr>
          <w:color w:val="231F20"/>
          <w:spacing w:val="-4"/>
        </w:rPr>
        <w:t> </w:t>
      </w:r>
      <w:r>
        <w:rPr>
          <w:color w:val="231F20"/>
        </w:rPr>
        <w:t>the</w:t>
      </w:r>
      <w:r>
        <w:rPr>
          <w:color w:val="231F20"/>
          <w:spacing w:val="-4"/>
        </w:rPr>
        <w:t> </w:t>
      </w:r>
      <w:r>
        <w:rPr>
          <w:color w:val="231F20"/>
        </w:rPr>
        <w:t>effective</w:t>
      </w:r>
      <w:r>
        <w:rPr>
          <w:color w:val="231F20"/>
          <w:spacing w:val="-4"/>
        </w:rPr>
        <w:t> </w:t>
      </w:r>
      <w:r>
        <w:rPr>
          <w:color w:val="231F20"/>
        </w:rPr>
        <w:t>collection</w:t>
      </w:r>
      <w:r>
        <w:rPr>
          <w:color w:val="231F20"/>
          <w:spacing w:val="-4"/>
        </w:rPr>
        <w:t> </w:t>
      </w:r>
      <w:r>
        <w:rPr>
          <w:color w:val="231F20"/>
        </w:rPr>
        <w:t>of</w:t>
      </w:r>
      <w:r>
        <w:rPr>
          <w:color w:val="231F20"/>
          <w:spacing w:val="-4"/>
        </w:rPr>
        <w:t> </w:t>
      </w:r>
      <w:r>
        <w:rPr>
          <w:color w:val="231F20"/>
        </w:rPr>
        <w:t>tax</w:t>
      </w:r>
      <w:r>
        <w:rPr>
          <w:color w:val="231F20"/>
          <w:position w:val="8"/>
          <w:sz w:val="14"/>
        </w:rPr>
        <w:t>29</w:t>
      </w:r>
      <w:r>
        <w:rPr>
          <w:color w:val="231F20"/>
        </w:rPr>
        <w:t>.</w:t>
      </w:r>
      <w:r>
        <w:rPr>
          <w:color w:val="231F20"/>
          <w:spacing w:val="-4"/>
        </w:rPr>
        <w:t> </w:t>
      </w:r>
      <w:r>
        <w:rPr>
          <w:color w:val="231F20"/>
        </w:rPr>
        <w:t>By</w:t>
      </w:r>
      <w:r>
        <w:rPr>
          <w:color w:val="231F20"/>
          <w:spacing w:val="-4"/>
        </w:rPr>
        <w:t> </w:t>
      </w:r>
      <w:r>
        <w:rPr>
          <w:color w:val="231F20"/>
        </w:rPr>
        <w:t>this</w:t>
      </w:r>
      <w:r>
        <w:rPr>
          <w:color w:val="231F20"/>
          <w:spacing w:val="-4"/>
        </w:rPr>
        <w:t> </w:t>
      </w:r>
      <w:r>
        <w:rPr>
          <w:color w:val="231F20"/>
        </w:rPr>
        <w:t>very</w:t>
      </w:r>
      <w:r>
        <w:rPr>
          <w:color w:val="231F20"/>
          <w:spacing w:val="-4"/>
        </w:rPr>
        <w:t> </w:t>
      </w:r>
      <w:r>
        <w:rPr>
          <w:color w:val="231F20"/>
        </w:rPr>
        <w:t>detailed</w:t>
      </w:r>
      <w:r>
        <w:rPr>
          <w:color w:val="231F20"/>
          <w:spacing w:val="-4"/>
        </w:rPr>
        <w:t> </w:t>
      </w:r>
      <w:r>
        <w:rPr>
          <w:color w:val="231F20"/>
        </w:rPr>
        <w:t>ruling the Union judges confirmed therefore the validity of the DAC 6 directive 2018/822 as a whole with respect to article 7 of the CFR.</w:t>
      </w:r>
    </w:p>
    <w:p>
      <w:pPr>
        <w:pStyle w:val="BodyText"/>
        <w:spacing w:before="105"/>
      </w:pPr>
    </w:p>
    <w:p>
      <w:pPr>
        <w:pStyle w:val="ListParagraph"/>
        <w:numPr>
          <w:ilvl w:val="1"/>
          <w:numId w:val="1"/>
        </w:numPr>
        <w:tabs>
          <w:tab w:pos="583" w:val="left" w:leader="none"/>
        </w:tabs>
        <w:spacing w:line="244" w:lineRule="auto" w:before="0" w:after="0"/>
        <w:ind w:left="157" w:right="316" w:firstLine="0"/>
        <w:jc w:val="left"/>
        <w:rPr>
          <w:b/>
          <w:sz w:val="24"/>
        </w:rPr>
      </w:pPr>
      <w:r>
        <w:rPr>
          <w:b/>
          <w:color w:val="231F20"/>
          <w:sz w:val="24"/>
        </w:rPr>
        <w:t>Incompatibility with art. 7 of the CFR of a Luxemburg Law Provision</w:t>
      </w:r>
      <w:r>
        <w:rPr>
          <w:b/>
          <w:color w:val="231F20"/>
          <w:spacing w:val="-9"/>
          <w:sz w:val="24"/>
        </w:rPr>
        <w:t> </w:t>
      </w:r>
      <w:r>
        <w:rPr>
          <w:b/>
          <w:color w:val="231F20"/>
          <w:sz w:val="24"/>
        </w:rPr>
        <w:t>that</w:t>
      </w:r>
      <w:r>
        <w:rPr>
          <w:b/>
          <w:color w:val="231F20"/>
          <w:spacing w:val="-9"/>
          <w:sz w:val="24"/>
        </w:rPr>
        <w:t> </w:t>
      </w:r>
      <w:r>
        <w:rPr>
          <w:b/>
          <w:color w:val="231F20"/>
          <w:sz w:val="24"/>
        </w:rPr>
        <w:t>excluded</w:t>
      </w:r>
      <w:r>
        <w:rPr>
          <w:b/>
          <w:color w:val="231F20"/>
          <w:spacing w:val="-9"/>
          <w:sz w:val="24"/>
        </w:rPr>
        <w:t> </w:t>
      </w:r>
      <w:r>
        <w:rPr>
          <w:b/>
          <w:color w:val="231F20"/>
          <w:sz w:val="24"/>
        </w:rPr>
        <w:t>from</w:t>
      </w:r>
      <w:r>
        <w:rPr>
          <w:b/>
          <w:color w:val="231F20"/>
          <w:spacing w:val="-9"/>
          <w:sz w:val="24"/>
        </w:rPr>
        <w:t> </w:t>
      </w:r>
      <w:r>
        <w:rPr>
          <w:b/>
          <w:color w:val="231F20"/>
          <w:sz w:val="24"/>
        </w:rPr>
        <w:t>professional</w:t>
      </w:r>
      <w:r>
        <w:rPr>
          <w:b/>
          <w:color w:val="231F20"/>
          <w:spacing w:val="-9"/>
          <w:sz w:val="24"/>
        </w:rPr>
        <w:t> </w:t>
      </w:r>
      <w:r>
        <w:rPr>
          <w:b/>
          <w:color w:val="231F20"/>
          <w:sz w:val="24"/>
        </w:rPr>
        <w:t>Secrecy</w:t>
      </w:r>
      <w:r>
        <w:rPr>
          <w:b/>
          <w:color w:val="231F20"/>
          <w:spacing w:val="-9"/>
          <w:sz w:val="24"/>
        </w:rPr>
        <w:t> </w:t>
      </w:r>
      <w:r>
        <w:rPr>
          <w:b/>
          <w:color w:val="231F20"/>
          <w:sz w:val="24"/>
        </w:rPr>
        <w:t>Protection</w:t>
      </w:r>
      <w:r>
        <w:rPr>
          <w:b/>
          <w:color w:val="231F20"/>
          <w:spacing w:val="-9"/>
          <w:sz w:val="24"/>
        </w:rPr>
        <w:t> </w:t>
      </w:r>
      <w:r>
        <w:rPr>
          <w:b/>
          <w:color w:val="231F20"/>
          <w:sz w:val="24"/>
        </w:rPr>
        <w:t>the</w:t>
      </w:r>
      <w:r>
        <w:rPr>
          <w:b/>
          <w:color w:val="231F20"/>
          <w:spacing w:val="-9"/>
          <w:sz w:val="24"/>
        </w:rPr>
        <w:t> </w:t>
      </w:r>
      <w:r>
        <w:rPr>
          <w:b/>
          <w:color w:val="231F20"/>
          <w:sz w:val="24"/>
        </w:rPr>
        <w:t>Legal Opinions provided by Lawyers in the Area of Tax Law</w:t>
      </w:r>
    </w:p>
    <w:p>
      <w:pPr>
        <w:pStyle w:val="BodyText"/>
        <w:spacing w:line="225" w:lineRule="auto" w:before="235"/>
        <w:ind w:left="157" w:right="118"/>
        <w:jc w:val="both"/>
      </w:pPr>
      <w:r>
        <w:rPr>
          <w:color w:val="231F20"/>
        </w:rPr>
        <w:t>The</w:t>
      </w:r>
      <w:r>
        <w:rPr>
          <w:color w:val="231F20"/>
          <w:spacing w:val="-4"/>
        </w:rPr>
        <w:t> </w:t>
      </w:r>
      <w:r>
        <w:rPr>
          <w:color w:val="231F20"/>
        </w:rPr>
        <w:t>Court</w:t>
      </w:r>
      <w:r>
        <w:rPr>
          <w:color w:val="231F20"/>
          <w:spacing w:val="-4"/>
        </w:rPr>
        <w:t> </w:t>
      </w:r>
      <w:r>
        <w:rPr>
          <w:color w:val="231F20"/>
        </w:rPr>
        <w:t>of</w:t>
      </w:r>
      <w:r>
        <w:rPr>
          <w:color w:val="231F20"/>
          <w:spacing w:val="-4"/>
        </w:rPr>
        <w:t> </w:t>
      </w:r>
      <w:r>
        <w:rPr>
          <w:color w:val="231F20"/>
        </w:rPr>
        <w:t>Justice</w:t>
      </w:r>
      <w:r>
        <w:rPr>
          <w:color w:val="231F20"/>
          <w:spacing w:val="-4"/>
        </w:rPr>
        <w:t> </w:t>
      </w:r>
      <w:r>
        <w:rPr>
          <w:color w:val="231F20"/>
        </w:rPr>
        <w:t>was</w:t>
      </w:r>
      <w:r>
        <w:rPr>
          <w:color w:val="231F20"/>
          <w:spacing w:val="-4"/>
        </w:rPr>
        <w:t> </w:t>
      </w:r>
      <w:r>
        <w:rPr>
          <w:color w:val="231F20"/>
        </w:rPr>
        <w:t>called</w:t>
      </w:r>
      <w:r>
        <w:rPr>
          <w:color w:val="231F20"/>
          <w:spacing w:val="-4"/>
        </w:rPr>
        <w:t> </w:t>
      </w:r>
      <w:r>
        <w:rPr>
          <w:color w:val="231F20"/>
        </w:rPr>
        <w:t>upon</w:t>
      </w:r>
      <w:r>
        <w:rPr>
          <w:color w:val="231F20"/>
          <w:spacing w:val="-4"/>
        </w:rPr>
        <w:t> </w:t>
      </w:r>
      <w:r>
        <w:rPr>
          <w:color w:val="231F20"/>
        </w:rPr>
        <w:t>to</w:t>
      </w:r>
      <w:r>
        <w:rPr>
          <w:color w:val="231F20"/>
          <w:spacing w:val="-4"/>
        </w:rPr>
        <w:t> </w:t>
      </w:r>
      <w:r>
        <w:rPr>
          <w:color w:val="231F20"/>
        </w:rPr>
        <w:t>apply</w:t>
      </w:r>
      <w:r>
        <w:rPr>
          <w:color w:val="231F20"/>
          <w:spacing w:val="-4"/>
        </w:rPr>
        <w:t> </w:t>
      </w:r>
      <w:r>
        <w:rPr>
          <w:color w:val="231F20"/>
        </w:rPr>
        <w:t>the</w:t>
      </w:r>
      <w:r>
        <w:rPr>
          <w:color w:val="231F20"/>
          <w:spacing w:val="-4"/>
        </w:rPr>
        <w:t> </w:t>
      </w:r>
      <w:r>
        <w:rPr>
          <w:color w:val="231F20"/>
        </w:rPr>
        <w:t>interpretative</w:t>
      </w:r>
      <w:r>
        <w:rPr>
          <w:color w:val="231F20"/>
          <w:spacing w:val="-4"/>
        </w:rPr>
        <w:t> </w:t>
      </w:r>
      <w:r>
        <w:rPr>
          <w:color w:val="231F20"/>
        </w:rPr>
        <w:t>principles it</w:t>
      </w:r>
      <w:r>
        <w:rPr>
          <w:color w:val="231F20"/>
          <w:spacing w:val="4"/>
        </w:rPr>
        <w:t> </w:t>
      </w:r>
      <w:r>
        <w:rPr>
          <w:color w:val="231F20"/>
        </w:rPr>
        <w:t>had</w:t>
      </w:r>
      <w:r>
        <w:rPr>
          <w:color w:val="231F20"/>
          <w:spacing w:val="7"/>
        </w:rPr>
        <w:t> </w:t>
      </w:r>
      <w:r>
        <w:rPr>
          <w:color w:val="231F20"/>
        </w:rPr>
        <w:t>developed</w:t>
      </w:r>
      <w:r>
        <w:rPr>
          <w:color w:val="231F20"/>
          <w:spacing w:val="7"/>
        </w:rPr>
        <w:t> </w:t>
      </w:r>
      <w:r>
        <w:rPr>
          <w:color w:val="231F20"/>
        </w:rPr>
        <w:t>with</w:t>
      </w:r>
      <w:r>
        <w:rPr>
          <w:color w:val="231F20"/>
          <w:spacing w:val="6"/>
        </w:rPr>
        <w:t> </w:t>
      </w:r>
      <w:r>
        <w:rPr>
          <w:color w:val="231F20"/>
        </w:rPr>
        <w:t>regard</w:t>
      </w:r>
      <w:r>
        <w:rPr>
          <w:color w:val="231F20"/>
          <w:spacing w:val="7"/>
        </w:rPr>
        <w:t> </w:t>
      </w:r>
      <w:r>
        <w:rPr>
          <w:color w:val="231F20"/>
        </w:rPr>
        <w:t>to</w:t>
      </w:r>
      <w:r>
        <w:rPr>
          <w:color w:val="231F20"/>
          <w:spacing w:val="7"/>
        </w:rPr>
        <w:t> </w:t>
      </w:r>
      <w:r>
        <w:rPr>
          <w:color w:val="231F20"/>
        </w:rPr>
        <w:t>the</w:t>
      </w:r>
      <w:r>
        <w:rPr>
          <w:color w:val="231F20"/>
          <w:spacing w:val="7"/>
        </w:rPr>
        <w:t> </w:t>
      </w:r>
      <w:r>
        <w:rPr>
          <w:color w:val="231F20"/>
        </w:rPr>
        <w:t>protection</w:t>
      </w:r>
      <w:r>
        <w:rPr>
          <w:color w:val="231F20"/>
          <w:spacing w:val="6"/>
        </w:rPr>
        <w:t> </w:t>
      </w:r>
      <w:r>
        <w:rPr>
          <w:color w:val="231F20"/>
        </w:rPr>
        <w:t>of</w:t>
      </w:r>
      <w:r>
        <w:rPr>
          <w:color w:val="231F20"/>
          <w:spacing w:val="7"/>
        </w:rPr>
        <w:t> </w:t>
      </w:r>
      <w:r>
        <w:rPr>
          <w:color w:val="231F20"/>
        </w:rPr>
        <w:t>lawyers’</w:t>
      </w:r>
      <w:r>
        <w:rPr>
          <w:color w:val="231F20"/>
          <w:spacing w:val="7"/>
        </w:rPr>
        <w:t> </w:t>
      </w:r>
      <w:r>
        <w:rPr>
          <w:color w:val="231F20"/>
        </w:rPr>
        <w:t>professional</w:t>
      </w:r>
      <w:r>
        <w:rPr>
          <w:color w:val="231F20"/>
          <w:spacing w:val="7"/>
        </w:rPr>
        <w:t> </w:t>
      </w:r>
      <w:r>
        <w:rPr>
          <w:color w:val="231F20"/>
          <w:spacing w:val="-5"/>
        </w:rPr>
        <w:t>se-</w:t>
      </w:r>
    </w:p>
    <w:p>
      <w:pPr>
        <w:pStyle w:val="BodyText"/>
        <w:spacing w:before="9"/>
        <w:rPr>
          <w:sz w:val="5"/>
        </w:rPr>
      </w:pPr>
      <w:r>
        <w:rPr/>
        <mc:AlternateContent>
          <mc:Choice Requires="wps">
            <w:drawing>
              <wp:anchor distT="0" distB="0" distL="0" distR="0" allowOverlap="1" layoutInCell="1" locked="0" behindDoc="1" simplePos="0" relativeHeight="487597568">
                <wp:simplePos x="0" y="0"/>
                <wp:positionH relativeFrom="page">
                  <wp:posOffset>899999</wp:posOffset>
                </wp:positionH>
                <wp:positionV relativeFrom="paragraph">
                  <wp:posOffset>61339</wp:posOffset>
                </wp:positionV>
                <wp:extent cx="792480" cy="1270"/>
                <wp:effectExtent l="0" t="0" r="0" b="0"/>
                <wp:wrapTopAndBottom/>
                <wp:docPr id="46" name="Graphic 46"/>
                <wp:cNvGraphicFramePr>
                  <a:graphicFrameLocks/>
                </wp:cNvGraphicFramePr>
                <a:graphic>
                  <a:graphicData uri="http://schemas.microsoft.com/office/word/2010/wordprocessingShape">
                    <wps:wsp>
                      <wps:cNvPr id="46" name="Graphic 46"/>
                      <wps:cNvSpPr/>
                      <wps:spPr>
                        <a:xfrm>
                          <a:off x="0" y="0"/>
                          <a:ext cx="792480" cy="1270"/>
                        </a:xfrm>
                        <a:custGeom>
                          <a:avLst/>
                          <a:gdLst/>
                          <a:ahLst/>
                          <a:cxnLst/>
                          <a:rect l="l" t="t" r="r" b="b"/>
                          <a:pathLst>
                            <a:path w="792480" h="0">
                              <a:moveTo>
                                <a:pt x="0" y="0"/>
                              </a:moveTo>
                              <a:lnTo>
                                <a:pt x="791997"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shape style="position:absolute;margin-left:70.866096pt;margin-top:4.82986pt;width:62.4pt;height:.1pt;mso-position-horizontal-relative:page;mso-position-vertical-relative:paragraph;z-index:-15718912;mso-wrap-distance-left:0;mso-wrap-distance-right:0" id="docshape38" coordorigin="1417,97" coordsize="1248,0" path="m1417,97l2665,97e" filled="false" stroked="true" strokeweight=".5pt" strokecolor="#231f20">
                <v:path arrowok="t"/>
                <v:stroke dashstyle="solid"/>
                <w10:wrap type="topAndBottom"/>
              </v:shape>
            </w:pict>
          </mc:Fallback>
        </mc:AlternateContent>
      </w:r>
    </w:p>
    <w:p>
      <w:pPr>
        <w:spacing w:line="225" w:lineRule="auto" w:before="201"/>
        <w:ind w:left="157" w:right="94" w:hanging="1"/>
        <w:jc w:val="left"/>
        <w:rPr>
          <w:sz w:val="19"/>
        </w:rPr>
      </w:pPr>
      <w:r>
        <w:rPr>
          <w:color w:val="231F20"/>
          <w:position w:val="6"/>
          <w:sz w:val="11"/>
        </w:rPr>
        <w:t>28</w:t>
      </w:r>
      <w:r>
        <w:rPr>
          <w:color w:val="231F20"/>
          <w:spacing w:val="40"/>
          <w:position w:val="6"/>
          <w:sz w:val="11"/>
        </w:rPr>
        <w:t>  </w:t>
      </w:r>
      <w:r>
        <w:rPr>
          <w:color w:val="231F20"/>
          <w:sz w:val="19"/>
        </w:rPr>
        <w:t>Case</w:t>
      </w:r>
      <w:r>
        <w:rPr>
          <w:color w:val="231F20"/>
          <w:spacing w:val="-2"/>
          <w:sz w:val="19"/>
        </w:rPr>
        <w:t> </w:t>
      </w:r>
      <w:r>
        <w:rPr>
          <w:i/>
          <w:color w:val="231F20"/>
          <w:sz w:val="19"/>
        </w:rPr>
        <w:t>BATL</w:t>
      </w:r>
      <w:r>
        <w:rPr>
          <w:i/>
          <w:color w:val="231F20"/>
          <w:spacing w:val="-2"/>
          <w:sz w:val="19"/>
        </w:rPr>
        <w:t> </w:t>
      </w:r>
      <w:r>
        <w:rPr>
          <w:color w:val="231F20"/>
          <w:sz w:val="19"/>
        </w:rPr>
        <w:t>C-623/22,</w:t>
      </w:r>
      <w:r>
        <w:rPr>
          <w:color w:val="231F20"/>
          <w:spacing w:val="-2"/>
          <w:sz w:val="19"/>
        </w:rPr>
        <w:t> </w:t>
      </w:r>
      <w:r>
        <w:rPr>
          <w:color w:val="231F20"/>
          <w:sz w:val="19"/>
        </w:rPr>
        <w:t>points</w:t>
      </w:r>
      <w:r>
        <w:rPr>
          <w:color w:val="231F20"/>
          <w:spacing w:val="-2"/>
          <w:sz w:val="19"/>
        </w:rPr>
        <w:t> </w:t>
      </w:r>
      <w:r>
        <w:rPr>
          <w:color w:val="231F20"/>
          <w:sz w:val="19"/>
        </w:rPr>
        <w:t>from</w:t>
      </w:r>
      <w:r>
        <w:rPr>
          <w:color w:val="231F20"/>
          <w:spacing w:val="-2"/>
          <w:sz w:val="19"/>
        </w:rPr>
        <w:t> </w:t>
      </w:r>
      <w:r>
        <w:rPr>
          <w:color w:val="231F20"/>
          <w:sz w:val="19"/>
        </w:rPr>
        <w:t>116</w:t>
      </w:r>
      <w:r>
        <w:rPr>
          <w:color w:val="231F20"/>
          <w:spacing w:val="-2"/>
          <w:sz w:val="19"/>
        </w:rPr>
        <w:t> </w:t>
      </w:r>
      <w:r>
        <w:rPr>
          <w:color w:val="231F20"/>
          <w:sz w:val="19"/>
        </w:rPr>
        <w:t>to</w:t>
      </w:r>
      <w:r>
        <w:rPr>
          <w:color w:val="231F20"/>
          <w:spacing w:val="-2"/>
          <w:sz w:val="19"/>
        </w:rPr>
        <w:t> </w:t>
      </w:r>
      <w:r>
        <w:rPr>
          <w:color w:val="231F20"/>
          <w:sz w:val="19"/>
        </w:rPr>
        <w:t>120.</w:t>
      </w:r>
      <w:r>
        <w:rPr>
          <w:color w:val="231F20"/>
          <w:spacing w:val="-2"/>
          <w:sz w:val="19"/>
        </w:rPr>
        <w:t> </w:t>
      </w:r>
      <w:r>
        <w:rPr>
          <w:color w:val="231F20"/>
          <w:sz w:val="19"/>
        </w:rPr>
        <w:t>The</w:t>
      </w:r>
      <w:r>
        <w:rPr>
          <w:color w:val="231F20"/>
          <w:spacing w:val="-2"/>
          <w:sz w:val="19"/>
        </w:rPr>
        <w:t> </w:t>
      </w:r>
      <w:r>
        <w:rPr>
          <w:color w:val="231F20"/>
          <w:sz w:val="19"/>
        </w:rPr>
        <w:t>directive</w:t>
      </w:r>
      <w:r>
        <w:rPr>
          <w:color w:val="231F20"/>
          <w:spacing w:val="-2"/>
          <w:sz w:val="19"/>
        </w:rPr>
        <w:t> </w:t>
      </w:r>
      <w:r>
        <w:rPr>
          <w:color w:val="231F20"/>
          <w:sz w:val="19"/>
        </w:rPr>
        <w:t>to</w:t>
      </w:r>
      <w:r>
        <w:rPr>
          <w:color w:val="231F20"/>
          <w:spacing w:val="-2"/>
          <w:sz w:val="19"/>
        </w:rPr>
        <w:t> </w:t>
      </w:r>
      <w:r>
        <w:rPr>
          <w:color w:val="231F20"/>
          <w:sz w:val="19"/>
        </w:rPr>
        <w:t>which</w:t>
      </w:r>
      <w:r>
        <w:rPr>
          <w:color w:val="231F20"/>
          <w:spacing w:val="-2"/>
          <w:sz w:val="19"/>
        </w:rPr>
        <w:t> </w:t>
      </w:r>
      <w:r>
        <w:rPr>
          <w:color w:val="231F20"/>
          <w:sz w:val="19"/>
        </w:rPr>
        <w:t>the</w:t>
      </w:r>
      <w:r>
        <w:rPr>
          <w:color w:val="231F20"/>
          <w:spacing w:val="-2"/>
          <w:sz w:val="19"/>
        </w:rPr>
        <w:t> </w:t>
      </w:r>
      <w:r>
        <w:rPr>
          <w:color w:val="231F20"/>
          <w:sz w:val="19"/>
        </w:rPr>
        <w:t>Court</w:t>
      </w:r>
      <w:r>
        <w:rPr>
          <w:color w:val="231F20"/>
          <w:spacing w:val="-2"/>
          <w:sz w:val="19"/>
        </w:rPr>
        <w:t> </w:t>
      </w:r>
      <w:r>
        <w:rPr>
          <w:color w:val="231F20"/>
          <w:sz w:val="19"/>
        </w:rPr>
        <w:t>referred is</w:t>
      </w:r>
      <w:r>
        <w:rPr>
          <w:color w:val="231F20"/>
          <w:spacing w:val="7"/>
          <w:sz w:val="19"/>
        </w:rPr>
        <w:t> </w:t>
      </w:r>
      <w:r>
        <w:rPr>
          <w:color w:val="231F20"/>
          <w:sz w:val="19"/>
        </w:rPr>
        <w:t>directive</w:t>
      </w:r>
      <w:r>
        <w:rPr>
          <w:color w:val="231F20"/>
          <w:spacing w:val="8"/>
          <w:sz w:val="19"/>
        </w:rPr>
        <w:t> </w:t>
      </w:r>
      <w:r>
        <w:rPr>
          <w:color w:val="231F20"/>
          <w:sz w:val="19"/>
        </w:rPr>
        <w:t>98/5/EEC</w:t>
      </w:r>
      <w:r>
        <w:rPr>
          <w:color w:val="231F20"/>
          <w:spacing w:val="8"/>
          <w:sz w:val="19"/>
        </w:rPr>
        <w:t> </w:t>
      </w:r>
      <w:r>
        <w:rPr>
          <w:color w:val="231F20"/>
          <w:sz w:val="19"/>
        </w:rPr>
        <w:t>of</w:t>
      </w:r>
      <w:r>
        <w:rPr>
          <w:color w:val="231F20"/>
          <w:spacing w:val="8"/>
          <w:sz w:val="19"/>
        </w:rPr>
        <w:t> </w:t>
      </w:r>
      <w:r>
        <w:rPr>
          <w:color w:val="231F20"/>
          <w:sz w:val="19"/>
        </w:rPr>
        <w:t>16.2.1998</w:t>
      </w:r>
      <w:r>
        <w:rPr>
          <w:color w:val="231F20"/>
          <w:spacing w:val="7"/>
          <w:sz w:val="19"/>
        </w:rPr>
        <w:t> </w:t>
      </w:r>
      <w:r>
        <w:rPr>
          <w:color w:val="231F20"/>
          <w:sz w:val="19"/>
        </w:rPr>
        <w:t>(OJEC</w:t>
      </w:r>
      <w:r>
        <w:rPr>
          <w:color w:val="231F20"/>
          <w:spacing w:val="8"/>
          <w:sz w:val="19"/>
        </w:rPr>
        <w:t> </w:t>
      </w:r>
      <w:r>
        <w:rPr>
          <w:color w:val="231F20"/>
          <w:sz w:val="19"/>
        </w:rPr>
        <w:t>L</w:t>
      </w:r>
      <w:r>
        <w:rPr>
          <w:color w:val="231F20"/>
          <w:spacing w:val="8"/>
          <w:sz w:val="19"/>
        </w:rPr>
        <w:t> </w:t>
      </w:r>
      <w:r>
        <w:rPr>
          <w:color w:val="231F20"/>
          <w:sz w:val="19"/>
        </w:rPr>
        <w:t>77</w:t>
      </w:r>
      <w:r>
        <w:rPr>
          <w:color w:val="231F20"/>
          <w:spacing w:val="8"/>
          <w:sz w:val="19"/>
        </w:rPr>
        <w:t> </w:t>
      </w:r>
      <w:r>
        <w:rPr>
          <w:color w:val="231F20"/>
          <w:sz w:val="19"/>
        </w:rPr>
        <w:t>of</w:t>
      </w:r>
      <w:r>
        <w:rPr>
          <w:color w:val="231F20"/>
          <w:spacing w:val="7"/>
          <w:sz w:val="19"/>
        </w:rPr>
        <w:t> </w:t>
      </w:r>
      <w:r>
        <w:rPr>
          <w:color w:val="231F20"/>
          <w:sz w:val="19"/>
        </w:rPr>
        <w:t>14.3.1998,</w:t>
      </w:r>
      <w:r>
        <w:rPr>
          <w:color w:val="231F20"/>
          <w:spacing w:val="8"/>
          <w:sz w:val="19"/>
        </w:rPr>
        <w:t> </w:t>
      </w:r>
      <w:r>
        <w:rPr>
          <w:color w:val="231F20"/>
          <w:sz w:val="19"/>
        </w:rPr>
        <w:t>page</w:t>
      </w:r>
      <w:r>
        <w:rPr>
          <w:color w:val="231F20"/>
          <w:spacing w:val="8"/>
          <w:sz w:val="19"/>
        </w:rPr>
        <w:t> </w:t>
      </w:r>
      <w:r>
        <w:rPr>
          <w:color w:val="231F20"/>
          <w:sz w:val="19"/>
        </w:rPr>
        <w:t>36)</w:t>
      </w:r>
      <w:r>
        <w:rPr>
          <w:color w:val="231F20"/>
          <w:spacing w:val="8"/>
          <w:sz w:val="19"/>
        </w:rPr>
        <w:t> </w:t>
      </w:r>
      <w:r>
        <w:rPr>
          <w:color w:val="231F20"/>
          <w:sz w:val="19"/>
        </w:rPr>
        <w:t>the</w:t>
      </w:r>
      <w:r>
        <w:rPr>
          <w:color w:val="231F20"/>
          <w:spacing w:val="7"/>
          <w:sz w:val="19"/>
        </w:rPr>
        <w:t> </w:t>
      </w:r>
      <w:r>
        <w:rPr>
          <w:color w:val="231F20"/>
          <w:sz w:val="19"/>
        </w:rPr>
        <w:t>aim</w:t>
      </w:r>
      <w:r>
        <w:rPr>
          <w:color w:val="231F20"/>
          <w:spacing w:val="8"/>
          <w:sz w:val="19"/>
        </w:rPr>
        <w:t> </w:t>
      </w:r>
      <w:r>
        <w:rPr>
          <w:color w:val="231F20"/>
          <w:sz w:val="19"/>
        </w:rPr>
        <w:t>of</w:t>
      </w:r>
      <w:r>
        <w:rPr>
          <w:color w:val="231F20"/>
          <w:spacing w:val="8"/>
          <w:sz w:val="19"/>
        </w:rPr>
        <w:t> </w:t>
      </w:r>
      <w:r>
        <w:rPr>
          <w:color w:val="231F20"/>
          <w:sz w:val="19"/>
        </w:rPr>
        <w:t>which</w:t>
      </w:r>
      <w:r>
        <w:rPr>
          <w:color w:val="231F20"/>
          <w:spacing w:val="8"/>
          <w:sz w:val="19"/>
        </w:rPr>
        <w:t> </w:t>
      </w:r>
      <w:r>
        <w:rPr>
          <w:color w:val="231F20"/>
          <w:spacing w:val="-5"/>
          <w:sz w:val="19"/>
        </w:rPr>
        <w:t>is</w:t>
      </w:r>
    </w:p>
    <w:p>
      <w:pPr>
        <w:spacing w:line="225" w:lineRule="auto" w:before="2"/>
        <w:ind w:left="157" w:right="0" w:firstLine="0"/>
        <w:jc w:val="left"/>
        <w:rPr>
          <w:sz w:val="19"/>
        </w:rPr>
      </w:pPr>
      <w:r>
        <w:rPr>
          <w:color w:val="231F20"/>
          <w:sz w:val="19"/>
        </w:rPr>
        <w:t>«to</w:t>
      </w:r>
      <w:r>
        <w:rPr>
          <w:color w:val="231F20"/>
          <w:spacing w:val="-7"/>
          <w:sz w:val="19"/>
        </w:rPr>
        <w:t> </w:t>
      </w:r>
      <w:r>
        <w:rPr>
          <w:color w:val="231F20"/>
          <w:sz w:val="19"/>
        </w:rPr>
        <w:t>facilitate</w:t>
      </w:r>
      <w:r>
        <w:rPr>
          <w:color w:val="231F20"/>
          <w:spacing w:val="-7"/>
          <w:sz w:val="19"/>
        </w:rPr>
        <w:t> </w:t>
      </w:r>
      <w:r>
        <w:rPr>
          <w:color w:val="231F20"/>
          <w:sz w:val="19"/>
        </w:rPr>
        <w:t>practice</w:t>
      </w:r>
      <w:r>
        <w:rPr>
          <w:color w:val="231F20"/>
          <w:spacing w:val="-7"/>
          <w:sz w:val="19"/>
        </w:rPr>
        <w:t> </w:t>
      </w:r>
      <w:r>
        <w:rPr>
          <w:color w:val="231F20"/>
          <w:sz w:val="19"/>
        </w:rPr>
        <w:t>of</w:t>
      </w:r>
      <w:r>
        <w:rPr>
          <w:color w:val="231F20"/>
          <w:spacing w:val="-7"/>
          <w:sz w:val="19"/>
        </w:rPr>
        <w:t> </w:t>
      </w:r>
      <w:r>
        <w:rPr>
          <w:color w:val="231F20"/>
          <w:sz w:val="19"/>
        </w:rPr>
        <w:t>the</w:t>
      </w:r>
      <w:r>
        <w:rPr>
          <w:color w:val="231F20"/>
          <w:spacing w:val="-7"/>
          <w:sz w:val="19"/>
        </w:rPr>
        <w:t> </w:t>
      </w:r>
      <w:r>
        <w:rPr>
          <w:color w:val="231F20"/>
          <w:sz w:val="19"/>
        </w:rPr>
        <w:t>profession</w:t>
      </w:r>
      <w:r>
        <w:rPr>
          <w:color w:val="231F20"/>
          <w:spacing w:val="-7"/>
          <w:sz w:val="19"/>
        </w:rPr>
        <w:t> </w:t>
      </w:r>
      <w:r>
        <w:rPr>
          <w:color w:val="231F20"/>
          <w:sz w:val="19"/>
        </w:rPr>
        <w:t>of</w:t>
      </w:r>
      <w:r>
        <w:rPr>
          <w:color w:val="231F20"/>
          <w:spacing w:val="-7"/>
          <w:sz w:val="19"/>
        </w:rPr>
        <w:t> </w:t>
      </w:r>
      <w:r>
        <w:rPr>
          <w:color w:val="231F20"/>
          <w:sz w:val="19"/>
        </w:rPr>
        <w:t>lawyer</w:t>
      </w:r>
      <w:r>
        <w:rPr>
          <w:color w:val="231F20"/>
          <w:spacing w:val="-7"/>
          <w:sz w:val="19"/>
        </w:rPr>
        <w:t> </w:t>
      </w:r>
      <w:r>
        <w:rPr>
          <w:color w:val="231F20"/>
          <w:sz w:val="19"/>
        </w:rPr>
        <w:t>on</w:t>
      </w:r>
      <w:r>
        <w:rPr>
          <w:color w:val="231F20"/>
          <w:spacing w:val="-7"/>
          <w:sz w:val="19"/>
        </w:rPr>
        <w:t> </w:t>
      </w:r>
      <w:r>
        <w:rPr>
          <w:color w:val="231F20"/>
          <w:sz w:val="19"/>
        </w:rPr>
        <w:t>a</w:t>
      </w:r>
      <w:r>
        <w:rPr>
          <w:color w:val="231F20"/>
          <w:spacing w:val="-7"/>
          <w:sz w:val="19"/>
        </w:rPr>
        <w:t> </w:t>
      </w:r>
      <w:r>
        <w:rPr>
          <w:color w:val="231F20"/>
          <w:sz w:val="19"/>
        </w:rPr>
        <w:t>permanent</w:t>
      </w:r>
      <w:r>
        <w:rPr>
          <w:color w:val="231F20"/>
          <w:spacing w:val="-7"/>
          <w:sz w:val="19"/>
        </w:rPr>
        <w:t> </w:t>
      </w:r>
      <w:r>
        <w:rPr>
          <w:color w:val="231F20"/>
          <w:sz w:val="19"/>
        </w:rPr>
        <w:t>basis</w:t>
      </w:r>
      <w:r>
        <w:rPr>
          <w:color w:val="231F20"/>
          <w:spacing w:val="-7"/>
          <w:sz w:val="19"/>
        </w:rPr>
        <w:t> </w:t>
      </w:r>
      <w:r>
        <w:rPr>
          <w:color w:val="231F20"/>
          <w:sz w:val="19"/>
        </w:rPr>
        <w:t>in</w:t>
      </w:r>
      <w:r>
        <w:rPr>
          <w:color w:val="231F20"/>
          <w:spacing w:val="-7"/>
          <w:sz w:val="19"/>
        </w:rPr>
        <w:t> </w:t>
      </w:r>
      <w:r>
        <w:rPr>
          <w:color w:val="231F20"/>
          <w:sz w:val="19"/>
        </w:rPr>
        <w:t>a</w:t>
      </w:r>
      <w:r>
        <w:rPr>
          <w:color w:val="231F20"/>
          <w:spacing w:val="-7"/>
          <w:sz w:val="19"/>
        </w:rPr>
        <w:t> </w:t>
      </w:r>
      <w:r>
        <w:rPr>
          <w:color w:val="231F20"/>
          <w:sz w:val="19"/>
        </w:rPr>
        <w:t>Member</w:t>
      </w:r>
      <w:r>
        <w:rPr>
          <w:color w:val="231F20"/>
          <w:spacing w:val="-7"/>
          <w:sz w:val="19"/>
        </w:rPr>
        <w:t> </w:t>
      </w:r>
      <w:r>
        <w:rPr>
          <w:color w:val="231F20"/>
          <w:sz w:val="19"/>
        </w:rPr>
        <w:t>State</w:t>
      </w:r>
      <w:r>
        <w:rPr>
          <w:color w:val="231F20"/>
          <w:spacing w:val="-7"/>
          <w:sz w:val="19"/>
        </w:rPr>
        <w:t> </w:t>
      </w:r>
      <w:r>
        <w:rPr>
          <w:color w:val="231F20"/>
          <w:sz w:val="19"/>
        </w:rPr>
        <w:t>other than that in which the qualification was obtained».</w:t>
      </w:r>
    </w:p>
    <w:p>
      <w:pPr>
        <w:spacing w:line="233" w:lineRule="exact" w:before="0"/>
        <w:ind w:left="157" w:right="0" w:firstLine="0"/>
        <w:jc w:val="left"/>
        <w:rPr>
          <w:sz w:val="19"/>
        </w:rPr>
      </w:pPr>
      <w:r>
        <w:rPr>
          <w:color w:val="231F20"/>
          <w:position w:val="6"/>
          <w:sz w:val="11"/>
        </w:rPr>
        <w:t>29</w:t>
      </w:r>
      <w:r>
        <w:rPr>
          <w:color w:val="231F20"/>
          <w:spacing w:val="50"/>
          <w:position w:val="6"/>
          <w:sz w:val="11"/>
        </w:rPr>
        <w:t>  </w:t>
      </w:r>
      <w:r>
        <w:rPr>
          <w:color w:val="231F20"/>
          <w:sz w:val="19"/>
        </w:rPr>
        <w:t>Case </w:t>
      </w:r>
      <w:r>
        <w:rPr>
          <w:i/>
          <w:color w:val="231F20"/>
          <w:sz w:val="19"/>
        </w:rPr>
        <w:t>BATL</w:t>
      </w:r>
      <w:r>
        <w:rPr>
          <w:color w:val="231F20"/>
          <w:sz w:val="19"/>
        </w:rPr>
        <w:t>,</w:t>
      </w:r>
      <w:r>
        <w:rPr>
          <w:color w:val="231F20"/>
          <w:spacing w:val="-2"/>
          <w:sz w:val="19"/>
        </w:rPr>
        <w:t> </w:t>
      </w:r>
      <w:r>
        <w:rPr>
          <w:color w:val="231F20"/>
          <w:sz w:val="19"/>
        </w:rPr>
        <w:t>C-623/22,</w:t>
      </w:r>
      <w:r>
        <w:rPr>
          <w:color w:val="231F20"/>
          <w:spacing w:val="-1"/>
          <w:sz w:val="19"/>
        </w:rPr>
        <w:t> </w:t>
      </w:r>
      <w:r>
        <w:rPr>
          <w:color w:val="231F20"/>
          <w:sz w:val="19"/>
        </w:rPr>
        <w:t>points</w:t>
      </w:r>
      <w:r>
        <w:rPr>
          <w:color w:val="231F20"/>
          <w:spacing w:val="-2"/>
          <w:sz w:val="19"/>
        </w:rPr>
        <w:t> </w:t>
      </w:r>
      <w:r>
        <w:rPr>
          <w:color w:val="231F20"/>
          <w:sz w:val="19"/>
        </w:rPr>
        <w:t>134-</w:t>
      </w:r>
      <w:r>
        <w:rPr>
          <w:color w:val="231F20"/>
          <w:spacing w:val="-4"/>
          <w:sz w:val="19"/>
        </w:rPr>
        <w:t>149.</w:t>
      </w:r>
    </w:p>
    <w:p>
      <w:pPr>
        <w:spacing w:after="0" w:line="233" w:lineRule="exact"/>
        <w:jc w:val="left"/>
        <w:rPr>
          <w:sz w:val="19"/>
        </w:rPr>
        <w:sectPr>
          <w:pgSz w:w="9640" w:h="13610"/>
          <w:pgMar w:header="0" w:footer="625" w:top="1260" w:bottom="820" w:left="1260" w:right="1240"/>
        </w:sectPr>
      </w:pPr>
    </w:p>
    <w:p>
      <w:pPr>
        <w:pStyle w:val="BodyText"/>
        <w:spacing w:line="225" w:lineRule="auto" w:before="117"/>
        <w:ind w:left="100" w:right="174"/>
        <w:jc w:val="both"/>
      </w:pPr>
      <w:r>
        <w:rPr>
          <w:color w:val="231F20"/>
        </w:rPr>
        <w:t>crecy in a case concerning the compatibility with art. 7 of the Charter (right</w:t>
      </w:r>
      <w:r>
        <w:rPr>
          <w:color w:val="231F20"/>
          <w:spacing w:val="-10"/>
        </w:rPr>
        <w:t> </w:t>
      </w:r>
      <w:r>
        <w:rPr>
          <w:color w:val="231F20"/>
        </w:rPr>
        <w:t>to</w:t>
      </w:r>
      <w:r>
        <w:rPr>
          <w:color w:val="231F20"/>
          <w:spacing w:val="-10"/>
        </w:rPr>
        <w:t> </w:t>
      </w:r>
      <w:r>
        <w:rPr>
          <w:color w:val="231F20"/>
        </w:rPr>
        <w:t>respect</w:t>
      </w:r>
      <w:r>
        <w:rPr>
          <w:color w:val="231F20"/>
          <w:spacing w:val="-10"/>
        </w:rPr>
        <w:t> </w:t>
      </w:r>
      <w:r>
        <w:rPr>
          <w:color w:val="231F20"/>
        </w:rPr>
        <w:t>of</w:t>
      </w:r>
      <w:r>
        <w:rPr>
          <w:color w:val="231F20"/>
          <w:spacing w:val="-10"/>
        </w:rPr>
        <w:t> </w:t>
      </w:r>
      <w:r>
        <w:rPr>
          <w:color w:val="231F20"/>
        </w:rPr>
        <w:t>private</w:t>
      </w:r>
      <w:r>
        <w:rPr>
          <w:color w:val="231F20"/>
          <w:spacing w:val="-10"/>
        </w:rPr>
        <w:t> </w:t>
      </w:r>
      <w:r>
        <w:rPr>
          <w:color w:val="231F20"/>
        </w:rPr>
        <w:t>communications)</w:t>
      </w:r>
      <w:r>
        <w:rPr>
          <w:color w:val="231F20"/>
          <w:spacing w:val="-10"/>
        </w:rPr>
        <w:t> </w:t>
      </w:r>
      <w:r>
        <w:rPr>
          <w:color w:val="231F20"/>
        </w:rPr>
        <w:t>of</w:t>
      </w:r>
      <w:r>
        <w:rPr>
          <w:color w:val="231F20"/>
          <w:spacing w:val="-10"/>
        </w:rPr>
        <w:t> </w:t>
      </w:r>
      <w:r>
        <w:rPr>
          <w:color w:val="231F20"/>
        </w:rPr>
        <w:t>a</w:t>
      </w:r>
      <w:r>
        <w:rPr>
          <w:color w:val="231F20"/>
          <w:spacing w:val="-10"/>
        </w:rPr>
        <w:t> </w:t>
      </w:r>
      <w:r>
        <w:rPr>
          <w:color w:val="231F20"/>
        </w:rPr>
        <w:t>provision</w:t>
      </w:r>
      <w:r>
        <w:rPr>
          <w:color w:val="231F20"/>
          <w:spacing w:val="-10"/>
        </w:rPr>
        <w:t> </w:t>
      </w:r>
      <w:r>
        <w:rPr>
          <w:color w:val="231F20"/>
        </w:rPr>
        <w:t>of</w:t>
      </w:r>
      <w:r>
        <w:rPr>
          <w:color w:val="231F20"/>
          <w:spacing w:val="-10"/>
        </w:rPr>
        <w:t> </w:t>
      </w:r>
      <w:r>
        <w:rPr>
          <w:color w:val="231F20"/>
        </w:rPr>
        <w:t>Luxembourg law</w:t>
      </w:r>
      <w:r>
        <w:rPr>
          <w:color w:val="231F20"/>
          <w:spacing w:val="-4"/>
        </w:rPr>
        <w:t> </w:t>
      </w:r>
      <w:r>
        <w:rPr>
          <w:color w:val="231F20"/>
        </w:rPr>
        <w:t>under</w:t>
      </w:r>
      <w:r>
        <w:rPr>
          <w:color w:val="231F20"/>
          <w:spacing w:val="-4"/>
        </w:rPr>
        <w:t> </w:t>
      </w:r>
      <w:r>
        <w:rPr>
          <w:color w:val="231F20"/>
        </w:rPr>
        <w:t>which</w:t>
      </w:r>
      <w:r>
        <w:rPr>
          <w:color w:val="231F20"/>
          <w:spacing w:val="-4"/>
        </w:rPr>
        <w:t> </w:t>
      </w:r>
      <w:r>
        <w:rPr>
          <w:color w:val="231F20"/>
        </w:rPr>
        <w:t>legal</w:t>
      </w:r>
      <w:r>
        <w:rPr>
          <w:color w:val="231F20"/>
          <w:spacing w:val="-4"/>
        </w:rPr>
        <w:t> </w:t>
      </w:r>
      <w:r>
        <w:rPr>
          <w:color w:val="231F20"/>
        </w:rPr>
        <w:t>advice</w:t>
      </w:r>
      <w:r>
        <w:rPr>
          <w:color w:val="231F20"/>
          <w:spacing w:val="-4"/>
        </w:rPr>
        <w:t> </w:t>
      </w:r>
      <w:r>
        <w:rPr>
          <w:color w:val="231F20"/>
        </w:rPr>
        <w:t>and</w:t>
      </w:r>
      <w:r>
        <w:rPr>
          <w:color w:val="231F20"/>
          <w:spacing w:val="-4"/>
        </w:rPr>
        <w:t> </w:t>
      </w:r>
      <w:r>
        <w:rPr>
          <w:color w:val="231F20"/>
        </w:rPr>
        <w:t>representation</w:t>
      </w:r>
      <w:r>
        <w:rPr>
          <w:color w:val="231F20"/>
          <w:spacing w:val="-4"/>
        </w:rPr>
        <w:t> </w:t>
      </w:r>
      <w:r>
        <w:rPr>
          <w:color w:val="231F20"/>
        </w:rPr>
        <w:t>in</w:t>
      </w:r>
      <w:r>
        <w:rPr>
          <w:color w:val="231F20"/>
          <w:spacing w:val="-4"/>
        </w:rPr>
        <w:t> </w:t>
      </w:r>
      <w:r>
        <w:rPr>
          <w:color w:val="231F20"/>
        </w:rPr>
        <w:t>tax</w:t>
      </w:r>
      <w:r>
        <w:rPr>
          <w:color w:val="231F20"/>
          <w:spacing w:val="-4"/>
        </w:rPr>
        <w:t> </w:t>
      </w:r>
      <w:r>
        <w:rPr>
          <w:color w:val="231F20"/>
        </w:rPr>
        <w:t>matters</w:t>
      </w:r>
      <w:r>
        <w:rPr>
          <w:color w:val="231F20"/>
          <w:spacing w:val="-4"/>
        </w:rPr>
        <w:t> </w:t>
      </w:r>
      <w:r>
        <w:rPr>
          <w:color w:val="231F20"/>
        </w:rPr>
        <w:t>did</w:t>
      </w:r>
      <w:r>
        <w:rPr>
          <w:color w:val="231F20"/>
          <w:spacing w:val="-4"/>
        </w:rPr>
        <w:t> </w:t>
      </w:r>
      <w:r>
        <w:rPr>
          <w:color w:val="231F20"/>
        </w:rPr>
        <w:t>not</w:t>
      </w:r>
      <w:r>
        <w:rPr>
          <w:color w:val="231F20"/>
          <w:spacing w:val="-4"/>
        </w:rPr>
        <w:t> </w:t>
      </w:r>
      <w:r>
        <w:rPr>
          <w:color w:val="231F20"/>
        </w:rPr>
        <w:t>en- joy the strengthened protection of communications between lawyers and clients guaranteed by the same article 7</w:t>
      </w:r>
      <w:r>
        <w:rPr>
          <w:color w:val="231F20"/>
          <w:position w:val="8"/>
          <w:sz w:val="14"/>
        </w:rPr>
        <w:t>30</w:t>
      </w:r>
      <w:r>
        <w:rPr>
          <w:color w:val="231F20"/>
        </w:rPr>
        <w:t>.</w:t>
      </w:r>
    </w:p>
    <w:p>
      <w:pPr>
        <w:pStyle w:val="BodyText"/>
        <w:spacing w:line="225" w:lineRule="auto" w:before="7"/>
        <w:ind w:left="100" w:right="174" w:firstLine="340"/>
        <w:jc w:val="both"/>
      </w:pPr>
      <w:r>
        <w:rPr>
          <w:color w:val="231F20"/>
        </w:rPr>
        <w:t>The Court of justice recalled from the outset the general interpreta- tive principle of art. 7 of the Charter developed in the </w:t>
      </w:r>
      <w:r>
        <w:rPr>
          <w:i/>
          <w:color w:val="231F20"/>
        </w:rPr>
        <w:t>Orde van Vlaamse</w:t>
      </w:r>
      <w:r>
        <w:rPr>
          <w:i/>
          <w:color w:val="231F20"/>
        </w:rPr>
        <w:t> Balies </w:t>
      </w:r>
      <w:r>
        <w:rPr>
          <w:color w:val="231F20"/>
        </w:rPr>
        <w:t>C-694/20 ruling pursuant to which the strengthened protection </w:t>
      </w:r>
      <w:r>
        <w:rPr>
          <w:color w:val="231F20"/>
        </w:rPr>
        <w:t>of communications between lawyers and their clients is applicable irrespec- tive of the area of law in which the advice or representation is provided to the</w:t>
      </w:r>
      <w:r>
        <w:rPr>
          <w:color w:val="231F20"/>
          <w:spacing w:val="-4"/>
        </w:rPr>
        <w:t> </w:t>
      </w:r>
      <w:r>
        <w:rPr>
          <w:color w:val="231F20"/>
        </w:rPr>
        <w:t>client</w:t>
      </w:r>
      <w:r>
        <w:rPr>
          <w:color w:val="231F20"/>
          <w:spacing w:val="-4"/>
        </w:rPr>
        <w:t> </w:t>
      </w:r>
      <w:r>
        <w:rPr>
          <w:color w:val="231F20"/>
        </w:rPr>
        <w:t>and</w:t>
      </w:r>
      <w:r>
        <w:rPr>
          <w:color w:val="231F20"/>
          <w:spacing w:val="-4"/>
        </w:rPr>
        <w:t> </w:t>
      </w:r>
      <w:r>
        <w:rPr>
          <w:color w:val="231F20"/>
        </w:rPr>
        <w:t>therefore</w:t>
      </w:r>
      <w:r>
        <w:rPr>
          <w:color w:val="231F20"/>
          <w:spacing w:val="-4"/>
        </w:rPr>
        <w:t> </w:t>
      </w:r>
      <w:r>
        <w:rPr>
          <w:color w:val="231F20"/>
        </w:rPr>
        <w:t>includes</w:t>
      </w:r>
      <w:r>
        <w:rPr>
          <w:color w:val="231F20"/>
          <w:spacing w:val="-4"/>
        </w:rPr>
        <w:t> </w:t>
      </w:r>
      <w:r>
        <w:rPr>
          <w:color w:val="231F20"/>
        </w:rPr>
        <w:t>also</w:t>
      </w:r>
      <w:r>
        <w:rPr>
          <w:color w:val="231F20"/>
          <w:spacing w:val="-4"/>
        </w:rPr>
        <w:t> </w:t>
      </w:r>
      <w:r>
        <w:rPr>
          <w:color w:val="231F20"/>
        </w:rPr>
        <w:t>the</w:t>
      </w:r>
      <w:r>
        <w:rPr>
          <w:color w:val="231F20"/>
          <w:spacing w:val="-4"/>
        </w:rPr>
        <w:t> </w:t>
      </w:r>
      <w:r>
        <w:rPr>
          <w:color w:val="231F20"/>
        </w:rPr>
        <w:t>area</w:t>
      </w:r>
      <w:r>
        <w:rPr>
          <w:color w:val="231F20"/>
          <w:spacing w:val="-4"/>
        </w:rPr>
        <w:t> </w:t>
      </w:r>
      <w:r>
        <w:rPr>
          <w:color w:val="231F20"/>
        </w:rPr>
        <w:t>of</w:t>
      </w:r>
      <w:r>
        <w:rPr>
          <w:color w:val="231F20"/>
          <w:spacing w:val="-4"/>
        </w:rPr>
        <w:t> </w:t>
      </w:r>
      <w:r>
        <w:rPr>
          <w:color w:val="231F20"/>
        </w:rPr>
        <w:t>tax</w:t>
      </w:r>
      <w:r>
        <w:rPr>
          <w:color w:val="231F20"/>
          <w:spacing w:val="-4"/>
        </w:rPr>
        <w:t> </w:t>
      </w:r>
      <w:r>
        <w:rPr>
          <w:color w:val="231F20"/>
        </w:rPr>
        <w:t>law</w:t>
      </w:r>
      <w:r>
        <w:rPr>
          <w:color w:val="231F20"/>
          <w:position w:val="8"/>
          <w:sz w:val="14"/>
        </w:rPr>
        <w:t>31</w:t>
      </w:r>
      <w:r>
        <w:rPr>
          <w:color w:val="231F20"/>
        </w:rPr>
        <w:t>.</w:t>
      </w:r>
      <w:r>
        <w:rPr>
          <w:color w:val="231F20"/>
          <w:spacing w:val="-4"/>
        </w:rPr>
        <w:t> </w:t>
      </w:r>
      <w:r>
        <w:rPr>
          <w:color w:val="231F20"/>
        </w:rPr>
        <w:t>It</w:t>
      </w:r>
      <w:r>
        <w:rPr>
          <w:color w:val="231F20"/>
          <w:spacing w:val="-4"/>
        </w:rPr>
        <w:t> </w:t>
      </w:r>
      <w:r>
        <w:rPr>
          <w:color w:val="231F20"/>
        </w:rPr>
        <w:t>follows,</w:t>
      </w:r>
      <w:r>
        <w:rPr>
          <w:color w:val="231F20"/>
          <w:spacing w:val="-4"/>
        </w:rPr>
        <w:t> </w:t>
      </w:r>
      <w:r>
        <w:rPr>
          <w:color w:val="231F20"/>
        </w:rPr>
        <w:t>again according</w:t>
      </w:r>
      <w:r>
        <w:rPr>
          <w:color w:val="231F20"/>
          <w:spacing w:val="-2"/>
        </w:rPr>
        <w:t> </w:t>
      </w:r>
      <w:r>
        <w:rPr>
          <w:color w:val="231F20"/>
        </w:rPr>
        <w:t>to</w:t>
      </w:r>
      <w:r>
        <w:rPr>
          <w:color w:val="231F20"/>
          <w:spacing w:val="-2"/>
        </w:rPr>
        <w:t> </w:t>
      </w:r>
      <w:r>
        <w:rPr>
          <w:color w:val="231F20"/>
        </w:rPr>
        <w:t>the</w:t>
      </w:r>
      <w:r>
        <w:rPr>
          <w:color w:val="231F20"/>
          <w:spacing w:val="-2"/>
        </w:rPr>
        <w:t> </w:t>
      </w:r>
      <w:r>
        <w:rPr>
          <w:color w:val="231F20"/>
        </w:rPr>
        <w:t>Union</w:t>
      </w:r>
      <w:r>
        <w:rPr>
          <w:color w:val="231F20"/>
          <w:spacing w:val="-2"/>
        </w:rPr>
        <w:t> </w:t>
      </w:r>
      <w:r>
        <w:rPr>
          <w:color w:val="231F20"/>
        </w:rPr>
        <w:t>judges,</w:t>
      </w:r>
      <w:r>
        <w:rPr>
          <w:color w:val="231F20"/>
          <w:spacing w:val="-2"/>
        </w:rPr>
        <w:t> </w:t>
      </w:r>
      <w:r>
        <w:rPr>
          <w:color w:val="231F20"/>
        </w:rPr>
        <w:t>that</w:t>
      </w:r>
      <w:r>
        <w:rPr>
          <w:color w:val="231F20"/>
          <w:spacing w:val="-2"/>
        </w:rPr>
        <w:t> </w:t>
      </w:r>
      <w:r>
        <w:rPr>
          <w:color w:val="231F20"/>
        </w:rPr>
        <w:t>the</w:t>
      </w:r>
      <w:r>
        <w:rPr>
          <w:color w:val="231F20"/>
          <w:spacing w:val="-2"/>
        </w:rPr>
        <w:t> </w:t>
      </w:r>
      <w:r>
        <w:rPr>
          <w:color w:val="231F20"/>
        </w:rPr>
        <w:t>contested</w:t>
      </w:r>
      <w:r>
        <w:rPr>
          <w:color w:val="231F20"/>
          <w:spacing w:val="-2"/>
        </w:rPr>
        <w:t> </w:t>
      </w:r>
      <w:r>
        <w:rPr>
          <w:color w:val="231F20"/>
        </w:rPr>
        <w:t>Luxembourg</w:t>
      </w:r>
      <w:r>
        <w:rPr>
          <w:color w:val="231F20"/>
          <w:spacing w:val="-2"/>
        </w:rPr>
        <w:t> </w:t>
      </w:r>
      <w:r>
        <w:rPr>
          <w:color w:val="231F20"/>
        </w:rPr>
        <w:t>law</w:t>
      </w:r>
      <w:r>
        <w:rPr>
          <w:color w:val="231F20"/>
          <w:spacing w:val="-2"/>
        </w:rPr>
        <w:t> </w:t>
      </w:r>
      <w:r>
        <w:rPr>
          <w:color w:val="231F20"/>
        </w:rPr>
        <w:t>provi- sion,</w:t>
      </w:r>
      <w:r>
        <w:rPr>
          <w:color w:val="231F20"/>
          <w:spacing w:val="40"/>
        </w:rPr>
        <w:t> </w:t>
      </w:r>
      <w:r>
        <w:rPr>
          <w:color w:val="231F20"/>
        </w:rPr>
        <w:t>by</w:t>
      </w:r>
      <w:r>
        <w:rPr>
          <w:color w:val="231F20"/>
          <w:spacing w:val="-4"/>
        </w:rPr>
        <w:t> </w:t>
      </w:r>
      <w:r>
        <w:rPr>
          <w:color w:val="231F20"/>
        </w:rPr>
        <w:t>excluding</w:t>
      </w:r>
      <w:r>
        <w:rPr>
          <w:color w:val="231F20"/>
          <w:spacing w:val="-4"/>
        </w:rPr>
        <w:t> </w:t>
      </w:r>
      <w:r>
        <w:rPr>
          <w:color w:val="231F20"/>
        </w:rPr>
        <w:t>every</w:t>
      </w:r>
      <w:r>
        <w:rPr>
          <w:color w:val="231F20"/>
          <w:spacing w:val="-4"/>
        </w:rPr>
        <w:t> </w:t>
      </w:r>
      <w:r>
        <w:rPr>
          <w:color w:val="231F20"/>
        </w:rPr>
        <w:t>legal</w:t>
      </w:r>
      <w:r>
        <w:rPr>
          <w:color w:val="231F20"/>
          <w:spacing w:val="-4"/>
        </w:rPr>
        <w:t> </w:t>
      </w:r>
      <w:r>
        <w:rPr>
          <w:color w:val="231F20"/>
        </w:rPr>
        <w:t>advice</w:t>
      </w:r>
      <w:r>
        <w:rPr>
          <w:color w:val="231F20"/>
          <w:spacing w:val="-4"/>
        </w:rPr>
        <w:t> </w:t>
      </w:r>
      <w:r>
        <w:rPr>
          <w:color w:val="231F20"/>
        </w:rPr>
        <w:t>given</w:t>
      </w:r>
      <w:r>
        <w:rPr>
          <w:color w:val="231F20"/>
          <w:spacing w:val="-4"/>
        </w:rPr>
        <w:t> </w:t>
      </w:r>
      <w:r>
        <w:rPr>
          <w:color w:val="231F20"/>
        </w:rPr>
        <w:t>by</w:t>
      </w:r>
      <w:r>
        <w:rPr>
          <w:color w:val="231F20"/>
          <w:spacing w:val="-4"/>
        </w:rPr>
        <w:t> </w:t>
      </w:r>
      <w:r>
        <w:rPr>
          <w:color w:val="231F20"/>
        </w:rPr>
        <w:t>lawyers</w:t>
      </w:r>
      <w:r>
        <w:rPr>
          <w:color w:val="231F20"/>
          <w:spacing w:val="-4"/>
        </w:rPr>
        <w:t> </w:t>
      </w:r>
      <w:r>
        <w:rPr>
          <w:color w:val="231F20"/>
        </w:rPr>
        <w:t>in</w:t>
      </w:r>
      <w:r>
        <w:rPr>
          <w:color w:val="231F20"/>
          <w:spacing w:val="-4"/>
        </w:rPr>
        <w:t> </w:t>
      </w:r>
      <w:r>
        <w:rPr>
          <w:color w:val="231F20"/>
        </w:rPr>
        <w:t>tax</w:t>
      </w:r>
      <w:r>
        <w:rPr>
          <w:color w:val="231F20"/>
          <w:spacing w:val="-4"/>
        </w:rPr>
        <w:t> </w:t>
      </w:r>
      <w:r>
        <w:rPr>
          <w:color w:val="231F20"/>
        </w:rPr>
        <w:t>matters</w:t>
      </w:r>
      <w:r>
        <w:rPr>
          <w:color w:val="231F20"/>
          <w:spacing w:val="-4"/>
        </w:rPr>
        <w:t> </w:t>
      </w:r>
      <w:r>
        <w:rPr>
          <w:color w:val="231F20"/>
        </w:rPr>
        <w:t>–</w:t>
      </w:r>
      <w:r>
        <w:rPr>
          <w:color w:val="231F20"/>
          <w:spacing w:val="-4"/>
        </w:rPr>
        <w:t> </w:t>
      </w:r>
      <w:r>
        <w:rPr>
          <w:color w:val="231F20"/>
        </w:rPr>
        <w:t>and thus an entire branch of law in which lawyers are likely to advise their cli- ents – from the strengthened protection that the legal profession privilege must enjoy under Article 7 of the Charter, renders that protection devoid of its very substance in that branch of law. Consequently such a Member State law provision undermines the very essence of the right to respect for communications between lawyers and their clients and constitutes there- fore</w:t>
      </w:r>
      <w:r>
        <w:rPr>
          <w:color w:val="231F20"/>
          <w:spacing w:val="-11"/>
        </w:rPr>
        <w:t> </w:t>
      </w:r>
      <w:r>
        <w:rPr>
          <w:color w:val="231F20"/>
        </w:rPr>
        <w:t>a</w:t>
      </w:r>
      <w:r>
        <w:rPr>
          <w:color w:val="231F20"/>
          <w:spacing w:val="-11"/>
        </w:rPr>
        <w:t> </w:t>
      </w:r>
      <w:r>
        <w:rPr>
          <w:color w:val="231F20"/>
        </w:rPr>
        <w:t>serious</w:t>
      </w:r>
      <w:r>
        <w:rPr>
          <w:color w:val="231F20"/>
          <w:spacing w:val="-11"/>
        </w:rPr>
        <w:t> </w:t>
      </w:r>
      <w:r>
        <w:rPr>
          <w:color w:val="231F20"/>
        </w:rPr>
        <w:t>interference</w:t>
      </w:r>
      <w:r>
        <w:rPr>
          <w:color w:val="231F20"/>
          <w:spacing w:val="-11"/>
        </w:rPr>
        <w:t> </w:t>
      </w:r>
      <w:r>
        <w:rPr>
          <w:color w:val="231F20"/>
        </w:rPr>
        <w:t>with</w:t>
      </w:r>
      <w:r>
        <w:rPr>
          <w:color w:val="231F20"/>
          <w:spacing w:val="-11"/>
        </w:rPr>
        <w:t> </w:t>
      </w:r>
      <w:r>
        <w:rPr>
          <w:color w:val="231F20"/>
        </w:rPr>
        <w:t>the</w:t>
      </w:r>
      <w:r>
        <w:rPr>
          <w:color w:val="231F20"/>
          <w:spacing w:val="-11"/>
        </w:rPr>
        <w:t> </w:t>
      </w:r>
      <w:r>
        <w:rPr>
          <w:color w:val="231F20"/>
        </w:rPr>
        <w:t>right</w:t>
      </w:r>
      <w:r>
        <w:rPr>
          <w:color w:val="231F20"/>
          <w:spacing w:val="-11"/>
        </w:rPr>
        <w:t> </w:t>
      </w:r>
      <w:r>
        <w:rPr>
          <w:color w:val="231F20"/>
        </w:rPr>
        <w:t>to</w:t>
      </w:r>
      <w:r>
        <w:rPr>
          <w:color w:val="231F20"/>
          <w:spacing w:val="-11"/>
        </w:rPr>
        <w:t> </w:t>
      </w:r>
      <w:r>
        <w:rPr>
          <w:color w:val="231F20"/>
        </w:rPr>
        <w:t>respect</w:t>
      </w:r>
      <w:r>
        <w:rPr>
          <w:color w:val="231F20"/>
          <w:spacing w:val="-11"/>
        </w:rPr>
        <w:t> </w:t>
      </w:r>
      <w:r>
        <w:rPr>
          <w:color w:val="231F20"/>
        </w:rPr>
        <w:t>for</w:t>
      </w:r>
      <w:r>
        <w:rPr>
          <w:color w:val="231F20"/>
          <w:spacing w:val="-11"/>
        </w:rPr>
        <w:t> </w:t>
      </w:r>
      <w:r>
        <w:rPr>
          <w:color w:val="231F20"/>
        </w:rPr>
        <w:t>privacy</w:t>
      </w:r>
      <w:r>
        <w:rPr>
          <w:color w:val="231F20"/>
          <w:spacing w:val="-11"/>
        </w:rPr>
        <w:t> </w:t>
      </w:r>
      <w:r>
        <w:rPr>
          <w:color w:val="231F20"/>
        </w:rPr>
        <w:t>of</w:t>
      </w:r>
      <w:r>
        <w:rPr>
          <w:color w:val="231F20"/>
          <w:spacing w:val="-11"/>
        </w:rPr>
        <w:t> </w:t>
      </w:r>
      <w:r>
        <w:rPr>
          <w:color w:val="231F20"/>
        </w:rPr>
        <w:t>such</w:t>
      </w:r>
      <w:r>
        <w:rPr>
          <w:color w:val="231F20"/>
          <w:spacing w:val="-11"/>
        </w:rPr>
        <w:t> </w:t>
      </w:r>
      <w:r>
        <w:rPr>
          <w:color w:val="231F20"/>
        </w:rPr>
        <w:t>com- munications that cannot be justified on the basis of the criteria laid down by art. 52(1) of the Charter</w:t>
      </w:r>
      <w:r>
        <w:rPr>
          <w:color w:val="231F20"/>
          <w:position w:val="8"/>
          <w:sz w:val="14"/>
        </w:rPr>
        <w:t>32</w:t>
      </w:r>
      <w:r>
        <w:rPr>
          <w:color w:val="231F20"/>
        </w:rPr>
        <w:t>.</w:t>
      </w:r>
    </w:p>
    <w:p>
      <w:pPr>
        <w:pStyle w:val="BodyText"/>
      </w:pPr>
    </w:p>
    <w:p>
      <w:pPr>
        <w:pStyle w:val="BodyText"/>
        <w:spacing w:before="39"/>
      </w:pPr>
    </w:p>
    <w:p>
      <w:pPr>
        <w:pStyle w:val="Heading3"/>
        <w:numPr>
          <w:ilvl w:val="0"/>
          <w:numId w:val="1"/>
        </w:numPr>
        <w:tabs>
          <w:tab w:pos="382" w:val="left" w:leader="none"/>
        </w:tabs>
        <w:spacing w:line="244" w:lineRule="auto" w:before="0" w:after="0"/>
        <w:ind w:left="100" w:right="600" w:firstLine="0"/>
        <w:jc w:val="left"/>
        <w:rPr>
          <w:b/>
        </w:rPr>
      </w:pPr>
      <w:r>
        <w:rPr>
          <w:b/>
          <w:color w:val="231F20"/>
        </w:rPr>
        <w:t>Judgments on the Interpretation of Regulation (EU) No</w:t>
      </w:r>
      <w:r>
        <w:rPr>
          <w:b/>
          <w:color w:val="231F20"/>
          <w:spacing w:val="-8"/>
        </w:rPr>
        <w:t> </w:t>
      </w:r>
      <w:r>
        <w:rPr>
          <w:b/>
          <w:color w:val="231F20"/>
        </w:rPr>
        <w:t>904/2010</w:t>
      </w:r>
      <w:r>
        <w:rPr>
          <w:b/>
          <w:color w:val="231F20"/>
          <w:spacing w:val="-8"/>
        </w:rPr>
        <w:t> </w:t>
      </w:r>
      <w:r>
        <w:rPr>
          <w:b/>
          <w:color w:val="231F20"/>
        </w:rPr>
        <w:t>«on</w:t>
      </w:r>
      <w:r>
        <w:rPr>
          <w:b/>
          <w:color w:val="231F20"/>
          <w:spacing w:val="-8"/>
        </w:rPr>
        <w:t> </w:t>
      </w:r>
      <w:r>
        <w:rPr>
          <w:b/>
          <w:color w:val="231F20"/>
        </w:rPr>
        <w:t>administrative</w:t>
      </w:r>
      <w:r>
        <w:rPr>
          <w:b/>
          <w:color w:val="231F20"/>
          <w:spacing w:val="-8"/>
        </w:rPr>
        <w:t> </w:t>
      </w:r>
      <w:r>
        <w:rPr>
          <w:b/>
          <w:color w:val="231F20"/>
        </w:rPr>
        <w:t>Cooperation</w:t>
      </w:r>
      <w:r>
        <w:rPr>
          <w:b/>
          <w:color w:val="231F20"/>
          <w:spacing w:val="-8"/>
        </w:rPr>
        <w:t> </w:t>
      </w:r>
      <w:r>
        <w:rPr>
          <w:b/>
          <w:color w:val="231F20"/>
        </w:rPr>
        <w:t>in</w:t>
      </w:r>
      <w:r>
        <w:rPr>
          <w:b/>
          <w:color w:val="231F20"/>
          <w:spacing w:val="-8"/>
        </w:rPr>
        <w:t> </w:t>
      </w:r>
      <w:r>
        <w:rPr>
          <w:b/>
          <w:color w:val="231F20"/>
        </w:rPr>
        <w:t>the</w:t>
      </w:r>
      <w:r>
        <w:rPr>
          <w:b/>
          <w:color w:val="231F20"/>
          <w:spacing w:val="-8"/>
        </w:rPr>
        <w:t> </w:t>
      </w:r>
      <w:r>
        <w:rPr>
          <w:b/>
          <w:color w:val="231F20"/>
        </w:rPr>
        <w:t>Field of Value-Added Tax»</w:t>
      </w:r>
    </w:p>
    <w:p>
      <w:pPr>
        <w:pStyle w:val="BodyText"/>
        <w:spacing w:line="225" w:lineRule="auto" w:before="252"/>
        <w:ind w:left="100" w:right="175"/>
        <w:jc w:val="both"/>
      </w:pPr>
      <w:r>
        <w:rPr>
          <w:color w:val="231F20"/>
        </w:rPr>
        <w:t>Due to the clearly auxiliary function of Regulation 904/2010 on admin- istrative</w:t>
      </w:r>
      <w:r>
        <w:rPr>
          <w:color w:val="231F20"/>
          <w:spacing w:val="30"/>
        </w:rPr>
        <w:t> </w:t>
      </w:r>
      <w:r>
        <w:rPr>
          <w:color w:val="231F20"/>
        </w:rPr>
        <w:t>cooperation</w:t>
      </w:r>
      <w:r>
        <w:rPr>
          <w:color w:val="231F20"/>
          <w:spacing w:val="33"/>
        </w:rPr>
        <w:t> </w:t>
      </w:r>
      <w:r>
        <w:rPr>
          <w:color w:val="231F20"/>
        </w:rPr>
        <w:t>with</w:t>
      </w:r>
      <w:r>
        <w:rPr>
          <w:color w:val="231F20"/>
          <w:spacing w:val="33"/>
        </w:rPr>
        <w:t> </w:t>
      </w:r>
      <w:r>
        <w:rPr>
          <w:color w:val="231F20"/>
        </w:rPr>
        <w:t>respect</w:t>
      </w:r>
      <w:r>
        <w:rPr>
          <w:color w:val="231F20"/>
          <w:spacing w:val="33"/>
        </w:rPr>
        <w:t> </w:t>
      </w:r>
      <w:r>
        <w:rPr>
          <w:color w:val="231F20"/>
        </w:rPr>
        <w:t>to</w:t>
      </w:r>
      <w:r>
        <w:rPr>
          <w:color w:val="231F20"/>
          <w:spacing w:val="32"/>
        </w:rPr>
        <w:t> </w:t>
      </w:r>
      <w:r>
        <w:rPr>
          <w:color w:val="231F20"/>
        </w:rPr>
        <w:t>the</w:t>
      </w:r>
      <w:r>
        <w:rPr>
          <w:color w:val="231F20"/>
          <w:spacing w:val="33"/>
        </w:rPr>
        <w:t> </w:t>
      </w:r>
      <w:r>
        <w:rPr>
          <w:color w:val="231F20"/>
        </w:rPr>
        <w:t>general</w:t>
      </w:r>
      <w:r>
        <w:rPr>
          <w:color w:val="231F20"/>
          <w:spacing w:val="33"/>
        </w:rPr>
        <w:t> </w:t>
      </w:r>
      <w:r>
        <w:rPr>
          <w:color w:val="231F20"/>
        </w:rPr>
        <w:t>directive</w:t>
      </w:r>
      <w:r>
        <w:rPr>
          <w:color w:val="231F20"/>
          <w:spacing w:val="33"/>
        </w:rPr>
        <w:t> </w:t>
      </w:r>
      <w:r>
        <w:rPr>
          <w:color w:val="231F20"/>
          <w:spacing w:val="-2"/>
        </w:rPr>
        <w:t>2006/112/EC</w:t>
      </w:r>
    </w:p>
    <w:p>
      <w:pPr>
        <w:pStyle w:val="BodyText"/>
        <w:spacing w:line="225" w:lineRule="auto" w:before="3"/>
        <w:ind w:left="100" w:right="174"/>
        <w:jc w:val="both"/>
      </w:pPr>
      <w:r>
        <w:rPr>
          <w:color w:val="231F20"/>
        </w:rPr>
        <w:t>«on the common system of value-added tax», the judgments in which </w:t>
      </w:r>
      <w:r>
        <w:rPr>
          <w:color w:val="231F20"/>
        </w:rPr>
        <w:t>the Court</w:t>
      </w:r>
      <w:r>
        <w:rPr>
          <w:color w:val="231F20"/>
          <w:spacing w:val="9"/>
        </w:rPr>
        <w:t> </w:t>
      </w:r>
      <w:r>
        <w:rPr>
          <w:color w:val="231F20"/>
        </w:rPr>
        <w:t>of</w:t>
      </w:r>
      <w:r>
        <w:rPr>
          <w:color w:val="231F20"/>
          <w:spacing w:val="12"/>
        </w:rPr>
        <w:t> </w:t>
      </w:r>
      <w:r>
        <w:rPr>
          <w:color w:val="231F20"/>
        </w:rPr>
        <w:t>Justice</w:t>
      </w:r>
      <w:r>
        <w:rPr>
          <w:color w:val="231F20"/>
          <w:spacing w:val="11"/>
        </w:rPr>
        <w:t> </w:t>
      </w:r>
      <w:r>
        <w:rPr>
          <w:color w:val="231F20"/>
        </w:rPr>
        <w:t>interpreted</w:t>
      </w:r>
      <w:r>
        <w:rPr>
          <w:color w:val="231F20"/>
          <w:spacing w:val="12"/>
        </w:rPr>
        <w:t> </w:t>
      </w:r>
      <w:r>
        <w:rPr>
          <w:color w:val="231F20"/>
        </w:rPr>
        <w:t>various</w:t>
      </w:r>
      <w:r>
        <w:rPr>
          <w:color w:val="231F20"/>
          <w:spacing w:val="11"/>
        </w:rPr>
        <w:t> </w:t>
      </w:r>
      <w:r>
        <w:rPr>
          <w:color w:val="231F20"/>
        </w:rPr>
        <w:t>provisions</w:t>
      </w:r>
      <w:r>
        <w:rPr>
          <w:color w:val="231F20"/>
          <w:spacing w:val="12"/>
        </w:rPr>
        <w:t> </w:t>
      </w:r>
      <w:r>
        <w:rPr>
          <w:color w:val="231F20"/>
        </w:rPr>
        <w:t>of</w:t>
      </w:r>
      <w:r>
        <w:rPr>
          <w:color w:val="231F20"/>
          <w:spacing w:val="11"/>
        </w:rPr>
        <w:t> </w:t>
      </w:r>
      <w:r>
        <w:rPr>
          <w:color w:val="231F20"/>
        </w:rPr>
        <w:t>such</w:t>
      </w:r>
      <w:r>
        <w:rPr>
          <w:color w:val="231F20"/>
          <w:spacing w:val="12"/>
        </w:rPr>
        <w:t> </w:t>
      </w:r>
      <w:r>
        <w:rPr>
          <w:color w:val="231F20"/>
        </w:rPr>
        <w:t>regulation</w:t>
      </w:r>
      <w:r>
        <w:rPr>
          <w:color w:val="231F20"/>
          <w:spacing w:val="11"/>
        </w:rPr>
        <w:t> </w:t>
      </w:r>
      <w:r>
        <w:rPr>
          <w:color w:val="231F20"/>
        </w:rPr>
        <w:t>are</w:t>
      </w:r>
      <w:r>
        <w:rPr>
          <w:color w:val="231F20"/>
          <w:spacing w:val="12"/>
        </w:rPr>
        <w:t> </w:t>
      </w:r>
      <w:r>
        <w:rPr>
          <w:color w:val="231F20"/>
          <w:spacing w:val="-4"/>
        </w:rPr>
        <w:t>pri-</w:t>
      </w:r>
    </w:p>
    <w:p>
      <w:pPr>
        <w:pStyle w:val="BodyText"/>
        <w:spacing w:before="4"/>
        <w:rPr>
          <w:sz w:val="5"/>
        </w:rPr>
      </w:pPr>
      <w:r>
        <w:rPr/>
        <mc:AlternateContent>
          <mc:Choice Requires="wps">
            <w:drawing>
              <wp:anchor distT="0" distB="0" distL="0" distR="0" allowOverlap="1" layoutInCell="1" locked="0" behindDoc="1" simplePos="0" relativeHeight="487599104">
                <wp:simplePos x="0" y="0"/>
                <wp:positionH relativeFrom="page">
                  <wp:posOffset>864000</wp:posOffset>
                </wp:positionH>
                <wp:positionV relativeFrom="paragraph">
                  <wp:posOffset>58728</wp:posOffset>
                </wp:positionV>
                <wp:extent cx="792480" cy="1270"/>
                <wp:effectExtent l="0" t="0" r="0" b="0"/>
                <wp:wrapTopAndBottom/>
                <wp:docPr id="47" name="Graphic 47"/>
                <wp:cNvGraphicFramePr>
                  <a:graphicFrameLocks/>
                </wp:cNvGraphicFramePr>
                <a:graphic>
                  <a:graphicData uri="http://schemas.microsoft.com/office/word/2010/wordprocessingShape">
                    <wps:wsp>
                      <wps:cNvPr id="47" name="Graphic 47"/>
                      <wps:cNvSpPr/>
                      <wps:spPr>
                        <a:xfrm>
                          <a:off x="0" y="0"/>
                          <a:ext cx="792480" cy="1270"/>
                        </a:xfrm>
                        <a:custGeom>
                          <a:avLst/>
                          <a:gdLst/>
                          <a:ahLst/>
                          <a:cxnLst/>
                          <a:rect l="l" t="t" r="r" b="b"/>
                          <a:pathLst>
                            <a:path w="792480" h="0">
                              <a:moveTo>
                                <a:pt x="0" y="0"/>
                              </a:moveTo>
                              <a:lnTo>
                                <a:pt x="791997"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shape style="position:absolute;margin-left:68.031502pt;margin-top:4.62432pt;width:62.4pt;height:.1pt;mso-position-horizontal-relative:page;mso-position-vertical-relative:paragraph;z-index:-15717376;mso-wrap-distance-left:0;mso-wrap-distance-right:0" id="docshape39" coordorigin="1361,92" coordsize="1248,0" path="m1361,92l2608,92e" filled="false" stroked="true" strokeweight=".5pt" strokecolor="#231f20">
                <v:path arrowok="t"/>
                <v:stroke dashstyle="solid"/>
                <w10:wrap type="topAndBottom"/>
              </v:shape>
            </w:pict>
          </mc:Fallback>
        </mc:AlternateContent>
      </w:r>
    </w:p>
    <w:p>
      <w:pPr>
        <w:spacing w:line="225" w:lineRule="auto" w:before="201"/>
        <w:ind w:left="100" w:right="174" w:firstLine="0"/>
        <w:jc w:val="both"/>
        <w:rPr>
          <w:sz w:val="19"/>
        </w:rPr>
      </w:pPr>
      <w:r>
        <w:rPr>
          <w:color w:val="231F20"/>
          <w:position w:val="6"/>
          <w:sz w:val="11"/>
        </w:rPr>
        <w:t>30</w:t>
      </w:r>
      <w:r>
        <w:rPr>
          <w:color w:val="231F20"/>
          <w:spacing w:val="80"/>
          <w:position w:val="6"/>
          <w:sz w:val="11"/>
        </w:rPr>
        <w:t> </w:t>
      </w:r>
      <w:r>
        <w:rPr>
          <w:color w:val="231F20"/>
          <w:sz w:val="19"/>
        </w:rPr>
        <w:t>On the basis of such a provision the Luxembourg tax administration had imposed a </w:t>
      </w:r>
      <w:r>
        <w:rPr>
          <w:color w:val="231F20"/>
          <w:sz w:val="19"/>
        </w:rPr>
        <w:t>fine upon the FSCS Law firm which had refused to deliver to the same administration the legal opinions provided to its client with regard to some investment transactions and related to a request of information based on directive 2011/16 received from the Spanish authorities.</w:t>
      </w:r>
    </w:p>
    <w:p>
      <w:pPr>
        <w:spacing w:line="228" w:lineRule="exact" w:before="0"/>
        <w:ind w:left="100" w:right="0" w:firstLine="0"/>
        <w:jc w:val="both"/>
        <w:rPr>
          <w:sz w:val="19"/>
        </w:rPr>
      </w:pPr>
      <w:r>
        <w:rPr>
          <w:color w:val="231F20"/>
          <w:position w:val="6"/>
          <w:sz w:val="11"/>
        </w:rPr>
        <w:t>31</w:t>
      </w:r>
      <w:r>
        <w:rPr>
          <w:color w:val="231F20"/>
          <w:spacing w:val="53"/>
          <w:position w:val="6"/>
          <w:sz w:val="11"/>
        </w:rPr>
        <w:t>  </w:t>
      </w:r>
      <w:r>
        <w:rPr>
          <w:color w:val="231F20"/>
          <w:sz w:val="19"/>
        </w:rPr>
        <w:t>Case</w:t>
      </w:r>
      <w:r>
        <w:rPr>
          <w:color w:val="231F20"/>
          <w:spacing w:val="1"/>
          <w:sz w:val="19"/>
        </w:rPr>
        <w:t> </w:t>
      </w:r>
      <w:r>
        <w:rPr>
          <w:i/>
          <w:color w:val="231F20"/>
          <w:sz w:val="19"/>
        </w:rPr>
        <w:t>FSCS</w:t>
      </w:r>
      <w:r>
        <w:rPr>
          <w:color w:val="231F20"/>
          <w:sz w:val="19"/>
        </w:rPr>
        <w:t>, points 51 and </w:t>
      </w:r>
      <w:r>
        <w:rPr>
          <w:color w:val="231F20"/>
          <w:spacing w:val="-5"/>
          <w:sz w:val="19"/>
        </w:rPr>
        <w:t>65.</w:t>
      </w:r>
    </w:p>
    <w:p>
      <w:pPr>
        <w:spacing w:line="235" w:lineRule="exact" w:before="0"/>
        <w:ind w:left="100" w:right="0" w:firstLine="0"/>
        <w:jc w:val="both"/>
        <w:rPr>
          <w:sz w:val="19"/>
        </w:rPr>
      </w:pPr>
      <w:r>
        <w:rPr>
          <w:color w:val="231F20"/>
          <w:position w:val="6"/>
          <w:sz w:val="11"/>
        </w:rPr>
        <w:t>32</w:t>
      </w:r>
      <w:r>
        <w:rPr>
          <w:color w:val="231F20"/>
          <w:spacing w:val="53"/>
          <w:position w:val="6"/>
          <w:sz w:val="11"/>
        </w:rPr>
        <w:t>  </w:t>
      </w:r>
      <w:r>
        <w:rPr>
          <w:color w:val="231F20"/>
          <w:sz w:val="19"/>
        </w:rPr>
        <w:t>Case</w:t>
      </w:r>
      <w:r>
        <w:rPr>
          <w:color w:val="231F20"/>
          <w:spacing w:val="1"/>
          <w:sz w:val="19"/>
        </w:rPr>
        <w:t> </w:t>
      </w:r>
      <w:r>
        <w:rPr>
          <w:i/>
          <w:color w:val="231F20"/>
          <w:sz w:val="19"/>
        </w:rPr>
        <w:t>FSCS</w:t>
      </w:r>
      <w:r>
        <w:rPr>
          <w:color w:val="231F20"/>
          <w:sz w:val="19"/>
        </w:rPr>
        <w:t>, points 72-</w:t>
      </w:r>
      <w:r>
        <w:rPr>
          <w:color w:val="231F20"/>
          <w:spacing w:val="-5"/>
          <w:sz w:val="19"/>
        </w:rPr>
        <w:t>75.</w:t>
      </w:r>
    </w:p>
    <w:p>
      <w:pPr>
        <w:spacing w:after="0" w:line="235" w:lineRule="exact"/>
        <w:jc w:val="both"/>
        <w:rPr>
          <w:sz w:val="19"/>
        </w:rPr>
        <w:sectPr>
          <w:pgSz w:w="9640" w:h="13610"/>
          <w:pgMar w:header="0" w:footer="625" w:top="1260" w:bottom="820" w:left="1260" w:right="1240"/>
        </w:sectPr>
      </w:pPr>
    </w:p>
    <w:p>
      <w:pPr>
        <w:pStyle w:val="BodyText"/>
        <w:spacing w:line="225" w:lineRule="auto" w:before="117"/>
        <w:ind w:left="157" w:right="119"/>
        <w:jc w:val="both"/>
      </w:pPr>
      <w:r>
        <w:rPr/>
        <mc:AlternateContent>
          <mc:Choice Requires="wps">
            <w:drawing>
              <wp:anchor distT="0" distB="0" distL="0" distR="0" allowOverlap="1" layoutInCell="1" locked="0" behindDoc="0" simplePos="0" relativeHeight="15740928">
                <wp:simplePos x="0" y="0"/>
                <wp:positionH relativeFrom="page">
                  <wp:posOffset>5608609</wp:posOffset>
                </wp:positionH>
                <wp:positionV relativeFrom="page">
                  <wp:posOffset>2376001</wp:posOffset>
                </wp:positionV>
                <wp:extent cx="511809" cy="2412365"/>
                <wp:effectExtent l="0" t="0" r="0" b="0"/>
                <wp:wrapNone/>
                <wp:docPr id="48" name="Group 48"/>
                <wp:cNvGraphicFramePr>
                  <a:graphicFrameLocks/>
                </wp:cNvGraphicFramePr>
                <a:graphic>
                  <a:graphicData uri="http://schemas.microsoft.com/office/word/2010/wordprocessingGroup">
                    <wpg:wgp>
                      <wpg:cNvPr id="48" name="Group 48"/>
                      <wpg:cNvGrpSpPr/>
                      <wpg:grpSpPr>
                        <a:xfrm>
                          <a:off x="0" y="0"/>
                          <a:ext cx="511809" cy="2412365"/>
                          <a:chExt cx="511809" cy="2412365"/>
                        </a:xfrm>
                      </wpg:grpSpPr>
                      <wps:wsp>
                        <wps:cNvPr id="49" name="Graphic 49"/>
                        <wps:cNvSpPr/>
                        <wps:spPr>
                          <a:xfrm>
                            <a:off x="7393" y="3"/>
                            <a:ext cx="504190" cy="360045"/>
                          </a:xfrm>
                          <a:custGeom>
                            <a:avLst/>
                            <a:gdLst/>
                            <a:ahLst/>
                            <a:cxnLst/>
                            <a:rect l="l" t="t" r="r" b="b"/>
                            <a:pathLst>
                              <a:path w="504190" h="360045">
                                <a:moveTo>
                                  <a:pt x="503999" y="0"/>
                                </a:moveTo>
                                <a:lnTo>
                                  <a:pt x="0" y="0"/>
                                </a:lnTo>
                                <a:lnTo>
                                  <a:pt x="0" y="359994"/>
                                </a:lnTo>
                                <a:lnTo>
                                  <a:pt x="503999" y="359994"/>
                                </a:lnTo>
                                <a:lnTo>
                                  <a:pt x="503999" y="0"/>
                                </a:lnTo>
                                <a:close/>
                              </a:path>
                            </a:pathLst>
                          </a:custGeom>
                          <a:solidFill>
                            <a:srgbClr val="939598"/>
                          </a:solidFill>
                        </wps:spPr>
                        <wps:bodyPr wrap="square" lIns="0" tIns="0" rIns="0" bIns="0" rtlCol="0">
                          <a:prstTxWarp prst="textNoShape">
                            <a:avLst/>
                          </a:prstTxWarp>
                          <a:noAutofit/>
                        </wps:bodyPr>
                      </wps:wsp>
                      <wps:wsp>
                        <wps:cNvPr id="50" name="Graphic 50"/>
                        <wps:cNvSpPr/>
                        <wps:spPr>
                          <a:xfrm>
                            <a:off x="6350" y="0"/>
                            <a:ext cx="1270" cy="2412365"/>
                          </a:xfrm>
                          <a:custGeom>
                            <a:avLst/>
                            <a:gdLst/>
                            <a:ahLst/>
                            <a:cxnLst/>
                            <a:rect l="l" t="t" r="r" b="b"/>
                            <a:pathLst>
                              <a:path w="0" h="2412365">
                                <a:moveTo>
                                  <a:pt x="0" y="0"/>
                                </a:moveTo>
                                <a:lnTo>
                                  <a:pt x="0" y="2411996"/>
                                </a:lnTo>
                              </a:path>
                            </a:pathLst>
                          </a:custGeom>
                          <a:ln w="12700">
                            <a:solidFill>
                              <a:srgbClr val="939598"/>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441.622803pt;margin-top:187.0867pt;width:40.3pt;height:189.95pt;mso-position-horizontal-relative:page;mso-position-vertical-relative:page;z-index:15740928" id="docshapegroup40" coordorigin="8832,3742" coordsize="806,3799">
                <v:rect style="position:absolute;left:8844;top:3741;width:794;height:567" id="docshape41" filled="true" fillcolor="#939598" stroked="false">
                  <v:fill type="solid"/>
                </v:rect>
                <v:line style="position:absolute" from="8842,3742" to="8842,7540" stroked="true" strokeweight="1pt" strokecolor="#939598">
                  <v:stroke dashstyle="solid"/>
                </v:line>
                <w10:wrap type="none"/>
              </v:group>
            </w:pict>
          </mc:Fallback>
        </mc:AlternateContent>
      </w:r>
      <w:r>
        <w:rPr/>
        <mc:AlternateContent>
          <mc:Choice Requires="wps">
            <w:drawing>
              <wp:anchor distT="0" distB="0" distL="0" distR="0" allowOverlap="1" layoutInCell="1" locked="0" behindDoc="0" simplePos="0" relativeHeight="15741440">
                <wp:simplePos x="0" y="0"/>
                <wp:positionH relativeFrom="page">
                  <wp:posOffset>5635147</wp:posOffset>
                </wp:positionH>
                <wp:positionV relativeFrom="page">
                  <wp:posOffset>2795300</wp:posOffset>
                </wp:positionV>
                <wp:extent cx="299720" cy="1995805"/>
                <wp:effectExtent l="0" t="0" r="0" b="0"/>
                <wp:wrapNone/>
                <wp:docPr id="51" name="Textbox 51"/>
                <wp:cNvGraphicFramePr>
                  <a:graphicFrameLocks/>
                </wp:cNvGraphicFramePr>
                <a:graphic>
                  <a:graphicData uri="http://schemas.microsoft.com/office/word/2010/wordprocessingShape">
                    <wps:wsp>
                      <wps:cNvPr id="51" name="Textbox 51"/>
                      <wps:cNvSpPr txBox="1"/>
                      <wps:spPr>
                        <a:xfrm>
                          <a:off x="0" y="0"/>
                          <a:ext cx="299720" cy="1995805"/>
                        </a:xfrm>
                        <a:prstGeom prst="rect">
                          <a:avLst/>
                        </a:prstGeom>
                      </wps:spPr>
                      <wps:txbx>
                        <w:txbxContent>
                          <w:p>
                            <w:pPr>
                              <w:spacing w:before="20"/>
                              <w:ind w:left="20" w:right="0" w:firstLine="0"/>
                              <w:jc w:val="left"/>
                              <w:rPr>
                                <w:rFonts w:ascii="Minion Pro"/>
                                <w:sz w:val="32"/>
                              </w:rPr>
                            </w:pPr>
                            <w:r>
                              <w:rPr>
                                <w:rFonts w:ascii="Minion Pro"/>
                                <w:color w:val="231F20"/>
                                <w:sz w:val="32"/>
                              </w:rPr>
                              <w:t>Commented</w:t>
                            </w:r>
                            <w:r>
                              <w:rPr>
                                <w:rFonts w:ascii="Minion Pro"/>
                                <w:color w:val="231F20"/>
                                <w:spacing w:val="-10"/>
                                <w:sz w:val="32"/>
                              </w:rPr>
                              <w:t> </w:t>
                            </w:r>
                            <w:r>
                              <w:rPr>
                                <w:rFonts w:ascii="Minion Pro"/>
                                <w:color w:val="231F20"/>
                                <w:spacing w:val="-2"/>
                                <w:sz w:val="32"/>
                              </w:rPr>
                              <w:t>documents</w:t>
                            </w:r>
                          </w:p>
                        </w:txbxContent>
                      </wps:txbx>
                      <wps:bodyPr wrap="square" lIns="0" tIns="0" rIns="0" bIns="0" rtlCol="0" vert="vert">
                        <a:noAutofit/>
                      </wps:bodyPr>
                    </wps:wsp>
                  </a:graphicData>
                </a:graphic>
              </wp:anchor>
            </w:drawing>
          </mc:Choice>
          <mc:Fallback>
            <w:pict>
              <v:shape style="position:absolute;margin-left:443.712402pt;margin-top:220.102402pt;width:23.6pt;height:157.15pt;mso-position-horizontal-relative:page;mso-position-vertical-relative:page;z-index:15741440" type="#_x0000_t202" id="docshape42" filled="false" stroked="false">
                <v:textbox inset="0,0,0,0" style="layout-flow:vertical">
                  <w:txbxContent>
                    <w:p>
                      <w:pPr>
                        <w:spacing w:before="20"/>
                        <w:ind w:left="20" w:right="0" w:firstLine="0"/>
                        <w:jc w:val="left"/>
                        <w:rPr>
                          <w:rFonts w:ascii="Minion Pro"/>
                          <w:sz w:val="32"/>
                        </w:rPr>
                      </w:pPr>
                      <w:r>
                        <w:rPr>
                          <w:rFonts w:ascii="Minion Pro"/>
                          <w:color w:val="231F20"/>
                          <w:sz w:val="32"/>
                        </w:rPr>
                        <w:t>Commented</w:t>
                      </w:r>
                      <w:r>
                        <w:rPr>
                          <w:rFonts w:ascii="Minion Pro"/>
                          <w:color w:val="231F20"/>
                          <w:spacing w:val="-10"/>
                          <w:sz w:val="32"/>
                        </w:rPr>
                        <w:t> </w:t>
                      </w:r>
                      <w:r>
                        <w:rPr>
                          <w:rFonts w:ascii="Minion Pro"/>
                          <w:color w:val="231F20"/>
                          <w:spacing w:val="-2"/>
                          <w:sz w:val="32"/>
                        </w:rPr>
                        <w:t>documents</w:t>
                      </w:r>
                    </w:p>
                  </w:txbxContent>
                </v:textbox>
                <w10:wrap type="none"/>
              </v:shape>
            </w:pict>
          </mc:Fallback>
        </mc:AlternateContent>
      </w:r>
      <w:r>
        <w:rPr>
          <w:color w:val="231F20"/>
        </w:rPr>
        <w:t>marily interpretative judgments of the</w:t>
      </w:r>
      <w:r>
        <w:rPr>
          <w:color w:val="231F20"/>
          <w:spacing w:val="-3"/>
        </w:rPr>
        <w:t> </w:t>
      </w:r>
      <w:r>
        <w:rPr>
          <w:color w:val="231F20"/>
        </w:rPr>
        <w:t>VAT directive itself. It follows </w:t>
      </w:r>
      <w:r>
        <w:rPr>
          <w:color w:val="231F20"/>
        </w:rPr>
        <w:t>that Member States tax jurisdictions have asked only incidentally the Union judges to interpret certain provisions of Regulation 904/2010</w:t>
      </w:r>
      <w:r>
        <w:rPr>
          <w:rFonts w:ascii="Times New Roman"/>
          <w:color w:val="231F20"/>
          <w:position w:val="8"/>
          <w:sz w:val="14"/>
        </w:rPr>
        <w:t>33</w:t>
      </w:r>
      <w:r>
        <w:rPr>
          <w:color w:val="231F20"/>
        </w:rPr>
        <w:t>.</w:t>
      </w:r>
    </w:p>
    <w:p>
      <w:pPr>
        <w:pStyle w:val="BodyText"/>
        <w:spacing w:before="145"/>
      </w:pPr>
    </w:p>
    <w:p>
      <w:pPr>
        <w:pStyle w:val="ListParagraph"/>
        <w:numPr>
          <w:ilvl w:val="1"/>
          <w:numId w:val="1"/>
        </w:numPr>
        <w:tabs>
          <w:tab w:pos="583" w:val="left" w:leader="none"/>
        </w:tabs>
        <w:spacing w:line="244" w:lineRule="auto" w:before="0" w:after="0"/>
        <w:ind w:left="157" w:right="257" w:firstLine="0"/>
        <w:jc w:val="left"/>
        <w:rPr>
          <w:b/>
          <w:sz w:val="24"/>
        </w:rPr>
      </w:pPr>
      <w:r>
        <w:rPr>
          <w:b/>
          <w:color w:val="231F20"/>
          <w:sz w:val="24"/>
        </w:rPr>
        <w:t>In</w:t>
      </w:r>
      <w:r>
        <w:rPr>
          <w:b/>
          <w:color w:val="231F20"/>
          <w:spacing w:val="-6"/>
          <w:sz w:val="24"/>
        </w:rPr>
        <w:t> </w:t>
      </w:r>
      <w:r>
        <w:rPr>
          <w:b/>
          <w:color w:val="231F20"/>
          <w:sz w:val="24"/>
        </w:rPr>
        <w:t>which</w:t>
      </w:r>
      <w:r>
        <w:rPr>
          <w:b/>
          <w:color w:val="231F20"/>
          <w:spacing w:val="-6"/>
          <w:sz w:val="24"/>
        </w:rPr>
        <w:t> </w:t>
      </w:r>
      <w:r>
        <w:rPr>
          <w:b/>
          <w:color w:val="231F20"/>
          <w:sz w:val="24"/>
        </w:rPr>
        <w:t>Cases</w:t>
      </w:r>
      <w:r>
        <w:rPr>
          <w:b/>
          <w:color w:val="231F20"/>
          <w:spacing w:val="-6"/>
          <w:sz w:val="24"/>
        </w:rPr>
        <w:t> </w:t>
      </w:r>
      <w:r>
        <w:rPr>
          <w:b/>
          <w:color w:val="231F20"/>
          <w:sz w:val="24"/>
        </w:rPr>
        <w:t>there</w:t>
      </w:r>
      <w:r>
        <w:rPr>
          <w:b/>
          <w:color w:val="231F20"/>
          <w:spacing w:val="-6"/>
          <w:sz w:val="24"/>
        </w:rPr>
        <w:t> </w:t>
      </w:r>
      <w:r>
        <w:rPr>
          <w:b/>
          <w:color w:val="231F20"/>
          <w:sz w:val="24"/>
        </w:rPr>
        <w:t>is</w:t>
      </w:r>
      <w:r>
        <w:rPr>
          <w:b/>
          <w:color w:val="231F20"/>
          <w:spacing w:val="-6"/>
          <w:sz w:val="24"/>
        </w:rPr>
        <w:t> </w:t>
      </w:r>
      <w:r>
        <w:rPr>
          <w:b/>
          <w:color w:val="231F20"/>
          <w:sz w:val="24"/>
        </w:rPr>
        <w:t>an</w:t>
      </w:r>
      <w:r>
        <w:rPr>
          <w:b/>
          <w:color w:val="231F20"/>
          <w:spacing w:val="-6"/>
          <w:sz w:val="24"/>
        </w:rPr>
        <w:t> </w:t>
      </w:r>
      <w:r>
        <w:rPr>
          <w:b/>
          <w:color w:val="231F20"/>
          <w:sz w:val="24"/>
        </w:rPr>
        <w:t>Obligation</w:t>
      </w:r>
      <w:r>
        <w:rPr>
          <w:b/>
          <w:color w:val="231F20"/>
          <w:spacing w:val="-6"/>
          <w:sz w:val="24"/>
        </w:rPr>
        <w:t> </w:t>
      </w:r>
      <w:r>
        <w:rPr>
          <w:b/>
          <w:color w:val="231F20"/>
          <w:sz w:val="24"/>
        </w:rPr>
        <w:t>to</w:t>
      </w:r>
      <w:r>
        <w:rPr>
          <w:b/>
          <w:color w:val="231F20"/>
          <w:spacing w:val="-6"/>
          <w:sz w:val="24"/>
        </w:rPr>
        <w:t> </w:t>
      </w:r>
      <w:r>
        <w:rPr>
          <w:b/>
          <w:color w:val="231F20"/>
          <w:sz w:val="24"/>
        </w:rPr>
        <w:t>request</w:t>
      </w:r>
      <w:r>
        <w:rPr>
          <w:b/>
          <w:color w:val="231F20"/>
          <w:spacing w:val="-6"/>
          <w:sz w:val="24"/>
        </w:rPr>
        <w:t> </w:t>
      </w:r>
      <w:r>
        <w:rPr>
          <w:b/>
          <w:color w:val="231F20"/>
          <w:sz w:val="24"/>
        </w:rPr>
        <w:t>Information</w:t>
      </w:r>
      <w:r>
        <w:rPr>
          <w:b/>
          <w:color w:val="231F20"/>
          <w:spacing w:val="-6"/>
          <w:sz w:val="24"/>
        </w:rPr>
        <w:t> </w:t>
      </w:r>
      <w:r>
        <w:rPr>
          <w:b/>
          <w:color w:val="231F20"/>
          <w:sz w:val="24"/>
        </w:rPr>
        <w:t>from the Administration of another Member State</w:t>
      </w:r>
    </w:p>
    <w:p>
      <w:pPr>
        <w:pStyle w:val="BodyText"/>
        <w:spacing w:line="225" w:lineRule="auto" w:before="263"/>
        <w:ind w:left="157" w:right="117"/>
        <w:jc w:val="both"/>
      </w:pPr>
      <w:r>
        <w:rPr>
          <w:color w:val="231F20"/>
        </w:rPr>
        <w:t>There is no doubt that the main subject of the </w:t>
      </w:r>
      <w:r>
        <w:rPr>
          <w:i/>
          <w:color w:val="231F20"/>
        </w:rPr>
        <w:t>WebMind Licenses </w:t>
      </w:r>
      <w:r>
        <w:rPr>
          <w:color w:val="231F20"/>
        </w:rPr>
        <w:t>judg- ment</w:t>
      </w:r>
      <w:r>
        <w:rPr>
          <w:color w:val="231F20"/>
          <w:position w:val="8"/>
          <w:sz w:val="14"/>
        </w:rPr>
        <w:t>34</w:t>
      </w:r>
      <w:r>
        <w:rPr>
          <w:color w:val="231F20"/>
          <w:spacing w:val="13"/>
          <w:position w:val="8"/>
          <w:sz w:val="14"/>
        </w:rPr>
        <w:t> </w:t>
      </w:r>
      <w:r>
        <w:rPr>
          <w:color w:val="231F20"/>
        </w:rPr>
        <w:t>was</w:t>
      </w:r>
      <w:r>
        <w:rPr>
          <w:color w:val="231F20"/>
          <w:spacing w:val="-12"/>
        </w:rPr>
        <w:t> </w:t>
      </w:r>
      <w:r>
        <w:rPr>
          <w:color w:val="231F20"/>
        </w:rPr>
        <w:t>the</w:t>
      </w:r>
      <w:r>
        <w:rPr>
          <w:color w:val="231F20"/>
          <w:spacing w:val="-12"/>
        </w:rPr>
        <w:t> </w:t>
      </w:r>
      <w:r>
        <w:rPr>
          <w:color w:val="231F20"/>
        </w:rPr>
        <w:t>existence</w:t>
      </w:r>
      <w:r>
        <w:rPr>
          <w:color w:val="231F20"/>
          <w:spacing w:val="-12"/>
        </w:rPr>
        <w:t> </w:t>
      </w:r>
      <w:r>
        <w:rPr>
          <w:color w:val="231F20"/>
        </w:rPr>
        <w:t>or</w:t>
      </w:r>
      <w:r>
        <w:rPr>
          <w:color w:val="231F20"/>
          <w:spacing w:val="-12"/>
        </w:rPr>
        <w:t> </w:t>
      </w:r>
      <w:r>
        <w:rPr>
          <w:color w:val="231F20"/>
        </w:rPr>
        <w:t>non-existence</w:t>
      </w:r>
      <w:r>
        <w:rPr>
          <w:color w:val="231F20"/>
          <w:spacing w:val="-12"/>
        </w:rPr>
        <w:t> </w:t>
      </w:r>
      <w:r>
        <w:rPr>
          <w:color w:val="231F20"/>
        </w:rPr>
        <w:t>of</w:t>
      </w:r>
      <w:r>
        <w:rPr>
          <w:color w:val="231F20"/>
          <w:spacing w:val="-12"/>
        </w:rPr>
        <w:t> </w:t>
      </w:r>
      <w:r>
        <w:rPr>
          <w:color w:val="231F20"/>
        </w:rPr>
        <w:t>a</w:t>
      </w:r>
      <w:r>
        <w:rPr>
          <w:color w:val="231F20"/>
          <w:spacing w:val="-12"/>
        </w:rPr>
        <w:t> </w:t>
      </w:r>
      <w:r>
        <w:rPr>
          <w:color w:val="231F20"/>
        </w:rPr>
        <w:t>case</w:t>
      </w:r>
      <w:r>
        <w:rPr>
          <w:color w:val="231F20"/>
          <w:spacing w:val="-12"/>
        </w:rPr>
        <w:t> </w:t>
      </w:r>
      <w:r>
        <w:rPr>
          <w:color w:val="231F20"/>
        </w:rPr>
        <w:t>of</w:t>
      </w:r>
      <w:r>
        <w:rPr>
          <w:color w:val="231F20"/>
          <w:spacing w:val="-12"/>
        </w:rPr>
        <w:t> </w:t>
      </w:r>
      <w:r>
        <w:rPr>
          <w:color w:val="231F20"/>
        </w:rPr>
        <w:t>abuse</w:t>
      </w:r>
      <w:r>
        <w:rPr>
          <w:color w:val="231F20"/>
          <w:spacing w:val="-12"/>
        </w:rPr>
        <w:t> </w:t>
      </w:r>
      <w:r>
        <w:rPr>
          <w:color w:val="231F20"/>
        </w:rPr>
        <w:t>of</w:t>
      </w:r>
      <w:r>
        <w:rPr>
          <w:color w:val="231F20"/>
          <w:spacing w:val="-12"/>
        </w:rPr>
        <w:t> </w:t>
      </w:r>
      <w:r>
        <w:rPr>
          <w:color w:val="231F20"/>
        </w:rPr>
        <w:t>rights</w:t>
      </w:r>
      <w:r>
        <w:rPr>
          <w:color w:val="231F20"/>
          <w:spacing w:val="-12"/>
        </w:rPr>
        <w:t> </w:t>
      </w:r>
      <w:r>
        <w:rPr>
          <w:color w:val="231F20"/>
        </w:rPr>
        <w:t>for</w:t>
      </w:r>
      <w:r>
        <w:rPr>
          <w:color w:val="231F20"/>
          <w:spacing w:val="-12"/>
        </w:rPr>
        <w:t> </w:t>
      </w:r>
      <w:r>
        <w:rPr>
          <w:color w:val="231F20"/>
        </w:rPr>
        <w:t>the purpose</w:t>
      </w:r>
      <w:r>
        <w:rPr>
          <w:color w:val="231F20"/>
          <w:spacing w:val="-1"/>
        </w:rPr>
        <w:t> </w:t>
      </w:r>
      <w:r>
        <w:rPr>
          <w:color w:val="231F20"/>
        </w:rPr>
        <w:t>of</w:t>
      </w:r>
      <w:r>
        <w:rPr>
          <w:color w:val="231F20"/>
          <w:spacing w:val="-1"/>
        </w:rPr>
        <w:t> </w:t>
      </w:r>
      <w:r>
        <w:rPr>
          <w:color w:val="231F20"/>
        </w:rPr>
        <w:t>determining</w:t>
      </w:r>
      <w:r>
        <w:rPr>
          <w:color w:val="231F20"/>
          <w:spacing w:val="-1"/>
        </w:rPr>
        <w:t> </w:t>
      </w:r>
      <w:r>
        <w:rPr>
          <w:color w:val="231F20"/>
        </w:rPr>
        <w:t>the</w:t>
      </w:r>
      <w:r>
        <w:rPr>
          <w:color w:val="231F20"/>
          <w:spacing w:val="-1"/>
        </w:rPr>
        <w:t> </w:t>
      </w:r>
      <w:r>
        <w:rPr>
          <w:color w:val="231F20"/>
        </w:rPr>
        <w:t>place</w:t>
      </w:r>
      <w:r>
        <w:rPr>
          <w:color w:val="231F20"/>
          <w:spacing w:val="-1"/>
        </w:rPr>
        <w:t> </w:t>
      </w:r>
      <w:r>
        <w:rPr>
          <w:color w:val="231F20"/>
        </w:rPr>
        <w:t>of</w:t>
      </w:r>
      <w:r>
        <w:rPr>
          <w:color w:val="231F20"/>
          <w:spacing w:val="-1"/>
        </w:rPr>
        <w:t> </w:t>
      </w:r>
      <w:r>
        <w:rPr>
          <w:color w:val="231F20"/>
        </w:rPr>
        <w:t>supply</w:t>
      </w:r>
      <w:r>
        <w:rPr>
          <w:color w:val="231F20"/>
          <w:spacing w:val="-1"/>
        </w:rPr>
        <w:t> </w:t>
      </w:r>
      <w:r>
        <w:rPr>
          <w:color w:val="231F20"/>
        </w:rPr>
        <w:t>of</w:t>
      </w:r>
      <w:r>
        <w:rPr>
          <w:color w:val="231F20"/>
          <w:spacing w:val="-1"/>
        </w:rPr>
        <w:t> </w:t>
      </w:r>
      <w:r>
        <w:rPr>
          <w:color w:val="231F20"/>
        </w:rPr>
        <w:t>audiovisual</w:t>
      </w:r>
      <w:r>
        <w:rPr>
          <w:color w:val="231F20"/>
          <w:spacing w:val="-1"/>
        </w:rPr>
        <w:t> </w:t>
      </w:r>
      <w:r>
        <w:rPr>
          <w:color w:val="231F20"/>
        </w:rPr>
        <w:t>services.</w:t>
      </w:r>
      <w:r>
        <w:rPr>
          <w:color w:val="231F20"/>
          <w:spacing w:val="-1"/>
        </w:rPr>
        <w:t> </w:t>
      </w:r>
      <w:r>
        <w:rPr>
          <w:color w:val="231F20"/>
        </w:rPr>
        <w:t>Never- theless, alongside this main interpretative issue the referring court raised another ancillary question concerning Regulation 904/2010: whether the tax administration of a Member State considering the VAT liability for a </w:t>
      </w:r>
      <w:r>
        <w:rPr>
          <w:color w:val="231F20"/>
          <w:spacing w:val="-2"/>
        </w:rPr>
        <w:t>service</w:t>
      </w:r>
      <w:r>
        <w:rPr>
          <w:color w:val="231F20"/>
          <w:spacing w:val="-12"/>
        </w:rPr>
        <w:t> </w:t>
      </w:r>
      <w:r>
        <w:rPr>
          <w:color w:val="231F20"/>
          <w:spacing w:val="-2"/>
        </w:rPr>
        <w:t>already</w:t>
      </w:r>
      <w:r>
        <w:rPr>
          <w:color w:val="231F20"/>
          <w:spacing w:val="-11"/>
        </w:rPr>
        <w:t> </w:t>
      </w:r>
      <w:r>
        <w:rPr>
          <w:color w:val="231F20"/>
          <w:spacing w:val="-2"/>
        </w:rPr>
        <w:t>subject</w:t>
      </w:r>
      <w:r>
        <w:rPr>
          <w:color w:val="231F20"/>
          <w:spacing w:val="-11"/>
        </w:rPr>
        <w:t> </w:t>
      </w:r>
      <w:r>
        <w:rPr>
          <w:color w:val="231F20"/>
          <w:spacing w:val="-2"/>
        </w:rPr>
        <w:t>to</w:t>
      </w:r>
      <w:r>
        <w:rPr>
          <w:color w:val="231F20"/>
          <w:spacing w:val="-13"/>
        </w:rPr>
        <w:t> </w:t>
      </w:r>
      <w:r>
        <w:rPr>
          <w:color w:val="231F20"/>
          <w:spacing w:val="-2"/>
        </w:rPr>
        <w:t>VAT</w:t>
      </w:r>
      <w:r>
        <w:rPr>
          <w:color w:val="231F20"/>
          <w:spacing w:val="-11"/>
        </w:rPr>
        <w:t> </w:t>
      </w:r>
      <w:r>
        <w:rPr>
          <w:color w:val="231F20"/>
          <w:spacing w:val="-2"/>
        </w:rPr>
        <w:t>in</w:t>
      </w:r>
      <w:r>
        <w:rPr>
          <w:color w:val="231F20"/>
          <w:spacing w:val="-11"/>
        </w:rPr>
        <w:t> </w:t>
      </w:r>
      <w:r>
        <w:rPr>
          <w:color w:val="231F20"/>
          <w:spacing w:val="-2"/>
        </w:rPr>
        <w:t>another</w:t>
      </w:r>
      <w:r>
        <w:rPr>
          <w:color w:val="231F20"/>
          <w:spacing w:val="-11"/>
        </w:rPr>
        <w:t> </w:t>
      </w:r>
      <w:r>
        <w:rPr>
          <w:color w:val="231F20"/>
          <w:spacing w:val="-2"/>
        </w:rPr>
        <w:t>Member</w:t>
      </w:r>
      <w:r>
        <w:rPr>
          <w:color w:val="231F20"/>
          <w:spacing w:val="-11"/>
        </w:rPr>
        <w:t> </w:t>
      </w:r>
      <w:r>
        <w:rPr>
          <w:color w:val="231F20"/>
          <w:spacing w:val="-2"/>
        </w:rPr>
        <w:t>State</w:t>
      </w:r>
      <w:r>
        <w:rPr>
          <w:color w:val="231F20"/>
          <w:spacing w:val="-11"/>
        </w:rPr>
        <w:t> </w:t>
      </w:r>
      <w:r>
        <w:rPr>
          <w:color w:val="231F20"/>
          <w:spacing w:val="-2"/>
        </w:rPr>
        <w:t>is</w:t>
      </w:r>
      <w:r>
        <w:rPr>
          <w:color w:val="231F20"/>
          <w:spacing w:val="-11"/>
        </w:rPr>
        <w:t> </w:t>
      </w:r>
      <w:r>
        <w:rPr>
          <w:color w:val="231F20"/>
          <w:spacing w:val="-2"/>
        </w:rPr>
        <w:t>required</w:t>
      </w:r>
      <w:r>
        <w:rPr>
          <w:color w:val="231F20"/>
          <w:spacing w:val="-11"/>
        </w:rPr>
        <w:t> </w:t>
      </w:r>
      <w:r>
        <w:rPr>
          <w:color w:val="231F20"/>
          <w:spacing w:val="-2"/>
        </w:rPr>
        <w:t>to</w:t>
      </w:r>
      <w:r>
        <w:rPr>
          <w:color w:val="231F20"/>
          <w:spacing w:val="-11"/>
        </w:rPr>
        <w:t> </w:t>
      </w:r>
      <w:r>
        <w:rPr>
          <w:color w:val="231F20"/>
          <w:spacing w:val="-2"/>
        </w:rPr>
        <w:t>trans- </w:t>
      </w:r>
      <w:r>
        <w:rPr>
          <w:color w:val="231F20"/>
        </w:rPr>
        <w:t>mit a request for cooperation to the administration of that other Member State.</w:t>
      </w:r>
      <w:r>
        <w:rPr>
          <w:color w:val="231F20"/>
          <w:spacing w:val="-2"/>
        </w:rPr>
        <w:t> </w:t>
      </w:r>
      <w:r>
        <w:rPr>
          <w:color w:val="231F20"/>
        </w:rPr>
        <w:t>The</w:t>
      </w:r>
      <w:r>
        <w:rPr>
          <w:color w:val="231F20"/>
          <w:spacing w:val="-2"/>
        </w:rPr>
        <w:t> </w:t>
      </w:r>
      <w:r>
        <w:rPr>
          <w:color w:val="231F20"/>
        </w:rPr>
        <w:t>Court</w:t>
      </w:r>
      <w:r>
        <w:rPr>
          <w:color w:val="231F20"/>
          <w:spacing w:val="-2"/>
        </w:rPr>
        <w:t> </w:t>
      </w:r>
      <w:r>
        <w:rPr>
          <w:color w:val="231F20"/>
        </w:rPr>
        <w:t>of</w:t>
      </w:r>
      <w:r>
        <w:rPr>
          <w:color w:val="231F20"/>
          <w:spacing w:val="-2"/>
        </w:rPr>
        <w:t> </w:t>
      </w:r>
      <w:r>
        <w:rPr>
          <w:color w:val="231F20"/>
        </w:rPr>
        <w:t>Justice,</w:t>
      </w:r>
      <w:r>
        <w:rPr>
          <w:color w:val="231F20"/>
          <w:spacing w:val="-2"/>
        </w:rPr>
        <w:t> </w:t>
      </w:r>
      <w:r>
        <w:rPr>
          <w:color w:val="231F20"/>
        </w:rPr>
        <w:t>in</w:t>
      </w:r>
      <w:r>
        <w:rPr>
          <w:color w:val="231F20"/>
          <w:spacing w:val="-2"/>
        </w:rPr>
        <w:t> </w:t>
      </w:r>
      <w:r>
        <w:rPr>
          <w:color w:val="231F20"/>
        </w:rPr>
        <w:t>the</w:t>
      </w:r>
      <w:r>
        <w:rPr>
          <w:color w:val="231F20"/>
          <w:spacing w:val="-2"/>
        </w:rPr>
        <w:t> </w:t>
      </w:r>
      <w:r>
        <w:rPr>
          <w:color w:val="231F20"/>
        </w:rPr>
        <w:t>absence</w:t>
      </w:r>
      <w:r>
        <w:rPr>
          <w:color w:val="231F20"/>
          <w:spacing w:val="-2"/>
        </w:rPr>
        <w:t> </w:t>
      </w:r>
      <w:r>
        <w:rPr>
          <w:color w:val="231F20"/>
        </w:rPr>
        <w:t>of</w:t>
      </w:r>
      <w:r>
        <w:rPr>
          <w:color w:val="231F20"/>
          <w:spacing w:val="-2"/>
        </w:rPr>
        <w:t> </w:t>
      </w:r>
      <w:r>
        <w:rPr>
          <w:color w:val="231F20"/>
        </w:rPr>
        <w:t>a</w:t>
      </w:r>
      <w:r>
        <w:rPr>
          <w:color w:val="231F20"/>
          <w:spacing w:val="-2"/>
        </w:rPr>
        <w:t> </w:t>
      </w:r>
      <w:r>
        <w:rPr>
          <w:color w:val="231F20"/>
        </w:rPr>
        <w:t>provision</w:t>
      </w:r>
      <w:r>
        <w:rPr>
          <w:color w:val="231F20"/>
          <w:spacing w:val="-2"/>
        </w:rPr>
        <w:t> </w:t>
      </w:r>
      <w:r>
        <w:rPr>
          <w:color w:val="231F20"/>
        </w:rPr>
        <w:t>in</w:t>
      </w:r>
      <w:r>
        <w:rPr>
          <w:color w:val="231F20"/>
          <w:spacing w:val="-2"/>
        </w:rPr>
        <w:t> </w:t>
      </w:r>
      <w:r>
        <w:rPr>
          <w:color w:val="231F20"/>
        </w:rPr>
        <w:t>the</w:t>
      </w:r>
      <w:r>
        <w:rPr>
          <w:color w:val="231F20"/>
          <w:spacing w:val="-2"/>
        </w:rPr>
        <w:t> </w:t>
      </w:r>
      <w:r>
        <w:rPr>
          <w:color w:val="231F20"/>
        </w:rPr>
        <w:t>regulation specifying the circumstances in which a Member State tax administration would be required to send a request for cooperation to the administration of another Member State, deduced this obligation by interpretation from point 7 of the regulation’s grounds itself</w:t>
      </w:r>
      <w:r>
        <w:rPr>
          <w:color w:val="231F20"/>
          <w:position w:val="8"/>
          <w:sz w:val="14"/>
        </w:rPr>
        <w:t>35</w:t>
      </w:r>
      <w:r>
        <w:rPr>
          <w:color w:val="231F20"/>
        </w:rPr>
        <w:t>. The obligation to transmit the information request arises particularly when - as in the case at hand - a Member State administration is aware that the administration of another Member</w:t>
      </w:r>
      <w:r>
        <w:rPr>
          <w:color w:val="231F20"/>
          <w:spacing w:val="-2"/>
        </w:rPr>
        <w:t> </w:t>
      </w:r>
      <w:r>
        <w:rPr>
          <w:color w:val="231F20"/>
        </w:rPr>
        <w:t>State</w:t>
      </w:r>
      <w:r>
        <w:rPr>
          <w:color w:val="231F20"/>
          <w:spacing w:val="-2"/>
        </w:rPr>
        <w:t> </w:t>
      </w:r>
      <w:r>
        <w:rPr>
          <w:color w:val="231F20"/>
        </w:rPr>
        <w:t>has</w:t>
      </w:r>
      <w:r>
        <w:rPr>
          <w:color w:val="231F20"/>
          <w:spacing w:val="-2"/>
        </w:rPr>
        <w:t> </w:t>
      </w:r>
      <w:r>
        <w:rPr>
          <w:color w:val="231F20"/>
        </w:rPr>
        <w:t>the</w:t>
      </w:r>
      <w:r>
        <w:rPr>
          <w:color w:val="231F20"/>
          <w:spacing w:val="-2"/>
        </w:rPr>
        <w:t> </w:t>
      </w:r>
      <w:r>
        <w:rPr>
          <w:color w:val="231F20"/>
        </w:rPr>
        <w:t>necessary</w:t>
      </w:r>
      <w:r>
        <w:rPr>
          <w:color w:val="231F20"/>
          <w:spacing w:val="-2"/>
        </w:rPr>
        <w:t> </w:t>
      </w:r>
      <w:r>
        <w:rPr>
          <w:color w:val="231F20"/>
        </w:rPr>
        <w:t>information</w:t>
      </w:r>
      <w:r>
        <w:rPr>
          <w:color w:val="231F20"/>
          <w:spacing w:val="-2"/>
        </w:rPr>
        <w:t> </w:t>
      </w:r>
      <w:r>
        <w:rPr>
          <w:color w:val="231F20"/>
        </w:rPr>
        <w:t>to</w:t>
      </w:r>
      <w:r>
        <w:rPr>
          <w:color w:val="231F20"/>
          <w:spacing w:val="-2"/>
        </w:rPr>
        <w:t> </w:t>
      </w:r>
      <w:r>
        <w:rPr>
          <w:color w:val="231F20"/>
        </w:rPr>
        <w:t>determine</w:t>
      </w:r>
      <w:r>
        <w:rPr>
          <w:color w:val="231F20"/>
          <w:spacing w:val="-2"/>
        </w:rPr>
        <w:t> </w:t>
      </w:r>
      <w:r>
        <w:rPr>
          <w:color w:val="231F20"/>
        </w:rPr>
        <w:t>the</w:t>
      </w:r>
      <w:r>
        <w:rPr>
          <w:color w:val="231F20"/>
          <w:spacing w:val="-2"/>
        </w:rPr>
        <w:t> </w:t>
      </w:r>
      <w:r>
        <w:rPr>
          <w:color w:val="231F20"/>
        </w:rPr>
        <w:t>place</w:t>
      </w:r>
      <w:r>
        <w:rPr>
          <w:color w:val="231F20"/>
          <w:spacing w:val="-2"/>
        </w:rPr>
        <w:t> </w:t>
      </w:r>
      <w:r>
        <w:rPr>
          <w:color w:val="231F20"/>
        </w:rPr>
        <w:t>of</w:t>
      </w:r>
      <w:r>
        <w:rPr>
          <w:color w:val="231F20"/>
          <w:spacing w:val="-2"/>
        </w:rPr>
        <w:t> </w:t>
      </w:r>
      <w:r>
        <w:rPr>
          <w:color w:val="231F20"/>
        </w:rPr>
        <w:t>the taxable transaction.</w:t>
      </w:r>
    </w:p>
    <w:p>
      <w:pPr>
        <w:pStyle w:val="BodyText"/>
        <w:spacing w:line="225" w:lineRule="auto" w:before="22"/>
        <w:ind w:left="157" w:right="117" w:firstLine="340"/>
        <w:jc w:val="both"/>
      </w:pPr>
      <w:r>
        <w:rPr>
          <w:color w:val="231F20"/>
        </w:rPr>
        <w:t>The interpretative question in the </w:t>
      </w:r>
      <w:r>
        <w:rPr>
          <w:i/>
          <w:color w:val="231F20"/>
        </w:rPr>
        <w:t>Enteco Baltic </w:t>
      </w:r>
      <w:r>
        <w:rPr>
          <w:color w:val="231F20"/>
        </w:rPr>
        <w:t>judgment</w:t>
      </w:r>
      <w:r>
        <w:rPr>
          <w:color w:val="231F20"/>
          <w:position w:val="8"/>
          <w:sz w:val="14"/>
        </w:rPr>
        <w:t>36</w:t>
      </w:r>
      <w:r>
        <w:rPr>
          <w:color w:val="231F20"/>
          <w:spacing w:val="27"/>
          <w:position w:val="8"/>
          <w:sz w:val="14"/>
        </w:rPr>
        <w:t> </w:t>
      </w:r>
      <w:r>
        <w:rPr>
          <w:color w:val="231F20"/>
        </w:rPr>
        <w:t>concerned instead</w:t>
      </w:r>
      <w:r>
        <w:rPr>
          <w:color w:val="231F20"/>
          <w:spacing w:val="-6"/>
        </w:rPr>
        <w:t> </w:t>
      </w:r>
      <w:r>
        <w:rPr>
          <w:color w:val="231F20"/>
        </w:rPr>
        <w:t>the</w:t>
      </w:r>
      <w:r>
        <w:rPr>
          <w:color w:val="231F20"/>
          <w:spacing w:val="-6"/>
        </w:rPr>
        <w:t> </w:t>
      </w:r>
      <w:r>
        <w:rPr>
          <w:color w:val="231F20"/>
        </w:rPr>
        <w:t>existence</w:t>
      </w:r>
      <w:r>
        <w:rPr>
          <w:color w:val="231F20"/>
          <w:spacing w:val="-6"/>
        </w:rPr>
        <w:t> </w:t>
      </w:r>
      <w:r>
        <w:rPr>
          <w:color w:val="231F20"/>
        </w:rPr>
        <w:t>or</w:t>
      </w:r>
      <w:r>
        <w:rPr>
          <w:color w:val="231F20"/>
          <w:spacing w:val="-6"/>
        </w:rPr>
        <w:t> </w:t>
      </w:r>
      <w:r>
        <w:rPr>
          <w:color w:val="231F20"/>
        </w:rPr>
        <w:t>non-existence</w:t>
      </w:r>
      <w:r>
        <w:rPr>
          <w:color w:val="231F20"/>
          <w:spacing w:val="-6"/>
        </w:rPr>
        <w:t> </w:t>
      </w:r>
      <w:r>
        <w:rPr>
          <w:color w:val="231F20"/>
        </w:rPr>
        <w:t>of</w:t>
      </w:r>
      <w:r>
        <w:rPr>
          <w:color w:val="231F20"/>
          <w:spacing w:val="-6"/>
        </w:rPr>
        <w:t> </w:t>
      </w:r>
      <w:r>
        <w:rPr>
          <w:color w:val="231F20"/>
        </w:rPr>
        <w:t>an</w:t>
      </w:r>
      <w:r>
        <w:rPr>
          <w:color w:val="231F20"/>
          <w:spacing w:val="-6"/>
        </w:rPr>
        <w:t> </w:t>
      </w:r>
      <w:r>
        <w:rPr>
          <w:color w:val="231F20"/>
        </w:rPr>
        <w:t>obligation</w:t>
      </w:r>
      <w:r>
        <w:rPr>
          <w:color w:val="231F20"/>
          <w:spacing w:val="-6"/>
        </w:rPr>
        <w:t> </w:t>
      </w:r>
      <w:r>
        <w:rPr>
          <w:color w:val="231F20"/>
        </w:rPr>
        <w:t>for</w:t>
      </w:r>
      <w:r>
        <w:rPr>
          <w:color w:val="231F20"/>
          <w:spacing w:val="-6"/>
        </w:rPr>
        <w:t> </w:t>
      </w:r>
      <w:r>
        <w:rPr>
          <w:color w:val="231F20"/>
        </w:rPr>
        <w:t>the</w:t>
      </w:r>
      <w:r>
        <w:rPr>
          <w:color w:val="231F20"/>
          <w:spacing w:val="-6"/>
        </w:rPr>
        <w:t> </w:t>
      </w:r>
      <w:r>
        <w:rPr>
          <w:color w:val="231F20"/>
        </w:rPr>
        <w:t>tax</w:t>
      </w:r>
      <w:r>
        <w:rPr>
          <w:color w:val="231F20"/>
          <w:spacing w:val="-6"/>
        </w:rPr>
        <w:t> </w:t>
      </w:r>
      <w:r>
        <w:rPr>
          <w:color w:val="231F20"/>
        </w:rPr>
        <w:t>adminis- </w:t>
      </w:r>
      <w:r>
        <w:rPr>
          <w:color w:val="231F20"/>
          <w:spacing w:val="-2"/>
        </w:rPr>
        <w:t>tration</w:t>
      </w:r>
      <w:r>
        <w:rPr>
          <w:color w:val="231F20"/>
          <w:spacing w:val="-10"/>
        </w:rPr>
        <w:t> </w:t>
      </w:r>
      <w:r>
        <w:rPr>
          <w:color w:val="231F20"/>
          <w:spacing w:val="-2"/>
        </w:rPr>
        <w:t>of</w:t>
      </w:r>
      <w:r>
        <w:rPr>
          <w:color w:val="231F20"/>
          <w:spacing w:val="-10"/>
        </w:rPr>
        <w:t> </w:t>
      </w:r>
      <w:r>
        <w:rPr>
          <w:color w:val="231F20"/>
          <w:spacing w:val="-2"/>
        </w:rPr>
        <w:t>the</w:t>
      </w:r>
      <w:r>
        <w:rPr>
          <w:color w:val="231F20"/>
          <w:spacing w:val="-10"/>
        </w:rPr>
        <w:t> </w:t>
      </w:r>
      <w:r>
        <w:rPr>
          <w:color w:val="231F20"/>
          <w:spacing w:val="-2"/>
        </w:rPr>
        <w:t>Member</w:t>
      </w:r>
      <w:r>
        <w:rPr>
          <w:color w:val="231F20"/>
          <w:spacing w:val="-10"/>
        </w:rPr>
        <w:t> </w:t>
      </w:r>
      <w:r>
        <w:rPr>
          <w:color w:val="231F20"/>
          <w:spacing w:val="-2"/>
        </w:rPr>
        <w:t>State</w:t>
      </w:r>
      <w:r>
        <w:rPr>
          <w:color w:val="231F20"/>
          <w:spacing w:val="-10"/>
        </w:rPr>
        <w:t> </w:t>
      </w:r>
      <w:r>
        <w:rPr>
          <w:color w:val="231F20"/>
          <w:spacing w:val="-2"/>
        </w:rPr>
        <w:t>of</w:t>
      </w:r>
      <w:r>
        <w:rPr>
          <w:color w:val="231F20"/>
          <w:spacing w:val="-10"/>
        </w:rPr>
        <w:t> </w:t>
      </w:r>
      <w:r>
        <w:rPr>
          <w:color w:val="231F20"/>
          <w:spacing w:val="-2"/>
        </w:rPr>
        <w:t>import</w:t>
      </w:r>
      <w:r>
        <w:rPr>
          <w:color w:val="231F20"/>
          <w:spacing w:val="-10"/>
        </w:rPr>
        <w:t> </w:t>
      </w:r>
      <w:r>
        <w:rPr>
          <w:color w:val="231F20"/>
          <w:spacing w:val="-2"/>
        </w:rPr>
        <w:t>of</w:t>
      </w:r>
      <w:r>
        <w:rPr>
          <w:color w:val="231F20"/>
          <w:spacing w:val="-10"/>
        </w:rPr>
        <w:t> </w:t>
      </w:r>
      <w:r>
        <w:rPr>
          <w:color w:val="231F20"/>
          <w:spacing w:val="-2"/>
        </w:rPr>
        <w:t>goods</w:t>
      </w:r>
      <w:r>
        <w:rPr>
          <w:color w:val="231F20"/>
          <w:spacing w:val="-10"/>
        </w:rPr>
        <w:t> </w:t>
      </w:r>
      <w:r>
        <w:rPr>
          <w:color w:val="231F20"/>
          <w:spacing w:val="-2"/>
        </w:rPr>
        <w:t>to</w:t>
      </w:r>
      <w:r>
        <w:rPr>
          <w:color w:val="231F20"/>
          <w:spacing w:val="-10"/>
        </w:rPr>
        <w:t> </w:t>
      </w:r>
      <w:r>
        <w:rPr>
          <w:color w:val="231F20"/>
          <w:spacing w:val="-2"/>
        </w:rPr>
        <w:t>request</w:t>
      </w:r>
      <w:r>
        <w:rPr>
          <w:color w:val="231F20"/>
          <w:spacing w:val="-10"/>
        </w:rPr>
        <w:t> </w:t>
      </w:r>
      <w:r>
        <w:rPr>
          <w:color w:val="231F20"/>
          <w:spacing w:val="-2"/>
        </w:rPr>
        <w:t>information</w:t>
      </w:r>
      <w:r>
        <w:rPr>
          <w:color w:val="231F20"/>
          <w:spacing w:val="-10"/>
        </w:rPr>
        <w:t> </w:t>
      </w:r>
      <w:r>
        <w:rPr>
          <w:color w:val="231F20"/>
          <w:spacing w:val="-2"/>
        </w:rPr>
        <w:t>from </w:t>
      </w:r>
      <w:r>
        <w:rPr>
          <w:color w:val="231F20"/>
        </w:rPr>
        <w:t>the</w:t>
      </w:r>
      <w:r>
        <w:rPr>
          <w:color w:val="231F20"/>
          <w:spacing w:val="9"/>
        </w:rPr>
        <w:t> </w:t>
      </w:r>
      <w:r>
        <w:rPr>
          <w:color w:val="231F20"/>
        </w:rPr>
        <w:t>administration</w:t>
      </w:r>
      <w:r>
        <w:rPr>
          <w:color w:val="231F20"/>
          <w:spacing w:val="10"/>
        </w:rPr>
        <w:t> </w:t>
      </w:r>
      <w:r>
        <w:rPr>
          <w:color w:val="231F20"/>
        </w:rPr>
        <w:t>of</w:t>
      </w:r>
      <w:r>
        <w:rPr>
          <w:color w:val="231F20"/>
          <w:spacing w:val="10"/>
        </w:rPr>
        <w:t> </w:t>
      </w:r>
      <w:r>
        <w:rPr>
          <w:color w:val="231F20"/>
        </w:rPr>
        <w:t>the</w:t>
      </w:r>
      <w:r>
        <w:rPr>
          <w:color w:val="231F20"/>
          <w:spacing w:val="10"/>
        </w:rPr>
        <w:t> </w:t>
      </w:r>
      <w:r>
        <w:rPr>
          <w:color w:val="231F20"/>
        </w:rPr>
        <w:t>Member</w:t>
      </w:r>
      <w:r>
        <w:rPr>
          <w:color w:val="231F20"/>
          <w:spacing w:val="10"/>
        </w:rPr>
        <w:t> </w:t>
      </w:r>
      <w:r>
        <w:rPr>
          <w:color w:val="231F20"/>
        </w:rPr>
        <w:t>State</w:t>
      </w:r>
      <w:r>
        <w:rPr>
          <w:color w:val="231F20"/>
          <w:spacing w:val="10"/>
        </w:rPr>
        <w:t> </w:t>
      </w:r>
      <w:r>
        <w:rPr>
          <w:color w:val="231F20"/>
        </w:rPr>
        <w:t>of</w:t>
      </w:r>
      <w:r>
        <w:rPr>
          <w:color w:val="231F20"/>
          <w:spacing w:val="10"/>
        </w:rPr>
        <w:t> </w:t>
      </w:r>
      <w:r>
        <w:rPr>
          <w:color w:val="231F20"/>
        </w:rPr>
        <w:t>destination</w:t>
      </w:r>
      <w:r>
        <w:rPr>
          <w:color w:val="231F20"/>
          <w:spacing w:val="10"/>
        </w:rPr>
        <w:t> </w:t>
      </w:r>
      <w:r>
        <w:rPr>
          <w:color w:val="231F20"/>
        </w:rPr>
        <w:t>of</w:t>
      </w:r>
      <w:r>
        <w:rPr>
          <w:color w:val="231F20"/>
          <w:spacing w:val="10"/>
        </w:rPr>
        <w:t> </w:t>
      </w:r>
      <w:r>
        <w:rPr>
          <w:color w:val="231F20"/>
        </w:rPr>
        <w:t>the</w:t>
      </w:r>
      <w:r>
        <w:rPr>
          <w:color w:val="231F20"/>
          <w:spacing w:val="10"/>
        </w:rPr>
        <w:t> </w:t>
      </w:r>
      <w:r>
        <w:rPr>
          <w:color w:val="231F20"/>
        </w:rPr>
        <w:t>same</w:t>
      </w:r>
      <w:r>
        <w:rPr>
          <w:color w:val="231F20"/>
          <w:spacing w:val="10"/>
        </w:rPr>
        <w:t> </w:t>
      </w:r>
      <w:r>
        <w:rPr>
          <w:color w:val="231F20"/>
          <w:spacing w:val="-2"/>
        </w:rPr>
        <w:t>goods</w:t>
      </w:r>
    </w:p>
    <w:p>
      <w:pPr>
        <w:pStyle w:val="BodyText"/>
        <w:spacing w:before="7"/>
        <w:rPr>
          <w:sz w:val="8"/>
        </w:rPr>
      </w:pPr>
      <w:r>
        <w:rPr/>
        <mc:AlternateContent>
          <mc:Choice Requires="wps">
            <w:drawing>
              <wp:anchor distT="0" distB="0" distL="0" distR="0" allowOverlap="1" layoutInCell="1" locked="0" behindDoc="1" simplePos="0" relativeHeight="487599616">
                <wp:simplePos x="0" y="0"/>
                <wp:positionH relativeFrom="page">
                  <wp:posOffset>900000</wp:posOffset>
                </wp:positionH>
                <wp:positionV relativeFrom="paragraph">
                  <wp:posOffset>84748</wp:posOffset>
                </wp:positionV>
                <wp:extent cx="792480" cy="1270"/>
                <wp:effectExtent l="0" t="0" r="0" b="0"/>
                <wp:wrapTopAndBottom/>
                <wp:docPr id="52" name="Graphic 52"/>
                <wp:cNvGraphicFramePr>
                  <a:graphicFrameLocks/>
                </wp:cNvGraphicFramePr>
                <a:graphic>
                  <a:graphicData uri="http://schemas.microsoft.com/office/word/2010/wordprocessingShape">
                    <wps:wsp>
                      <wps:cNvPr id="52" name="Graphic 52"/>
                      <wps:cNvSpPr/>
                      <wps:spPr>
                        <a:xfrm>
                          <a:off x="0" y="0"/>
                          <a:ext cx="792480" cy="1270"/>
                        </a:xfrm>
                        <a:custGeom>
                          <a:avLst/>
                          <a:gdLst/>
                          <a:ahLst/>
                          <a:cxnLst/>
                          <a:rect l="l" t="t" r="r" b="b"/>
                          <a:pathLst>
                            <a:path w="792480" h="0">
                              <a:moveTo>
                                <a:pt x="0" y="0"/>
                              </a:moveTo>
                              <a:lnTo>
                                <a:pt x="791997"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shape style="position:absolute;margin-left:70.866203pt;margin-top:6.67308pt;width:62.4pt;height:.1pt;mso-position-horizontal-relative:page;mso-position-vertical-relative:paragraph;z-index:-15716864;mso-wrap-distance-left:0;mso-wrap-distance-right:0" id="docshape43" coordorigin="1417,133" coordsize="1248,0" path="m1417,133l2665,133e" filled="false" stroked="true" strokeweight=".5pt" strokecolor="#231f20">
                <v:path arrowok="t"/>
                <v:stroke dashstyle="solid"/>
                <w10:wrap type="topAndBottom"/>
              </v:shape>
            </w:pict>
          </mc:Fallback>
        </mc:AlternateContent>
      </w:r>
    </w:p>
    <w:p>
      <w:pPr>
        <w:spacing w:line="225" w:lineRule="auto" w:before="201"/>
        <w:ind w:left="157" w:right="117" w:firstLine="0"/>
        <w:jc w:val="both"/>
        <w:rPr>
          <w:sz w:val="19"/>
        </w:rPr>
      </w:pPr>
      <w:r>
        <w:rPr>
          <w:color w:val="231F20"/>
          <w:position w:val="6"/>
          <w:sz w:val="11"/>
        </w:rPr>
        <w:t>33</w:t>
      </w:r>
      <w:r>
        <w:rPr>
          <w:color w:val="231F20"/>
          <w:spacing w:val="40"/>
          <w:position w:val="6"/>
          <w:sz w:val="11"/>
        </w:rPr>
        <w:t>  </w:t>
      </w:r>
      <w:r>
        <w:rPr>
          <w:color w:val="231F20"/>
          <w:sz w:val="19"/>
        </w:rPr>
        <w:t>The purpose of EU regulation 904/2010 is clearly stated in its art.1, par. 2: «To that end, it lays down rules and procedures to enable the competent authorities of the Member States to cooperate and exchange with each other any information that may help to effect a correct assessment</w:t>
      </w:r>
      <w:r>
        <w:rPr>
          <w:color w:val="231F20"/>
          <w:spacing w:val="-12"/>
          <w:sz w:val="19"/>
        </w:rPr>
        <w:t> </w:t>
      </w:r>
      <w:r>
        <w:rPr>
          <w:color w:val="231F20"/>
          <w:sz w:val="19"/>
        </w:rPr>
        <w:t>of</w:t>
      </w:r>
      <w:r>
        <w:rPr>
          <w:color w:val="231F20"/>
          <w:spacing w:val="-12"/>
          <w:sz w:val="19"/>
        </w:rPr>
        <w:t> </w:t>
      </w:r>
      <w:r>
        <w:rPr>
          <w:color w:val="231F20"/>
          <w:sz w:val="19"/>
        </w:rPr>
        <w:t>VAT,</w:t>
      </w:r>
      <w:r>
        <w:rPr>
          <w:color w:val="231F20"/>
          <w:spacing w:val="-12"/>
          <w:sz w:val="19"/>
        </w:rPr>
        <w:t> </w:t>
      </w:r>
      <w:r>
        <w:rPr>
          <w:color w:val="231F20"/>
          <w:sz w:val="19"/>
        </w:rPr>
        <w:t>monitor</w:t>
      </w:r>
      <w:r>
        <w:rPr>
          <w:color w:val="231F20"/>
          <w:spacing w:val="-12"/>
          <w:sz w:val="19"/>
        </w:rPr>
        <w:t> </w:t>
      </w:r>
      <w:r>
        <w:rPr>
          <w:color w:val="231F20"/>
          <w:sz w:val="19"/>
        </w:rPr>
        <w:t>the</w:t>
      </w:r>
      <w:r>
        <w:rPr>
          <w:color w:val="231F20"/>
          <w:spacing w:val="-12"/>
          <w:sz w:val="19"/>
        </w:rPr>
        <w:t> </w:t>
      </w:r>
      <w:r>
        <w:rPr>
          <w:color w:val="231F20"/>
          <w:sz w:val="19"/>
        </w:rPr>
        <w:t>correct</w:t>
      </w:r>
      <w:r>
        <w:rPr>
          <w:color w:val="231F20"/>
          <w:spacing w:val="-12"/>
          <w:sz w:val="19"/>
        </w:rPr>
        <w:t> </w:t>
      </w:r>
      <w:r>
        <w:rPr>
          <w:color w:val="231F20"/>
          <w:sz w:val="19"/>
        </w:rPr>
        <w:t>application</w:t>
      </w:r>
      <w:r>
        <w:rPr>
          <w:color w:val="231F20"/>
          <w:spacing w:val="-12"/>
          <w:sz w:val="19"/>
        </w:rPr>
        <w:t> </w:t>
      </w:r>
      <w:r>
        <w:rPr>
          <w:color w:val="231F20"/>
          <w:sz w:val="19"/>
        </w:rPr>
        <w:t>of</w:t>
      </w:r>
      <w:r>
        <w:rPr>
          <w:color w:val="231F20"/>
          <w:spacing w:val="-11"/>
          <w:sz w:val="19"/>
        </w:rPr>
        <w:t> </w:t>
      </w:r>
      <w:r>
        <w:rPr>
          <w:color w:val="231F20"/>
          <w:sz w:val="19"/>
        </w:rPr>
        <w:t>VAT,</w:t>
      </w:r>
      <w:r>
        <w:rPr>
          <w:color w:val="231F20"/>
          <w:spacing w:val="-12"/>
          <w:sz w:val="19"/>
        </w:rPr>
        <w:t> </w:t>
      </w:r>
      <w:r>
        <w:rPr>
          <w:color w:val="231F20"/>
          <w:sz w:val="19"/>
        </w:rPr>
        <w:t>particularly</w:t>
      </w:r>
      <w:r>
        <w:rPr>
          <w:color w:val="231F20"/>
          <w:spacing w:val="6"/>
          <w:sz w:val="19"/>
        </w:rPr>
        <w:t> </w:t>
      </w:r>
      <w:r>
        <w:rPr>
          <w:color w:val="231F20"/>
          <w:sz w:val="19"/>
        </w:rPr>
        <w:t>on</w:t>
      </w:r>
      <w:r>
        <w:rPr>
          <w:color w:val="231F20"/>
          <w:spacing w:val="-12"/>
          <w:sz w:val="19"/>
        </w:rPr>
        <w:t> </w:t>
      </w:r>
      <w:r>
        <w:rPr>
          <w:color w:val="231F20"/>
          <w:sz w:val="19"/>
        </w:rPr>
        <w:t>intra-Community transactions, and to combat VAT fraud».</w:t>
      </w:r>
    </w:p>
    <w:p>
      <w:pPr>
        <w:spacing w:line="229" w:lineRule="exact" w:before="0"/>
        <w:ind w:left="157" w:right="0" w:firstLine="0"/>
        <w:jc w:val="both"/>
        <w:rPr>
          <w:i/>
          <w:sz w:val="19"/>
        </w:rPr>
      </w:pPr>
      <w:r>
        <w:rPr>
          <w:color w:val="231F20"/>
          <w:spacing w:val="-2"/>
          <w:position w:val="6"/>
          <w:sz w:val="11"/>
        </w:rPr>
        <w:t>34</w:t>
      </w:r>
      <w:r>
        <w:rPr>
          <w:color w:val="231F20"/>
          <w:spacing w:val="55"/>
          <w:position w:val="6"/>
          <w:sz w:val="11"/>
        </w:rPr>
        <w:t>  </w:t>
      </w:r>
      <w:r>
        <w:rPr>
          <w:color w:val="231F20"/>
          <w:spacing w:val="-2"/>
          <w:sz w:val="19"/>
        </w:rPr>
        <w:t>ECJ,</w:t>
      </w:r>
      <w:r>
        <w:rPr>
          <w:color w:val="231F20"/>
          <w:spacing w:val="-14"/>
          <w:sz w:val="19"/>
        </w:rPr>
        <w:t> </w:t>
      </w:r>
      <w:r>
        <w:rPr>
          <w:color w:val="231F20"/>
          <w:spacing w:val="-2"/>
          <w:sz w:val="19"/>
        </w:rPr>
        <w:t>17</w:t>
      </w:r>
      <w:r>
        <w:rPr>
          <w:color w:val="231F20"/>
          <w:spacing w:val="-15"/>
          <w:sz w:val="19"/>
        </w:rPr>
        <w:t> </w:t>
      </w:r>
      <w:r>
        <w:rPr>
          <w:color w:val="231F20"/>
          <w:spacing w:val="-2"/>
          <w:sz w:val="19"/>
        </w:rPr>
        <w:t>december</w:t>
      </w:r>
      <w:r>
        <w:rPr>
          <w:color w:val="231F20"/>
          <w:spacing w:val="-15"/>
          <w:sz w:val="19"/>
        </w:rPr>
        <w:t> </w:t>
      </w:r>
      <w:r>
        <w:rPr>
          <w:color w:val="231F20"/>
          <w:spacing w:val="-2"/>
          <w:sz w:val="19"/>
        </w:rPr>
        <w:t>2015,</w:t>
      </w:r>
      <w:r>
        <w:rPr>
          <w:color w:val="231F20"/>
          <w:spacing w:val="-15"/>
          <w:sz w:val="19"/>
        </w:rPr>
        <w:t> </w:t>
      </w:r>
      <w:r>
        <w:rPr>
          <w:color w:val="231F20"/>
          <w:spacing w:val="-2"/>
          <w:sz w:val="19"/>
        </w:rPr>
        <w:t>case</w:t>
      </w:r>
      <w:r>
        <w:rPr>
          <w:color w:val="231F20"/>
          <w:spacing w:val="-15"/>
          <w:sz w:val="19"/>
        </w:rPr>
        <w:t> </w:t>
      </w:r>
      <w:r>
        <w:rPr>
          <w:color w:val="231F20"/>
          <w:spacing w:val="-2"/>
          <w:sz w:val="19"/>
        </w:rPr>
        <w:t>C-419/14,</w:t>
      </w:r>
      <w:r>
        <w:rPr>
          <w:color w:val="231F20"/>
          <w:spacing w:val="-15"/>
          <w:sz w:val="19"/>
        </w:rPr>
        <w:t> </w:t>
      </w:r>
      <w:r>
        <w:rPr>
          <w:i/>
          <w:color w:val="231F20"/>
          <w:spacing w:val="-2"/>
          <w:sz w:val="19"/>
        </w:rPr>
        <w:t>WebMind</w:t>
      </w:r>
      <w:r>
        <w:rPr>
          <w:i/>
          <w:color w:val="231F20"/>
          <w:spacing w:val="-15"/>
          <w:sz w:val="19"/>
        </w:rPr>
        <w:t> </w:t>
      </w:r>
      <w:r>
        <w:rPr>
          <w:i/>
          <w:color w:val="231F20"/>
          <w:spacing w:val="-2"/>
          <w:sz w:val="19"/>
        </w:rPr>
        <w:t>Licenses</w:t>
      </w:r>
      <w:r>
        <w:rPr>
          <w:i/>
          <w:color w:val="231F20"/>
          <w:spacing w:val="-15"/>
          <w:sz w:val="19"/>
        </w:rPr>
        <w:t> </w:t>
      </w:r>
      <w:r>
        <w:rPr>
          <w:i/>
          <w:color w:val="231F20"/>
          <w:spacing w:val="-2"/>
          <w:sz w:val="19"/>
        </w:rPr>
        <w:t>v.</w:t>
      </w:r>
      <w:r>
        <w:rPr>
          <w:i/>
          <w:color w:val="231F20"/>
          <w:spacing w:val="-25"/>
          <w:sz w:val="19"/>
        </w:rPr>
        <w:t> </w:t>
      </w:r>
      <w:r>
        <w:rPr>
          <w:i/>
          <w:color w:val="231F20"/>
          <w:spacing w:val="-2"/>
          <w:sz w:val="19"/>
        </w:rPr>
        <w:t>Tax</w:t>
      </w:r>
      <w:r>
        <w:rPr>
          <w:i/>
          <w:color w:val="231F20"/>
          <w:spacing w:val="-15"/>
          <w:sz w:val="19"/>
        </w:rPr>
        <w:t> </w:t>
      </w:r>
      <w:r>
        <w:rPr>
          <w:i/>
          <w:color w:val="231F20"/>
          <w:spacing w:val="-2"/>
          <w:sz w:val="19"/>
        </w:rPr>
        <w:t>and</w:t>
      </w:r>
      <w:r>
        <w:rPr>
          <w:i/>
          <w:color w:val="231F20"/>
          <w:spacing w:val="-15"/>
          <w:sz w:val="19"/>
        </w:rPr>
        <w:t> </w:t>
      </w:r>
      <w:r>
        <w:rPr>
          <w:i/>
          <w:color w:val="231F20"/>
          <w:spacing w:val="-2"/>
          <w:sz w:val="19"/>
        </w:rPr>
        <w:t>customs</w:t>
      </w:r>
      <w:r>
        <w:rPr>
          <w:i/>
          <w:color w:val="231F20"/>
          <w:spacing w:val="-15"/>
          <w:sz w:val="19"/>
        </w:rPr>
        <w:t> </w:t>
      </w:r>
      <w:r>
        <w:rPr>
          <w:i/>
          <w:color w:val="231F20"/>
          <w:spacing w:val="-2"/>
          <w:sz w:val="19"/>
        </w:rPr>
        <w:t>administration.</w:t>
      </w:r>
    </w:p>
    <w:p>
      <w:pPr>
        <w:spacing w:line="225" w:lineRule="auto" w:before="3"/>
        <w:ind w:left="157" w:right="119" w:firstLine="0"/>
        <w:jc w:val="both"/>
        <w:rPr>
          <w:sz w:val="19"/>
        </w:rPr>
      </w:pPr>
      <w:r>
        <w:rPr>
          <w:color w:val="231F20"/>
          <w:position w:val="6"/>
          <w:sz w:val="11"/>
        </w:rPr>
        <w:t>35</w:t>
      </w:r>
      <w:r>
        <w:rPr>
          <w:color w:val="231F20"/>
          <w:spacing w:val="80"/>
          <w:position w:val="6"/>
          <w:sz w:val="11"/>
        </w:rPr>
        <w:t> </w:t>
      </w:r>
      <w:r>
        <w:rPr>
          <w:color w:val="231F20"/>
          <w:sz w:val="19"/>
        </w:rPr>
        <w:t>According</w:t>
      </w:r>
      <w:r>
        <w:rPr>
          <w:color w:val="231F20"/>
          <w:spacing w:val="-7"/>
          <w:sz w:val="19"/>
        </w:rPr>
        <w:t> </w:t>
      </w:r>
      <w:r>
        <w:rPr>
          <w:color w:val="231F20"/>
          <w:sz w:val="19"/>
        </w:rPr>
        <w:t>to</w:t>
      </w:r>
      <w:r>
        <w:rPr>
          <w:color w:val="231F20"/>
          <w:spacing w:val="-7"/>
          <w:sz w:val="19"/>
        </w:rPr>
        <w:t> </w:t>
      </w:r>
      <w:r>
        <w:rPr>
          <w:color w:val="231F20"/>
          <w:sz w:val="19"/>
        </w:rPr>
        <w:t>the</w:t>
      </w:r>
      <w:r>
        <w:rPr>
          <w:color w:val="231F20"/>
          <w:spacing w:val="-7"/>
          <w:sz w:val="19"/>
        </w:rPr>
        <w:t> </w:t>
      </w:r>
      <w:r>
        <w:rPr>
          <w:color w:val="231F20"/>
          <w:sz w:val="19"/>
        </w:rPr>
        <w:t>explanation</w:t>
      </w:r>
      <w:r>
        <w:rPr>
          <w:color w:val="231F20"/>
          <w:spacing w:val="-7"/>
          <w:sz w:val="19"/>
        </w:rPr>
        <w:t> </w:t>
      </w:r>
      <w:r>
        <w:rPr>
          <w:color w:val="231F20"/>
          <w:sz w:val="19"/>
        </w:rPr>
        <w:t>provided</w:t>
      </w:r>
      <w:r>
        <w:rPr>
          <w:color w:val="231F20"/>
          <w:spacing w:val="-7"/>
          <w:sz w:val="19"/>
        </w:rPr>
        <w:t> </w:t>
      </w:r>
      <w:r>
        <w:rPr>
          <w:color w:val="231F20"/>
          <w:sz w:val="19"/>
        </w:rPr>
        <w:t>by</w:t>
      </w:r>
      <w:r>
        <w:rPr>
          <w:color w:val="231F20"/>
          <w:spacing w:val="-7"/>
          <w:sz w:val="19"/>
        </w:rPr>
        <w:t> </w:t>
      </w:r>
      <w:r>
        <w:rPr>
          <w:color w:val="231F20"/>
          <w:sz w:val="19"/>
        </w:rPr>
        <w:t>ground</w:t>
      </w:r>
      <w:r>
        <w:rPr>
          <w:color w:val="231F20"/>
          <w:spacing w:val="-7"/>
          <w:sz w:val="19"/>
        </w:rPr>
        <w:t> </w:t>
      </w:r>
      <w:r>
        <w:rPr>
          <w:color w:val="231F20"/>
          <w:sz w:val="19"/>
        </w:rPr>
        <w:t>7</w:t>
      </w:r>
      <w:r>
        <w:rPr>
          <w:color w:val="231F20"/>
          <w:spacing w:val="-7"/>
          <w:sz w:val="19"/>
        </w:rPr>
        <w:t> </w:t>
      </w:r>
      <w:r>
        <w:rPr>
          <w:color w:val="231F20"/>
          <w:sz w:val="19"/>
        </w:rPr>
        <w:t>of</w:t>
      </w:r>
      <w:r>
        <w:rPr>
          <w:color w:val="231F20"/>
          <w:spacing w:val="-7"/>
          <w:sz w:val="19"/>
        </w:rPr>
        <w:t> </w:t>
      </w:r>
      <w:r>
        <w:rPr>
          <w:color w:val="231F20"/>
          <w:sz w:val="19"/>
        </w:rPr>
        <w:t>EU</w:t>
      </w:r>
      <w:r>
        <w:rPr>
          <w:color w:val="231F20"/>
          <w:spacing w:val="-7"/>
          <w:sz w:val="19"/>
        </w:rPr>
        <w:t> </w:t>
      </w:r>
      <w:r>
        <w:rPr>
          <w:color w:val="231F20"/>
          <w:sz w:val="19"/>
        </w:rPr>
        <w:t>regulation</w:t>
      </w:r>
      <w:r>
        <w:rPr>
          <w:color w:val="231F20"/>
          <w:spacing w:val="-7"/>
          <w:sz w:val="19"/>
        </w:rPr>
        <w:t> </w:t>
      </w:r>
      <w:r>
        <w:rPr>
          <w:color w:val="231F20"/>
          <w:sz w:val="19"/>
        </w:rPr>
        <w:t>904/2010:</w:t>
      </w:r>
      <w:r>
        <w:rPr>
          <w:color w:val="231F20"/>
          <w:spacing w:val="-7"/>
          <w:sz w:val="19"/>
        </w:rPr>
        <w:t> </w:t>
      </w:r>
      <w:r>
        <w:rPr>
          <w:color w:val="231F20"/>
          <w:sz w:val="19"/>
        </w:rPr>
        <w:t>«Member States</w:t>
      </w:r>
      <w:r>
        <w:rPr>
          <w:color w:val="231F20"/>
          <w:spacing w:val="-6"/>
          <w:sz w:val="19"/>
        </w:rPr>
        <w:t> </w:t>
      </w:r>
      <w:r>
        <w:rPr>
          <w:color w:val="231F20"/>
          <w:sz w:val="19"/>
        </w:rPr>
        <w:t>should</w:t>
      </w:r>
      <w:r>
        <w:rPr>
          <w:color w:val="231F20"/>
          <w:spacing w:val="-6"/>
          <w:sz w:val="19"/>
        </w:rPr>
        <w:t> </w:t>
      </w:r>
      <w:r>
        <w:rPr>
          <w:color w:val="231F20"/>
          <w:sz w:val="19"/>
        </w:rPr>
        <w:t>cooperate</w:t>
      </w:r>
      <w:r>
        <w:rPr>
          <w:color w:val="231F20"/>
          <w:spacing w:val="-6"/>
          <w:sz w:val="19"/>
        </w:rPr>
        <w:t> </w:t>
      </w:r>
      <w:r>
        <w:rPr>
          <w:color w:val="231F20"/>
          <w:sz w:val="19"/>
        </w:rPr>
        <w:t>to</w:t>
      </w:r>
      <w:r>
        <w:rPr>
          <w:color w:val="231F20"/>
          <w:spacing w:val="-6"/>
          <w:sz w:val="19"/>
        </w:rPr>
        <w:t> </w:t>
      </w:r>
      <w:r>
        <w:rPr>
          <w:color w:val="231F20"/>
          <w:sz w:val="19"/>
        </w:rPr>
        <w:t>help</w:t>
      </w:r>
      <w:r>
        <w:rPr>
          <w:color w:val="231F20"/>
          <w:spacing w:val="-6"/>
          <w:sz w:val="19"/>
        </w:rPr>
        <w:t> </w:t>
      </w:r>
      <w:r>
        <w:rPr>
          <w:color w:val="231F20"/>
          <w:sz w:val="19"/>
        </w:rPr>
        <w:t>ensure</w:t>
      </w:r>
      <w:r>
        <w:rPr>
          <w:color w:val="231F20"/>
          <w:spacing w:val="-6"/>
          <w:sz w:val="19"/>
        </w:rPr>
        <w:t> </w:t>
      </w:r>
      <w:r>
        <w:rPr>
          <w:color w:val="231F20"/>
          <w:sz w:val="19"/>
        </w:rPr>
        <w:t>that</w:t>
      </w:r>
      <w:r>
        <w:rPr>
          <w:color w:val="231F20"/>
          <w:spacing w:val="-8"/>
          <w:sz w:val="19"/>
        </w:rPr>
        <w:t> </w:t>
      </w:r>
      <w:r>
        <w:rPr>
          <w:color w:val="231F20"/>
          <w:sz w:val="19"/>
        </w:rPr>
        <w:t>VAT</w:t>
      </w:r>
      <w:r>
        <w:rPr>
          <w:color w:val="231F20"/>
          <w:spacing w:val="-6"/>
          <w:sz w:val="19"/>
        </w:rPr>
        <w:t> </w:t>
      </w:r>
      <w:r>
        <w:rPr>
          <w:color w:val="231F20"/>
          <w:sz w:val="19"/>
        </w:rPr>
        <w:t>is</w:t>
      </w:r>
      <w:r>
        <w:rPr>
          <w:color w:val="231F20"/>
          <w:spacing w:val="-6"/>
          <w:sz w:val="19"/>
        </w:rPr>
        <w:t> </w:t>
      </w:r>
      <w:r>
        <w:rPr>
          <w:color w:val="231F20"/>
          <w:sz w:val="19"/>
        </w:rPr>
        <w:t>correctly</w:t>
      </w:r>
      <w:r>
        <w:rPr>
          <w:color w:val="231F20"/>
          <w:spacing w:val="-6"/>
          <w:sz w:val="19"/>
        </w:rPr>
        <w:t> </w:t>
      </w:r>
      <w:r>
        <w:rPr>
          <w:color w:val="231F20"/>
          <w:sz w:val="19"/>
        </w:rPr>
        <w:t>assessed»,</w:t>
      </w:r>
      <w:r>
        <w:rPr>
          <w:color w:val="231F20"/>
          <w:spacing w:val="-6"/>
          <w:sz w:val="19"/>
        </w:rPr>
        <w:t> </w:t>
      </w:r>
      <w:r>
        <w:rPr>
          <w:color w:val="231F20"/>
          <w:sz w:val="19"/>
        </w:rPr>
        <w:t>as</w:t>
      </w:r>
      <w:r>
        <w:rPr>
          <w:color w:val="231F20"/>
          <w:spacing w:val="-6"/>
          <w:sz w:val="19"/>
        </w:rPr>
        <w:t> </w:t>
      </w:r>
      <w:r>
        <w:rPr>
          <w:color w:val="231F20"/>
          <w:sz w:val="19"/>
        </w:rPr>
        <w:t>well</w:t>
      </w:r>
      <w:r>
        <w:rPr>
          <w:color w:val="231F20"/>
          <w:spacing w:val="-6"/>
          <w:sz w:val="19"/>
        </w:rPr>
        <w:t> </w:t>
      </w:r>
      <w:r>
        <w:rPr>
          <w:color w:val="231F20"/>
          <w:sz w:val="19"/>
        </w:rPr>
        <w:t>as</w:t>
      </w:r>
      <w:r>
        <w:rPr>
          <w:color w:val="231F20"/>
          <w:spacing w:val="-6"/>
          <w:sz w:val="19"/>
        </w:rPr>
        <w:t> </w:t>
      </w:r>
      <w:r>
        <w:rPr>
          <w:color w:val="231F20"/>
          <w:sz w:val="19"/>
        </w:rPr>
        <w:t>«(should)</w:t>
      </w:r>
      <w:r>
        <w:rPr>
          <w:color w:val="231F20"/>
          <w:spacing w:val="-6"/>
          <w:sz w:val="19"/>
        </w:rPr>
        <w:t> </w:t>
      </w:r>
      <w:r>
        <w:rPr>
          <w:color w:val="231F20"/>
          <w:sz w:val="19"/>
        </w:rPr>
        <w:t>also provide</w:t>
      </w:r>
      <w:r>
        <w:rPr>
          <w:color w:val="231F20"/>
          <w:spacing w:val="-11"/>
          <w:sz w:val="19"/>
        </w:rPr>
        <w:t> </w:t>
      </w:r>
      <w:r>
        <w:rPr>
          <w:color w:val="231F20"/>
          <w:sz w:val="19"/>
        </w:rPr>
        <w:t>assistance</w:t>
      </w:r>
      <w:r>
        <w:rPr>
          <w:color w:val="231F20"/>
          <w:spacing w:val="-11"/>
          <w:sz w:val="19"/>
        </w:rPr>
        <w:t> </w:t>
      </w:r>
      <w:r>
        <w:rPr>
          <w:color w:val="231F20"/>
          <w:sz w:val="19"/>
        </w:rPr>
        <w:t>to</w:t>
      </w:r>
      <w:r>
        <w:rPr>
          <w:color w:val="231F20"/>
          <w:spacing w:val="-11"/>
          <w:sz w:val="19"/>
        </w:rPr>
        <w:t> </w:t>
      </w:r>
      <w:r>
        <w:rPr>
          <w:color w:val="231F20"/>
          <w:sz w:val="19"/>
        </w:rPr>
        <w:t>other</w:t>
      </w:r>
      <w:r>
        <w:rPr>
          <w:color w:val="231F20"/>
          <w:spacing w:val="-11"/>
          <w:sz w:val="19"/>
        </w:rPr>
        <w:t> </w:t>
      </w:r>
      <w:r>
        <w:rPr>
          <w:color w:val="231F20"/>
          <w:sz w:val="19"/>
        </w:rPr>
        <w:t>Member</w:t>
      </w:r>
      <w:r>
        <w:rPr>
          <w:color w:val="231F20"/>
          <w:spacing w:val="-11"/>
          <w:sz w:val="19"/>
        </w:rPr>
        <w:t> </w:t>
      </w:r>
      <w:r>
        <w:rPr>
          <w:color w:val="231F20"/>
          <w:sz w:val="19"/>
        </w:rPr>
        <w:t>States</w:t>
      </w:r>
      <w:r>
        <w:rPr>
          <w:color w:val="231F20"/>
          <w:spacing w:val="-11"/>
          <w:sz w:val="19"/>
        </w:rPr>
        <w:t> </w:t>
      </w:r>
      <w:r>
        <w:rPr>
          <w:color w:val="231F20"/>
          <w:sz w:val="19"/>
        </w:rPr>
        <w:t>for</w:t>
      </w:r>
      <w:r>
        <w:rPr>
          <w:color w:val="231F20"/>
          <w:spacing w:val="-11"/>
          <w:sz w:val="19"/>
        </w:rPr>
        <w:t> </w:t>
      </w:r>
      <w:r>
        <w:rPr>
          <w:color w:val="231F20"/>
          <w:sz w:val="19"/>
        </w:rPr>
        <w:t>ensuring</w:t>
      </w:r>
      <w:r>
        <w:rPr>
          <w:color w:val="231F20"/>
          <w:spacing w:val="-11"/>
          <w:sz w:val="19"/>
        </w:rPr>
        <w:t> </w:t>
      </w:r>
      <w:r>
        <w:rPr>
          <w:color w:val="231F20"/>
          <w:sz w:val="19"/>
        </w:rPr>
        <w:t>the</w:t>
      </w:r>
      <w:r>
        <w:rPr>
          <w:color w:val="231F20"/>
          <w:spacing w:val="-11"/>
          <w:sz w:val="19"/>
        </w:rPr>
        <w:t> </w:t>
      </w:r>
      <w:r>
        <w:rPr>
          <w:color w:val="231F20"/>
          <w:sz w:val="19"/>
        </w:rPr>
        <w:t>correct</w:t>
      </w:r>
      <w:r>
        <w:rPr>
          <w:color w:val="231F20"/>
          <w:spacing w:val="-11"/>
          <w:sz w:val="19"/>
        </w:rPr>
        <w:t> </w:t>
      </w:r>
      <w:r>
        <w:rPr>
          <w:color w:val="231F20"/>
          <w:sz w:val="19"/>
        </w:rPr>
        <w:t>application</w:t>
      </w:r>
      <w:r>
        <w:rPr>
          <w:color w:val="231F20"/>
          <w:spacing w:val="-11"/>
          <w:sz w:val="19"/>
        </w:rPr>
        <w:t> </w:t>
      </w:r>
      <w:r>
        <w:rPr>
          <w:color w:val="231F20"/>
          <w:sz w:val="19"/>
        </w:rPr>
        <w:t>of</w:t>
      </w:r>
      <w:r>
        <w:rPr>
          <w:color w:val="231F20"/>
          <w:spacing w:val="-11"/>
          <w:sz w:val="19"/>
        </w:rPr>
        <w:t> </w:t>
      </w:r>
      <w:r>
        <w:rPr>
          <w:color w:val="231F20"/>
          <w:sz w:val="19"/>
        </w:rPr>
        <w:t>tax</w:t>
      </w:r>
      <w:r>
        <w:rPr>
          <w:color w:val="231F20"/>
          <w:spacing w:val="-11"/>
          <w:sz w:val="19"/>
        </w:rPr>
        <w:t> </w:t>
      </w:r>
      <w:r>
        <w:rPr>
          <w:color w:val="231F20"/>
          <w:sz w:val="19"/>
        </w:rPr>
        <w:t>relating</w:t>
      </w:r>
      <w:r>
        <w:rPr>
          <w:color w:val="231F20"/>
          <w:spacing w:val="-11"/>
          <w:sz w:val="19"/>
        </w:rPr>
        <w:t> </w:t>
      </w:r>
      <w:r>
        <w:rPr>
          <w:color w:val="231F20"/>
          <w:sz w:val="19"/>
        </w:rPr>
        <w:t>to activity carried out on their territory but owed in another Member State».</w:t>
      </w:r>
    </w:p>
    <w:p>
      <w:pPr>
        <w:spacing w:line="235" w:lineRule="exact" w:before="0"/>
        <w:ind w:left="157" w:right="0" w:firstLine="0"/>
        <w:jc w:val="both"/>
        <w:rPr>
          <w:i/>
          <w:sz w:val="19"/>
        </w:rPr>
      </w:pPr>
      <w:r>
        <w:rPr>
          <w:color w:val="231F20"/>
          <w:position w:val="6"/>
          <w:sz w:val="11"/>
        </w:rPr>
        <w:t>36</w:t>
      </w:r>
      <w:r>
        <w:rPr>
          <w:color w:val="231F20"/>
          <w:spacing w:val="49"/>
          <w:position w:val="6"/>
          <w:sz w:val="11"/>
        </w:rPr>
        <w:t>  </w:t>
      </w:r>
      <w:r>
        <w:rPr>
          <w:color w:val="231F20"/>
          <w:sz w:val="19"/>
        </w:rPr>
        <w:t>ECJ,</w:t>
      </w:r>
      <w:r>
        <w:rPr>
          <w:color w:val="231F20"/>
          <w:spacing w:val="-2"/>
          <w:sz w:val="19"/>
        </w:rPr>
        <w:t> </w:t>
      </w:r>
      <w:r>
        <w:rPr>
          <w:color w:val="231F20"/>
          <w:sz w:val="19"/>
        </w:rPr>
        <w:t>20</w:t>
      </w:r>
      <w:r>
        <w:rPr>
          <w:color w:val="231F20"/>
          <w:spacing w:val="-2"/>
          <w:sz w:val="19"/>
        </w:rPr>
        <w:t> </w:t>
      </w:r>
      <w:r>
        <w:rPr>
          <w:color w:val="231F20"/>
          <w:sz w:val="19"/>
        </w:rPr>
        <w:t>June</w:t>
      </w:r>
      <w:r>
        <w:rPr>
          <w:color w:val="231F20"/>
          <w:spacing w:val="-2"/>
          <w:sz w:val="19"/>
        </w:rPr>
        <w:t> </w:t>
      </w:r>
      <w:r>
        <w:rPr>
          <w:color w:val="231F20"/>
          <w:sz w:val="19"/>
        </w:rPr>
        <w:t>2018,</w:t>
      </w:r>
      <w:r>
        <w:rPr>
          <w:color w:val="231F20"/>
          <w:spacing w:val="-3"/>
          <w:sz w:val="19"/>
        </w:rPr>
        <w:t> </w:t>
      </w:r>
      <w:r>
        <w:rPr>
          <w:color w:val="231F20"/>
          <w:sz w:val="19"/>
        </w:rPr>
        <w:t>case</w:t>
      </w:r>
      <w:r>
        <w:rPr>
          <w:color w:val="231F20"/>
          <w:spacing w:val="-2"/>
          <w:sz w:val="19"/>
        </w:rPr>
        <w:t> </w:t>
      </w:r>
      <w:r>
        <w:rPr>
          <w:color w:val="231F20"/>
          <w:sz w:val="19"/>
        </w:rPr>
        <w:t>C-108/17,</w:t>
      </w:r>
      <w:r>
        <w:rPr>
          <w:color w:val="231F20"/>
          <w:spacing w:val="-3"/>
          <w:sz w:val="19"/>
        </w:rPr>
        <w:t> </w:t>
      </w:r>
      <w:r>
        <w:rPr>
          <w:i/>
          <w:color w:val="231F20"/>
          <w:sz w:val="19"/>
        </w:rPr>
        <w:t>Enteco</w:t>
      </w:r>
      <w:r>
        <w:rPr>
          <w:i/>
          <w:color w:val="231F20"/>
          <w:spacing w:val="-2"/>
          <w:sz w:val="19"/>
        </w:rPr>
        <w:t> </w:t>
      </w:r>
      <w:r>
        <w:rPr>
          <w:i/>
          <w:color w:val="231F20"/>
          <w:sz w:val="19"/>
        </w:rPr>
        <w:t>Baltic</w:t>
      </w:r>
      <w:r>
        <w:rPr>
          <w:i/>
          <w:color w:val="231F20"/>
          <w:spacing w:val="-2"/>
          <w:sz w:val="19"/>
        </w:rPr>
        <w:t> </w:t>
      </w:r>
      <w:r>
        <w:rPr>
          <w:i/>
          <w:color w:val="231F20"/>
          <w:sz w:val="19"/>
        </w:rPr>
        <w:t>v.</w:t>
      </w:r>
      <w:r>
        <w:rPr>
          <w:i/>
          <w:color w:val="231F20"/>
          <w:spacing w:val="-3"/>
          <w:sz w:val="19"/>
        </w:rPr>
        <w:t> </w:t>
      </w:r>
      <w:r>
        <w:rPr>
          <w:i/>
          <w:color w:val="231F20"/>
          <w:sz w:val="19"/>
        </w:rPr>
        <w:t>Customs</w:t>
      </w:r>
      <w:r>
        <w:rPr>
          <w:i/>
          <w:color w:val="231F20"/>
          <w:spacing w:val="-2"/>
          <w:sz w:val="19"/>
        </w:rPr>
        <w:t> </w:t>
      </w:r>
      <w:r>
        <w:rPr>
          <w:i/>
          <w:color w:val="231F20"/>
          <w:sz w:val="19"/>
        </w:rPr>
        <w:t>Administration</w:t>
      </w:r>
      <w:r>
        <w:rPr>
          <w:i/>
          <w:color w:val="231F20"/>
          <w:spacing w:val="-3"/>
          <w:sz w:val="19"/>
        </w:rPr>
        <w:t> </w:t>
      </w:r>
      <w:r>
        <w:rPr>
          <w:i/>
          <w:color w:val="231F20"/>
          <w:sz w:val="19"/>
        </w:rPr>
        <w:t>of</w:t>
      </w:r>
      <w:r>
        <w:rPr>
          <w:i/>
          <w:color w:val="231F20"/>
          <w:spacing w:val="-2"/>
          <w:sz w:val="19"/>
        </w:rPr>
        <w:t> Lithuania.</w:t>
      </w:r>
    </w:p>
    <w:p>
      <w:pPr>
        <w:spacing w:after="0" w:line="235" w:lineRule="exact"/>
        <w:jc w:val="both"/>
        <w:rPr>
          <w:sz w:val="19"/>
        </w:rPr>
        <w:sectPr>
          <w:pgSz w:w="9640" w:h="13610"/>
          <w:pgMar w:header="0" w:footer="625" w:top="1260" w:bottom="820" w:left="1260" w:right="1240"/>
        </w:sectPr>
      </w:pPr>
    </w:p>
    <w:p>
      <w:pPr>
        <w:pStyle w:val="BodyText"/>
        <w:spacing w:line="225" w:lineRule="auto" w:before="117"/>
        <w:ind w:left="100" w:right="174"/>
        <w:jc w:val="both"/>
      </w:pPr>
      <w:r>
        <w:rPr>
          <w:color w:val="231F20"/>
        </w:rPr>
        <w:t>to</w:t>
      </w:r>
      <w:r>
        <w:rPr>
          <w:color w:val="231F20"/>
          <w:spacing w:val="-11"/>
        </w:rPr>
        <w:t> </w:t>
      </w:r>
      <w:r>
        <w:rPr>
          <w:color w:val="231F20"/>
        </w:rPr>
        <w:t>verify</w:t>
      </w:r>
      <w:r>
        <w:rPr>
          <w:color w:val="231F20"/>
          <w:spacing w:val="-11"/>
        </w:rPr>
        <w:t> </w:t>
      </w:r>
      <w:r>
        <w:rPr>
          <w:color w:val="231F20"/>
        </w:rPr>
        <w:t>the</w:t>
      </w:r>
      <w:r>
        <w:rPr>
          <w:color w:val="231F20"/>
          <w:spacing w:val="-11"/>
        </w:rPr>
        <w:t> </w:t>
      </w:r>
      <w:r>
        <w:rPr>
          <w:color w:val="231F20"/>
        </w:rPr>
        <w:t>importer’s</w:t>
      </w:r>
      <w:r>
        <w:rPr>
          <w:color w:val="231F20"/>
          <w:spacing w:val="-11"/>
        </w:rPr>
        <w:t> </w:t>
      </w:r>
      <w:r>
        <w:rPr>
          <w:color w:val="231F20"/>
        </w:rPr>
        <w:t>right</w:t>
      </w:r>
      <w:r>
        <w:rPr>
          <w:color w:val="231F20"/>
          <w:spacing w:val="-11"/>
        </w:rPr>
        <w:t> </w:t>
      </w:r>
      <w:r>
        <w:rPr>
          <w:color w:val="231F20"/>
        </w:rPr>
        <w:t>to</w:t>
      </w:r>
      <w:r>
        <w:rPr>
          <w:color w:val="231F20"/>
          <w:spacing w:val="-15"/>
        </w:rPr>
        <w:t> </w:t>
      </w:r>
      <w:r>
        <w:rPr>
          <w:color w:val="231F20"/>
        </w:rPr>
        <w:t>VAT</w:t>
      </w:r>
      <w:r>
        <w:rPr>
          <w:color w:val="231F20"/>
          <w:spacing w:val="-11"/>
        </w:rPr>
        <w:t> </w:t>
      </w:r>
      <w:r>
        <w:rPr>
          <w:color w:val="231F20"/>
        </w:rPr>
        <w:t>exemption.</w:t>
      </w:r>
      <w:r>
        <w:rPr>
          <w:color w:val="231F20"/>
          <w:spacing w:val="-11"/>
        </w:rPr>
        <w:t> </w:t>
      </w:r>
      <w:r>
        <w:rPr>
          <w:color w:val="231F20"/>
        </w:rPr>
        <w:t>After</w:t>
      </w:r>
      <w:r>
        <w:rPr>
          <w:color w:val="231F20"/>
          <w:spacing w:val="-11"/>
        </w:rPr>
        <w:t> </w:t>
      </w:r>
      <w:r>
        <w:rPr>
          <w:color w:val="231F20"/>
        </w:rPr>
        <w:t>recalling</w:t>
      </w:r>
      <w:r>
        <w:rPr>
          <w:color w:val="231F20"/>
          <w:spacing w:val="-11"/>
        </w:rPr>
        <w:t> </w:t>
      </w:r>
      <w:r>
        <w:rPr>
          <w:color w:val="231F20"/>
        </w:rPr>
        <w:t>its</w:t>
      </w:r>
      <w:r>
        <w:rPr>
          <w:color w:val="231F20"/>
          <w:spacing w:val="-11"/>
        </w:rPr>
        <w:t> </w:t>
      </w:r>
      <w:r>
        <w:rPr>
          <w:color w:val="231F20"/>
        </w:rPr>
        <w:t>case</w:t>
      </w:r>
      <w:r>
        <w:rPr>
          <w:color w:val="231F20"/>
          <w:spacing w:val="-11"/>
        </w:rPr>
        <w:t> </w:t>
      </w:r>
      <w:r>
        <w:rPr>
          <w:color w:val="231F20"/>
        </w:rPr>
        <w:t>law according to which it is the importer’s responsibility to demonstrate the existence of the conditions to benefit from</w:t>
      </w:r>
      <w:r>
        <w:rPr>
          <w:color w:val="231F20"/>
          <w:spacing w:val="-4"/>
        </w:rPr>
        <w:t> </w:t>
      </w:r>
      <w:r>
        <w:rPr>
          <w:color w:val="231F20"/>
        </w:rPr>
        <w:t>VAT exemption on imports </w:t>
      </w:r>
      <w:r>
        <w:rPr>
          <w:color w:val="231F20"/>
        </w:rPr>
        <w:t>in the</w:t>
      </w:r>
      <w:r>
        <w:rPr>
          <w:color w:val="231F20"/>
          <w:spacing w:val="-5"/>
        </w:rPr>
        <w:t> </w:t>
      </w:r>
      <w:r>
        <w:rPr>
          <w:color w:val="231F20"/>
        </w:rPr>
        <w:t>case</w:t>
      </w:r>
      <w:r>
        <w:rPr>
          <w:color w:val="231F20"/>
          <w:spacing w:val="-5"/>
        </w:rPr>
        <w:t> </w:t>
      </w:r>
      <w:r>
        <w:rPr>
          <w:color w:val="231F20"/>
        </w:rPr>
        <w:t>of</w:t>
      </w:r>
      <w:r>
        <w:rPr>
          <w:color w:val="231F20"/>
          <w:spacing w:val="-5"/>
        </w:rPr>
        <w:t> </w:t>
      </w:r>
      <w:r>
        <w:rPr>
          <w:color w:val="231F20"/>
        </w:rPr>
        <w:t>an</w:t>
      </w:r>
      <w:r>
        <w:rPr>
          <w:color w:val="231F20"/>
          <w:spacing w:val="-5"/>
        </w:rPr>
        <w:t> </w:t>
      </w:r>
      <w:r>
        <w:rPr>
          <w:color w:val="231F20"/>
        </w:rPr>
        <w:t>importation</w:t>
      </w:r>
      <w:r>
        <w:rPr>
          <w:color w:val="231F20"/>
          <w:spacing w:val="-5"/>
        </w:rPr>
        <w:t> </w:t>
      </w:r>
      <w:r>
        <w:rPr>
          <w:color w:val="231F20"/>
        </w:rPr>
        <w:t>of</w:t>
      </w:r>
      <w:r>
        <w:rPr>
          <w:color w:val="231F20"/>
          <w:spacing w:val="-5"/>
        </w:rPr>
        <w:t> </w:t>
      </w:r>
      <w:r>
        <w:rPr>
          <w:color w:val="231F20"/>
        </w:rPr>
        <w:t>goods</w:t>
      </w:r>
      <w:r>
        <w:rPr>
          <w:color w:val="231F20"/>
          <w:spacing w:val="-5"/>
        </w:rPr>
        <w:t> </w:t>
      </w:r>
      <w:r>
        <w:rPr>
          <w:color w:val="231F20"/>
        </w:rPr>
        <w:t>followed</w:t>
      </w:r>
      <w:r>
        <w:rPr>
          <w:color w:val="231F20"/>
          <w:spacing w:val="-5"/>
        </w:rPr>
        <w:t> </w:t>
      </w:r>
      <w:r>
        <w:rPr>
          <w:color w:val="231F20"/>
        </w:rPr>
        <w:t>by</w:t>
      </w:r>
      <w:r>
        <w:rPr>
          <w:color w:val="231F20"/>
          <w:spacing w:val="-5"/>
        </w:rPr>
        <w:t> </w:t>
      </w:r>
      <w:r>
        <w:rPr>
          <w:color w:val="231F20"/>
        </w:rPr>
        <w:t>an</w:t>
      </w:r>
      <w:r>
        <w:rPr>
          <w:color w:val="231F20"/>
          <w:spacing w:val="-5"/>
        </w:rPr>
        <w:t> </w:t>
      </w:r>
      <w:r>
        <w:rPr>
          <w:color w:val="231F20"/>
        </w:rPr>
        <w:t>intra-Community</w:t>
      </w:r>
      <w:r>
        <w:rPr>
          <w:color w:val="231F20"/>
          <w:spacing w:val="-5"/>
        </w:rPr>
        <w:t> </w:t>
      </w:r>
      <w:r>
        <w:rPr>
          <w:color w:val="231F20"/>
        </w:rPr>
        <w:t>sup- ply, the Court concluded that «the tax authorities of the Member State in which the dispatch or transport of the goods begins are not obliged to re- quest</w:t>
      </w:r>
      <w:r>
        <w:rPr>
          <w:color w:val="231F20"/>
          <w:spacing w:val="-15"/>
        </w:rPr>
        <w:t> </w:t>
      </w:r>
      <w:r>
        <w:rPr>
          <w:color w:val="231F20"/>
        </w:rPr>
        <w:t>information</w:t>
      </w:r>
      <w:r>
        <w:rPr>
          <w:color w:val="231F20"/>
          <w:spacing w:val="-15"/>
        </w:rPr>
        <w:t> </w:t>
      </w:r>
      <w:r>
        <w:rPr>
          <w:color w:val="231F20"/>
        </w:rPr>
        <w:t>from</w:t>
      </w:r>
      <w:r>
        <w:rPr>
          <w:color w:val="231F20"/>
          <w:spacing w:val="-15"/>
        </w:rPr>
        <w:t> </w:t>
      </w:r>
      <w:r>
        <w:rPr>
          <w:color w:val="231F20"/>
        </w:rPr>
        <w:t>the</w:t>
      </w:r>
      <w:r>
        <w:rPr>
          <w:color w:val="231F20"/>
          <w:spacing w:val="-15"/>
        </w:rPr>
        <w:t> </w:t>
      </w:r>
      <w:r>
        <w:rPr>
          <w:color w:val="231F20"/>
        </w:rPr>
        <w:t>authorities</w:t>
      </w:r>
      <w:r>
        <w:rPr>
          <w:color w:val="231F20"/>
          <w:spacing w:val="-15"/>
        </w:rPr>
        <w:t> </w:t>
      </w:r>
      <w:r>
        <w:rPr>
          <w:color w:val="231F20"/>
        </w:rPr>
        <w:t>of</w:t>
      </w:r>
      <w:r>
        <w:rPr>
          <w:color w:val="231F20"/>
          <w:spacing w:val="-15"/>
        </w:rPr>
        <w:t> </w:t>
      </w:r>
      <w:r>
        <w:rPr>
          <w:color w:val="231F20"/>
        </w:rPr>
        <w:t>the</w:t>
      </w:r>
      <w:r>
        <w:rPr>
          <w:color w:val="231F20"/>
          <w:spacing w:val="-15"/>
        </w:rPr>
        <w:t> </w:t>
      </w:r>
      <w:r>
        <w:rPr>
          <w:color w:val="231F20"/>
        </w:rPr>
        <w:t>Member</w:t>
      </w:r>
      <w:r>
        <w:rPr>
          <w:color w:val="231F20"/>
          <w:spacing w:val="-15"/>
        </w:rPr>
        <w:t> </w:t>
      </w:r>
      <w:r>
        <w:rPr>
          <w:color w:val="231F20"/>
        </w:rPr>
        <w:t>State</w:t>
      </w:r>
      <w:r>
        <w:rPr>
          <w:color w:val="231F20"/>
          <w:spacing w:val="-15"/>
        </w:rPr>
        <w:t> </w:t>
      </w:r>
      <w:r>
        <w:rPr>
          <w:color w:val="231F20"/>
        </w:rPr>
        <w:t>of</w:t>
      </w:r>
      <w:r>
        <w:rPr>
          <w:color w:val="231F20"/>
          <w:spacing w:val="-15"/>
        </w:rPr>
        <w:t> </w:t>
      </w:r>
      <w:r>
        <w:rPr>
          <w:color w:val="231F20"/>
        </w:rPr>
        <w:t>destination» as no provision of Regulation 904/2010 imposes such an obligation</w:t>
      </w:r>
      <w:r>
        <w:rPr>
          <w:color w:val="231F20"/>
          <w:position w:val="8"/>
          <w:sz w:val="14"/>
        </w:rPr>
        <w:t>37</w:t>
      </w:r>
      <w:r>
        <w:rPr>
          <w:color w:val="231F20"/>
        </w:rPr>
        <w:t>.</w:t>
      </w:r>
    </w:p>
    <w:p>
      <w:pPr>
        <w:pStyle w:val="BodyText"/>
        <w:spacing w:before="151"/>
      </w:pPr>
    </w:p>
    <w:p>
      <w:pPr>
        <w:pStyle w:val="ListParagraph"/>
        <w:numPr>
          <w:ilvl w:val="1"/>
          <w:numId w:val="1"/>
        </w:numPr>
        <w:tabs>
          <w:tab w:pos="526" w:val="left" w:leader="none"/>
        </w:tabs>
        <w:spacing w:line="244" w:lineRule="auto" w:before="1" w:after="0"/>
        <w:ind w:left="100" w:right="481" w:firstLine="0"/>
        <w:jc w:val="left"/>
        <w:rPr>
          <w:b/>
          <w:sz w:val="24"/>
        </w:rPr>
      </w:pPr>
      <w:r>
        <w:rPr>
          <w:b/>
          <w:color w:val="231F20"/>
          <w:sz w:val="24"/>
        </w:rPr>
        <w:t>The</w:t>
      </w:r>
      <w:r>
        <w:rPr>
          <w:b/>
          <w:color w:val="231F20"/>
          <w:spacing w:val="-12"/>
          <w:sz w:val="24"/>
        </w:rPr>
        <w:t> </w:t>
      </w:r>
      <w:r>
        <w:rPr>
          <w:b/>
          <w:color w:val="231F20"/>
          <w:sz w:val="24"/>
        </w:rPr>
        <w:t>Duty</w:t>
      </w:r>
      <w:r>
        <w:rPr>
          <w:b/>
          <w:color w:val="231F20"/>
          <w:spacing w:val="-12"/>
          <w:sz w:val="24"/>
        </w:rPr>
        <w:t> </w:t>
      </w:r>
      <w:r>
        <w:rPr>
          <w:b/>
          <w:color w:val="231F20"/>
          <w:sz w:val="24"/>
        </w:rPr>
        <w:t>of</w:t>
      </w:r>
      <w:r>
        <w:rPr>
          <w:b/>
          <w:color w:val="231F20"/>
          <w:spacing w:val="-12"/>
          <w:sz w:val="24"/>
        </w:rPr>
        <w:t> </w:t>
      </w:r>
      <w:r>
        <w:rPr>
          <w:b/>
          <w:color w:val="231F20"/>
          <w:sz w:val="24"/>
        </w:rPr>
        <w:t>Cooperation</w:t>
      </w:r>
      <w:r>
        <w:rPr>
          <w:b/>
          <w:color w:val="231F20"/>
          <w:spacing w:val="-12"/>
          <w:sz w:val="24"/>
        </w:rPr>
        <w:t> </w:t>
      </w:r>
      <w:r>
        <w:rPr>
          <w:b/>
          <w:color w:val="231F20"/>
          <w:sz w:val="24"/>
        </w:rPr>
        <w:t>between</w:t>
      </w:r>
      <w:r>
        <w:rPr>
          <w:b/>
          <w:color w:val="231F20"/>
          <w:spacing w:val="-6"/>
          <w:sz w:val="24"/>
        </w:rPr>
        <w:t> </w:t>
      </w:r>
      <w:r>
        <w:rPr>
          <w:b/>
          <w:color w:val="231F20"/>
          <w:sz w:val="24"/>
        </w:rPr>
        <w:t>Tax</w:t>
      </w:r>
      <w:r>
        <w:rPr>
          <w:b/>
          <w:color w:val="231F20"/>
          <w:spacing w:val="-12"/>
          <w:sz w:val="24"/>
        </w:rPr>
        <w:t> </w:t>
      </w:r>
      <w:r>
        <w:rPr>
          <w:b/>
          <w:color w:val="231F20"/>
          <w:sz w:val="24"/>
        </w:rPr>
        <w:t>Administrations</w:t>
      </w:r>
      <w:r>
        <w:rPr>
          <w:b/>
          <w:color w:val="231F20"/>
          <w:spacing w:val="-12"/>
          <w:sz w:val="24"/>
        </w:rPr>
        <w:t> </w:t>
      </w:r>
      <w:r>
        <w:rPr>
          <w:b/>
          <w:color w:val="231F20"/>
          <w:sz w:val="24"/>
        </w:rPr>
        <w:t>does</w:t>
      </w:r>
      <w:r>
        <w:rPr>
          <w:b/>
          <w:color w:val="231F20"/>
          <w:spacing w:val="-12"/>
          <w:sz w:val="24"/>
        </w:rPr>
        <w:t> </w:t>
      </w:r>
      <w:r>
        <w:rPr>
          <w:b/>
          <w:color w:val="231F20"/>
          <w:sz w:val="24"/>
        </w:rPr>
        <w:t>not include the Obligation to avoid double VAT Taxation</w:t>
      </w:r>
    </w:p>
    <w:p>
      <w:pPr>
        <w:pStyle w:val="BodyText"/>
        <w:spacing w:line="225" w:lineRule="auto" w:before="263"/>
        <w:ind w:left="100" w:right="174"/>
        <w:jc w:val="both"/>
      </w:pPr>
      <w:r>
        <w:rPr>
          <w:color w:val="231F20"/>
        </w:rPr>
        <w:t>The</w:t>
      </w:r>
      <w:r>
        <w:rPr>
          <w:color w:val="231F20"/>
          <w:spacing w:val="-11"/>
        </w:rPr>
        <w:t> </w:t>
      </w:r>
      <w:r>
        <w:rPr>
          <w:color w:val="231F20"/>
        </w:rPr>
        <w:t>same</w:t>
      </w:r>
      <w:r>
        <w:rPr>
          <w:color w:val="231F20"/>
          <w:spacing w:val="-11"/>
        </w:rPr>
        <w:t> </w:t>
      </w:r>
      <w:r>
        <w:rPr>
          <w:color w:val="231F20"/>
        </w:rPr>
        <w:t>referring</w:t>
      </w:r>
      <w:r>
        <w:rPr>
          <w:color w:val="231F20"/>
          <w:spacing w:val="-11"/>
        </w:rPr>
        <w:t> </w:t>
      </w:r>
      <w:r>
        <w:rPr>
          <w:color w:val="231F20"/>
        </w:rPr>
        <w:t>Member</w:t>
      </w:r>
      <w:r>
        <w:rPr>
          <w:color w:val="231F20"/>
          <w:spacing w:val="-11"/>
        </w:rPr>
        <w:t> </w:t>
      </w:r>
      <w:r>
        <w:rPr>
          <w:color w:val="231F20"/>
        </w:rPr>
        <w:t>State</w:t>
      </w:r>
      <w:r>
        <w:rPr>
          <w:color w:val="231F20"/>
          <w:spacing w:val="-11"/>
        </w:rPr>
        <w:t> </w:t>
      </w:r>
      <w:r>
        <w:rPr>
          <w:color w:val="231F20"/>
        </w:rPr>
        <w:t>jurisdiction</w:t>
      </w:r>
      <w:r>
        <w:rPr>
          <w:color w:val="231F20"/>
          <w:position w:val="8"/>
          <w:sz w:val="14"/>
        </w:rPr>
        <w:t>38</w:t>
      </w:r>
      <w:r>
        <w:rPr>
          <w:color w:val="231F20"/>
          <w:spacing w:val="15"/>
          <w:position w:val="8"/>
          <w:sz w:val="14"/>
        </w:rPr>
        <w:t> </w:t>
      </w:r>
      <w:r>
        <w:rPr>
          <w:color w:val="231F20"/>
        </w:rPr>
        <w:t>in</w:t>
      </w:r>
      <w:r>
        <w:rPr>
          <w:color w:val="231F20"/>
          <w:spacing w:val="-11"/>
        </w:rPr>
        <w:t> </w:t>
      </w:r>
      <w:r>
        <w:rPr>
          <w:color w:val="231F20"/>
        </w:rPr>
        <w:t>the</w:t>
      </w:r>
      <w:r>
        <w:rPr>
          <w:color w:val="231F20"/>
          <w:spacing w:val="-11"/>
        </w:rPr>
        <w:t> </w:t>
      </w:r>
      <w:r>
        <w:rPr>
          <w:i/>
          <w:color w:val="231F20"/>
        </w:rPr>
        <w:t>WebMind</w:t>
      </w:r>
      <w:r>
        <w:rPr>
          <w:i/>
          <w:color w:val="231F20"/>
          <w:spacing w:val="-11"/>
        </w:rPr>
        <w:t> </w:t>
      </w:r>
      <w:r>
        <w:rPr>
          <w:color w:val="231F20"/>
        </w:rPr>
        <w:t>judgment referred a second question to the Court of Justice for a preliminary ruling concerning a similar issue of determining the place of supply of a series of </w:t>
      </w:r>
      <w:r>
        <w:rPr>
          <w:color w:val="231F20"/>
          <w:spacing w:val="-2"/>
        </w:rPr>
        <w:t>taxable</w:t>
      </w:r>
      <w:r>
        <w:rPr>
          <w:color w:val="231F20"/>
          <w:spacing w:val="-12"/>
        </w:rPr>
        <w:t> </w:t>
      </w:r>
      <w:r>
        <w:rPr>
          <w:color w:val="231F20"/>
          <w:spacing w:val="-2"/>
        </w:rPr>
        <w:t>transactions</w:t>
      </w:r>
      <w:r>
        <w:rPr>
          <w:color w:val="231F20"/>
          <w:spacing w:val="-2"/>
          <w:position w:val="8"/>
          <w:sz w:val="14"/>
        </w:rPr>
        <w:t>39</w:t>
      </w:r>
      <w:r>
        <w:rPr>
          <w:color w:val="231F20"/>
          <w:spacing w:val="-2"/>
        </w:rPr>
        <w:t>.</w:t>
      </w:r>
      <w:r>
        <w:rPr>
          <w:color w:val="231F20"/>
          <w:spacing w:val="-12"/>
        </w:rPr>
        <w:t> </w:t>
      </w:r>
      <w:r>
        <w:rPr>
          <w:color w:val="231F20"/>
          <w:spacing w:val="-2"/>
        </w:rPr>
        <w:t>Specifically,</w:t>
      </w:r>
      <w:r>
        <w:rPr>
          <w:color w:val="231F20"/>
          <w:spacing w:val="-12"/>
        </w:rPr>
        <w:t> </w:t>
      </w:r>
      <w:r>
        <w:rPr>
          <w:color w:val="231F20"/>
          <w:spacing w:val="-2"/>
        </w:rPr>
        <w:t>with</w:t>
      </w:r>
      <w:r>
        <w:rPr>
          <w:color w:val="231F20"/>
          <w:spacing w:val="-12"/>
        </w:rPr>
        <w:t> </w:t>
      </w:r>
      <w:r>
        <w:rPr>
          <w:color w:val="231F20"/>
          <w:spacing w:val="-2"/>
        </w:rPr>
        <w:t>reference</w:t>
      </w:r>
      <w:r>
        <w:rPr>
          <w:color w:val="231F20"/>
          <w:spacing w:val="-12"/>
        </w:rPr>
        <w:t> </w:t>
      </w:r>
      <w:r>
        <w:rPr>
          <w:color w:val="231F20"/>
          <w:spacing w:val="-2"/>
        </w:rPr>
        <w:t>to</w:t>
      </w:r>
      <w:r>
        <w:rPr>
          <w:color w:val="231F20"/>
          <w:spacing w:val="-12"/>
        </w:rPr>
        <w:t> </w:t>
      </w:r>
      <w:r>
        <w:rPr>
          <w:color w:val="231F20"/>
          <w:spacing w:val="-2"/>
        </w:rPr>
        <w:t>Articles</w:t>
      </w:r>
      <w:r>
        <w:rPr>
          <w:color w:val="231F20"/>
          <w:spacing w:val="-12"/>
        </w:rPr>
        <w:t> </w:t>
      </w:r>
      <w:r>
        <w:rPr>
          <w:color w:val="231F20"/>
          <w:spacing w:val="-2"/>
        </w:rPr>
        <w:t>7,</w:t>
      </w:r>
      <w:r>
        <w:rPr>
          <w:color w:val="231F20"/>
          <w:spacing w:val="-12"/>
        </w:rPr>
        <w:t> </w:t>
      </w:r>
      <w:r>
        <w:rPr>
          <w:color w:val="231F20"/>
          <w:spacing w:val="-2"/>
        </w:rPr>
        <w:t>13,</w:t>
      </w:r>
      <w:r>
        <w:rPr>
          <w:color w:val="231F20"/>
          <w:spacing w:val="-12"/>
        </w:rPr>
        <w:t> </w:t>
      </w:r>
      <w:r>
        <w:rPr>
          <w:color w:val="231F20"/>
          <w:spacing w:val="-2"/>
        </w:rPr>
        <w:t>and</w:t>
      </w:r>
      <w:r>
        <w:rPr>
          <w:color w:val="231F20"/>
          <w:spacing w:val="-12"/>
        </w:rPr>
        <w:t> </w:t>
      </w:r>
      <w:r>
        <w:rPr>
          <w:color w:val="231F20"/>
          <w:spacing w:val="-2"/>
        </w:rPr>
        <w:t>28</w:t>
      </w:r>
      <w:r>
        <w:rPr>
          <w:color w:val="231F20"/>
          <w:spacing w:val="-12"/>
        </w:rPr>
        <w:t> </w:t>
      </w:r>
      <w:r>
        <w:rPr>
          <w:color w:val="231F20"/>
          <w:spacing w:val="-2"/>
        </w:rPr>
        <w:t>of </w:t>
      </w:r>
      <w:r>
        <w:rPr>
          <w:color w:val="231F20"/>
        </w:rPr>
        <w:t>Regulation</w:t>
      </w:r>
      <w:r>
        <w:rPr>
          <w:color w:val="231F20"/>
          <w:spacing w:val="-17"/>
        </w:rPr>
        <w:t> </w:t>
      </w:r>
      <w:r>
        <w:rPr>
          <w:color w:val="231F20"/>
        </w:rPr>
        <w:t>904/2010,</w:t>
      </w:r>
      <w:r>
        <w:rPr>
          <w:color w:val="231F20"/>
          <w:spacing w:val="-15"/>
        </w:rPr>
        <w:t> </w:t>
      </w:r>
      <w:r>
        <w:rPr>
          <w:color w:val="231F20"/>
        </w:rPr>
        <w:t>the</w:t>
      </w:r>
      <w:r>
        <w:rPr>
          <w:color w:val="231F20"/>
          <w:spacing w:val="-15"/>
        </w:rPr>
        <w:t> </w:t>
      </w:r>
      <w:r>
        <w:rPr>
          <w:color w:val="231F20"/>
        </w:rPr>
        <w:t>referring</w:t>
      </w:r>
      <w:r>
        <w:rPr>
          <w:color w:val="231F20"/>
          <w:spacing w:val="-15"/>
        </w:rPr>
        <w:t> </w:t>
      </w:r>
      <w:r>
        <w:rPr>
          <w:color w:val="231F20"/>
        </w:rPr>
        <w:t>court</w:t>
      </w:r>
      <w:r>
        <w:rPr>
          <w:color w:val="231F20"/>
          <w:spacing w:val="-15"/>
        </w:rPr>
        <w:t> </w:t>
      </w:r>
      <w:r>
        <w:rPr>
          <w:color w:val="231F20"/>
        </w:rPr>
        <w:t>asked</w:t>
      </w:r>
      <w:r>
        <w:rPr>
          <w:color w:val="231F20"/>
          <w:spacing w:val="-15"/>
        </w:rPr>
        <w:t> </w:t>
      </w:r>
      <w:r>
        <w:rPr>
          <w:color w:val="231F20"/>
        </w:rPr>
        <w:t>the</w:t>
      </w:r>
      <w:r>
        <w:rPr>
          <w:color w:val="231F20"/>
          <w:spacing w:val="-15"/>
        </w:rPr>
        <w:t> </w:t>
      </w:r>
      <w:r>
        <w:rPr>
          <w:color w:val="231F20"/>
        </w:rPr>
        <w:t>Union</w:t>
      </w:r>
      <w:r>
        <w:rPr>
          <w:color w:val="231F20"/>
          <w:spacing w:val="-15"/>
        </w:rPr>
        <w:t> </w:t>
      </w:r>
      <w:r>
        <w:rPr>
          <w:color w:val="231F20"/>
        </w:rPr>
        <w:t>judges</w:t>
      </w:r>
      <w:r>
        <w:rPr>
          <w:color w:val="231F20"/>
          <w:spacing w:val="-15"/>
        </w:rPr>
        <w:t> </w:t>
      </w:r>
      <w:r>
        <w:rPr>
          <w:color w:val="231F20"/>
        </w:rPr>
        <w:t>to</w:t>
      </w:r>
      <w:r>
        <w:rPr>
          <w:color w:val="231F20"/>
          <w:spacing w:val="-15"/>
        </w:rPr>
        <w:t> </w:t>
      </w:r>
      <w:r>
        <w:rPr>
          <w:color w:val="231F20"/>
        </w:rPr>
        <w:t>rule</w:t>
      </w:r>
      <w:r>
        <w:rPr>
          <w:color w:val="231F20"/>
          <w:spacing w:val="-15"/>
        </w:rPr>
        <w:t> </w:t>
      </w:r>
      <w:r>
        <w:rPr>
          <w:color w:val="231F20"/>
        </w:rPr>
        <w:t>on whether</w:t>
      </w:r>
      <w:r>
        <w:rPr>
          <w:color w:val="231F20"/>
          <w:spacing w:val="-9"/>
        </w:rPr>
        <w:t> </w:t>
      </w:r>
      <w:r>
        <w:rPr>
          <w:color w:val="231F20"/>
        </w:rPr>
        <w:t>it</w:t>
      </w:r>
      <w:r>
        <w:rPr>
          <w:color w:val="231F20"/>
          <w:spacing w:val="-9"/>
        </w:rPr>
        <w:t> </w:t>
      </w:r>
      <w:r>
        <w:rPr>
          <w:color w:val="231F20"/>
        </w:rPr>
        <w:t>was</w:t>
      </w:r>
      <w:r>
        <w:rPr>
          <w:color w:val="231F20"/>
          <w:spacing w:val="-9"/>
        </w:rPr>
        <w:t> </w:t>
      </w:r>
      <w:r>
        <w:rPr>
          <w:color w:val="231F20"/>
        </w:rPr>
        <w:t>allowed</w:t>
      </w:r>
      <w:r>
        <w:rPr>
          <w:color w:val="231F20"/>
          <w:spacing w:val="-9"/>
        </w:rPr>
        <w:t> </w:t>
      </w:r>
      <w:r>
        <w:rPr>
          <w:color w:val="231F20"/>
        </w:rPr>
        <w:t>to</w:t>
      </w:r>
      <w:r>
        <w:rPr>
          <w:color w:val="231F20"/>
          <w:spacing w:val="-9"/>
        </w:rPr>
        <w:t> </w:t>
      </w:r>
      <w:r>
        <w:rPr>
          <w:color w:val="231F20"/>
        </w:rPr>
        <w:t>the</w:t>
      </w:r>
      <w:r>
        <w:rPr>
          <w:color w:val="231F20"/>
          <w:spacing w:val="-9"/>
        </w:rPr>
        <w:t> </w:t>
      </w:r>
      <w:r>
        <w:rPr>
          <w:color w:val="231F20"/>
        </w:rPr>
        <w:t>tax</w:t>
      </w:r>
      <w:r>
        <w:rPr>
          <w:color w:val="231F20"/>
          <w:spacing w:val="-9"/>
        </w:rPr>
        <w:t> </w:t>
      </w:r>
      <w:r>
        <w:rPr>
          <w:color w:val="231F20"/>
        </w:rPr>
        <w:t>administration</w:t>
      </w:r>
      <w:r>
        <w:rPr>
          <w:color w:val="231F20"/>
          <w:spacing w:val="-9"/>
        </w:rPr>
        <w:t> </w:t>
      </w:r>
      <w:r>
        <w:rPr>
          <w:color w:val="231F20"/>
        </w:rPr>
        <w:t>of</w:t>
      </w:r>
      <w:r>
        <w:rPr>
          <w:color w:val="231F20"/>
          <w:spacing w:val="-9"/>
        </w:rPr>
        <w:t> </w:t>
      </w:r>
      <w:r>
        <w:rPr>
          <w:color w:val="231F20"/>
        </w:rPr>
        <w:t>a</w:t>
      </w:r>
      <w:r>
        <w:rPr>
          <w:color w:val="231F20"/>
          <w:spacing w:val="-9"/>
        </w:rPr>
        <w:t> </w:t>
      </w:r>
      <w:r>
        <w:rPr>
          <w:color w:val="231F20"/>
        </w:rPr>
        <w:t>Member</w:t>
      </w:r>
      <w:r>
        <w:rPr>
          <w:color w:val="231F20"/>
          <w:spacing w:val="-9"/>
        </w:rPr>
        <w:t> </w:t>
      </w:r>
      <w:r>
        <w:rPr>
          <w:color w:val="231F20"/>
        </w:rPr>
        <w:t>State</w:t>
      </w:r>
      <w:r>
        <w:rPr>
          <w:color w:val="231F20"/>
          <w:spacing w:val="-9"/>
        </w:rPr>
        <w:t> </w:t>
      </w:r>
      <w:r>
        <w:rPr>
          <w:color w:val="231F20"/>
        </w:rPr>
        <w:t>to</w:t>
      </w:r>
      <w:r>
        <w:rPr>
          <w:color w:val="231F20"/>
          <w:spacing w:val="-9"/>
        </w:rPr>
        <w:t> </w:t>
      </w:r>
      <w:r>
        <w:rPr>
          <w:color w:val="231F20"/>
        </w:rPr>
        <w:t>uni- </w:t>
      </w:r>
      <w:r>
        <w:rPr>
          <w:color w:val="231F20"/>
          <w:spacing w:val="-4"/>
        </w:rPr>
        <w:t>laterally</w:t>
      </w:r>
      <w:r>
        <w:rPr>
          <w:color w:val="231F20"/>
          <w:spacing w:val="-5"/>
        </w:rPr>
        <w:t> </w:t>
      </w:r>
      <w:r>
        <w:rPr>
          <w:color w:val="231F20"/>
          <w:spacing w:val="-4"/>
        </w:rPr>
        <w:t>subject</w:t>
      </w:r>
      <w:r>
        <w:rPr>
          <w:color w:val="231F20"/>
          <w:spacing w:val="-5"/>
        </w:rPr>
        <w:t> </w:t>
      </w:r>
      <w:r>
        <w:rPr>
          <w:color w:val="231F20"/>
          <w:spacing w:val="-4"/>
        </w:rPr>
        <w:t>to</w:t>
      </w:r>
      <w:r>
        <w:rPr>
          <w:color w:val="231F20"/>
          <w:spacing w:val="-8"/>
        </w:rPr>
        <w:t> </w:t>
      </w:r>
      <w:r>
        <w:rPr>
          <w:color w:val="231F20"/>
          <w:spacing w:val="-4"/>
        </w:rPr>
        <w:t>VAT</w:t>
      </w:r>
      <w:r>
        <w:rPr>
          <w:color w:val="231F20"/>
          <w:spacing w:val="-5"/>
        </w:rPr>
        <w:t> </w:t>
      </w:r>
      <w:r>
        <w:rPr>
          <w:color w:val="231F20"/>
          <w:spacing w:val="-4"/>
        </w:rPr>
        <w:t>transactions</w:t>
      </w:r>
      <w:r>
        <w:rPr>
          <w:color w:val="231F20"/>
          <w:spacing w:val="-5"/>
        </w:rPr>
        <w:t> </w:t>
      </w:r>
      <w:r>
        <w:rPr>
          <w:color w:val="231F20"/>
          <w:spacing w:val="-4"/>
        </w:rPr>
        <w:t>that</w:t>
      </w:r>
      <w:r>
        <w:rPr>
          <w:color w:val="231F20"/>
          <w:spacing w:val="-5"/>
        </w:rPr>
        <w:t> </w:t>
      </w:r>
      <w:r>
        <w:rPr>
          <w:color w:val="231F20"/>
          <w:spacing w:val="-4"/>
        </w:rPr>
        <w:t>had</w:t>
      </w:r>
      <w:r>
        <w:rPr>
          <w:color w:val="231F20"/>
          <w:spacing w:val="-5"/>
        </w:rPr>
        <w:t> </w:t>
      </w:r>
      <w:r>
        <w:rPr>
          <w:color w:val="231F20"/>
          <w:spacing w:val="-4"/>
        </w:rPr>
        <w:t>already</w:t>
      </w:r>
      <w:r>
        <w:rPr>
          <w:color w:val="231F20"/>
          <w:spacing w:val="-5"/>
        </w:rPr>
        <w:t> </w:t>
      </w:r>
      <w:r>
        <w:rPr>
          <w:color w:val="231F20"/>
          <w:spacing w:val="-4"/>
        </w:rPr>
        <w:t>been</w:t>
      </w:r>
      <w:r>
        <w:rPr>
          <w:color w:val="231F20"/>
          <w:spacing w:val="-5"/>
        </w:rPr>
        <w:t> </w:t>
      </w:r>
      <w:r>
        <w:rPr>
          <w:color w:val="231F20"/>
          <w:spacing w:val="-4"/>
        </w:rPr>
        <w:t>subject</w:t>
      </w:r>
      <w:r>
        <w:rPr>
          <w:color w:val="231F20"/>
          <w:spacing w:val="-5"/>
        </w:rPr>
        <w:t> </w:t>
      </w:r>
      <w:r>
        <w:rPr>
          <w:color w:val="231F20"/>
          <w:spacing w:val="-4"/>
        </w:rPr>
        <w:t>to</w:t>
      </w:r>
      <w:r>
        <w:rPr>
          <w:color w:val="231F20"/>
          <w:spacing w:val="-8"/>
        </w:rPr>
        <w:t> </w:t>
      </w:r>
      <w:r>
        <w:rPr>
          <w:color w:val="231F20"/>
          <w:spacing w:val="-4"/>
        </w:rPr>
        <w:t>VAT</w:t>
      </w:r>
      <w:r>
        <w:rPr>
          <w:color w:val="231F20"/>
          <w:spacing w:val="-5"/>
        </w:rPr>
        <w:t> </w:t>
      </w:r>
      <w:r>
        <w:rPr>
          <w:color w:val="231F20"/>
          <w:spacing w:val="-4"/>
        </w:rPr>
        <w:t>in </w:t>
      </w:r>
      <w:r>
        <w:rPr>
          <w:color w:val="231F20"/>
          <w:spacing w:val="-2"/>
        </w:rPr>
        <w:t>another</w:t>
      </w:r>
      <w:r>
        <w:rPr>
          <w:color w:val="231F20"/>
          <w:spacing w:val="-9"/>
        </w:rPr>
        <w:t> </w:t>
      </w:r>
      <w:r>
        <w:rPr>
          <w:color w:val="231F20"/>
          <w:spacing w:val="-2"/>
        </w:rPr>
        <w:t>Member</w:t>
      </w:r>
      <w:r>
        <w:rPr>
          <w:color w:val="231F20"/>
          <w:spacing w:val="-7"/>
        </w:rPr>
        <w:t> </w:t>
      </w:r>
      <w:r>
        <w:rPr>
          <w:color w:val="231F20"/>
          <w:spacing w:val="-2"/>
        </w:rPr>
        <w:t>State.</w:t>
      </w:r>
      <w:r>
        <w:rPr>
          <w:color w:val="231F20"/>
          <w:spacing w:val="-13"/>
        </w:rPr>
        <w:t> </w:t>
      </w:r>
      <w:r>
        <w:rPr>
          <w:color w:val="231F20"/>
          <w:spacing w:val="-2"/>
        </w:rPr>
        <w:t>To</w:t>
      </w:r>
      <w:r>
        <w:rPr>
          <w:color w:val="231F20"/>
          <w:spacing w:val="-7"/>
        </w:rPr>
        <w:t> </w:t>
      </w:r>
      <w:r>
        <w:rPr>
          <w:color w:val="231F20"/>
          <w:spacing w:val="-2"/>
        </w:rPr>
        <w:t>this</w:t>
      </w:r>
      <w:r>
        <w:rPr>
          <w:color w:val="231F20"/>
          <w:spacing w:val="-7"/>
        </w:rPr>
        <w:t> </w:t>
      </w:r>
      <w:r>
        <w:rPr>
          <w:color w:val="231F20"/>
          <w:spacing w:val="-2"/>
        </w:rPr>
        <w:t>question</w:t>
      </w:r>
      <w:r>
        <w:rPr>
          <w:color w:val="231F20"/>
          <w:spacing w:val="-7"/>
        </w:rPr>
        <w:t> </w:t>
      </w:r>
      <w:r>
        <w:rPr>
          <w:color w:val="231F20"/>
          <w:spacing w:val="-2"/>
        </w:rPr>
        <w:t>of</w:t>
      </w:r>
      <w:r>
        <w:rPr>
          <w:color w:val="231F20"/>
          <w:spacing w:val="-7"/>
        </w:rPr>
        <w:t> </w:t>
      </w:r>
      <w:r>
        <w:rPr>
          <w:color w:val="231F20"/>
          <w:spacing w:val="-2"/>
        </w:rPr>
        <w:t>great</w:t>
      </w:r>
      <w:r>
        <w:rPr>
          <w:color w:val="231F20"/>
          <w:spacing w:val="-7"/>
        </w:rPr>
        <w:t> </w:t>
      </w:r>
      <w:r>
        <w:rPr>
          <w:color w:val="231F20"/>
          <w:spacing w:val="-2"/>
        </w:rPr>
        <w:t>importance</w:t>
      </w:r>
      <w:r>
        <w:rPr>
          <w:color w:val="231F20"/>
          <w:spacing w:val="-7"/>
        </w:rPr>
        <w:t> </w:t>
      </w:r>
      <w:r>
        <w:rPr>
          <w:color w:val="231F20"/>
          <w:spacing w:val="-2"/>
        </w:rPr>
        <w:t>in</w:t>
      </w:r>
      <w:r>
        <w:rPr>
          <w:color w:val="231F20"/>
          <w:spacing w:val="-7"/>
        </w:rPr>
        <w:t> </w:t>
      </w:r>
      <w:r>
        <w:rPr>
          <w:color w:val="231F20"/>
          <w:spacing w:val="-2"/>
        </w:rPr>
        <w:t>principle,</w:t>
      </w:r>
      <w:r>
        <w:rPr>
          <w:color w:val="231F20"/>
          <w:spacing w:val="-7"/>
        </w:rPr>
        <w:t> </w:t>
      </w:r>
      <w:r>
        <w:rPr>
          <w:color w:val="231F20"/>
          <w:spacing w:val="-2"/>
        </w:rPr>
        <w:t>as </w:t>
      </w:r>
      <w:r>
        <w:rPr>
          <w:color w:val="231F20"/>
          <w:spacing w:val="-4"/>
        </w:rPr>
        <w:t>it</w:t>
      </w:r>
      <w:r>
        <w:rPr>
          <w:color w:val="231F20"/>
          <w:spacing w:val="-11"/>
        </w:rPr>
        <w:t> </w:t>
      </w:r>
      <w:r>
        <w:rPr>
          <w:color w:val="231F20"/>
          <w:spacing w:val="-4"/>
        </w:rPr>
        <w:t>concerned</w:t>
      </w:r>
      <w:r>
        <w:rPr>
          <w:color w:val="231F20"/>
          <w:spacing w:val="-11"/>
        </w:rPr>
        <w:t> </w:t>
      </w:r>
      <w:r>
        <w:rPr>
          <w:color w:val="231F20"/>
          <w:spacing w:val="-4"/>
        </w:rPr>
        <w:t>the</w:t>
      </w:r>
      <w:r>
        <w:rPr>
          <w:color w:val="231F20"/>
          <w:spacing w:val="-11"/>
        </w:rPr>
        <w:t> </w:t>
      </w:r>
      <w:r>
        <w:rPr>
          <w:color w:val="231F20"/>
          <w:spacing w:val="-4"/>
        </w:rPr>
        <w:t>legality</w:t>
      </w:r>
      <w:r>
        <w:rPr>
          <w:color w:val="231F20"/>
          <w:spacing w:val="-11"/>
        </w:rPr>
        <w:t> </w:t>
      </w:r>
      <w:r>
        <w:rPr>
          <w:color w:val="231F20"/>
          <w:spacing w:val="-4"/>
        </w:rPr>
        <w:t>of</w:t>
      </w:r>
      <w:r>
        <w:rPr>
          <w:color w:val="231F20"/>
          <w:spacing w:val="-11"/>
        </w:rPr>
        <w:t> </w:t>
      </w:r>
      <w:r>
        <w:rPr>
          <w:color w:val="231F20"/>
          <w:spacing w:val="-4"/>
        </w:rPr>
        <w:t>double</w:t>
      </w:r>
      <w:r>
        <w:rPr>
          <w:color w:val="231F20"/>
          <w:spacing w:val="-11"/>
        </w:rPr>
        <w:t> </w:t>
      </w:r>
      <w:r>
        <w:rPr>
          <w:color w:val="231F20"/>
          <w:spacing w:val="-4"/>
        </w:rPr>
        <w:t>VAT</w:t>
      </w:r>
      <w:r>
        <w:rPr>
          <w:color w:val="231F20"/>
          <w:spacing w:val="-11"/>
        </w:rPr>
        <w:t> </w:t>
      </w:r>
      <w:r>
        <w:rPr>
          <w:color w:val="231F20"/>
          <w:spacing w:val="-4"/>
        </w:rPr>
        <w:t>taxation</w:t>
      </w:r>
      <w:r>
        <w:rPr>
          <w:color w:val="231F20"/>
          <w:spacing w:val="-11"/>
        </w:rPr>
        <w:t> </w:t>
      </w:r>
      <w:r>
        <w:rPr>
          <w:color w:val="231F20"/>
          <w:spacing w:val="-4"/>
        </w:rPr>
        <w:t>within</w:t>
      </w:r>
      <w:r>
        <w:rPr>
          <w:color w:val="231F20"/>
          <w:spacing w:val="-11"/>
        </w:rPr>
        <w:t> </w:t>
      </w:r>
      <w:r>
        <w:rPr>
          <w:color w:val="231F20"/>
          <w:spacing w:val="-4"/>
        </w:rPr>
        <w:t>the</w:t>
      </w:r>
      <w:r>
        <w:rPr>
          <w:color w:val="231F20"/>
          <w:spacing w:val="-11"/>
        </w:rPr>
        <w:t> </w:t>
      </w:r>
      <w:r>
        <w:rPr>
          <w:color w:val="231F20"/>
          <w:spacing w:val="-4"/>
        </w:rPr>
        <w:t>Union,</w:t>
      </w:r>
      <w:r>
        <w:rPr>
          <w:color w:val="231F20"/>
          <w:spacing w:val="-11"/>
        </w:rPr>
        <w:t> </w:t>
      </w:r>
      <w:r>
        <w:rPr>
          <w:color w:val="231F20"/>
          <w:spacing w:val="-4"/>
        </w:rPr>
        <w:t>the</w:t>
      </w:r>
      <w:r>
        <w:rPr>
          <w:color w:val="231F20"/>
          <w:spacing w:val="-11"/>
        </w:rPr>
        <w:t> </w:t>
      </w:r>
      <w:r>
        <w:rPr>
          <w:color w:val="231F20"/>
          <w:spacing w:val="-4"/>
        </w:rPr>
        <w:t>Court </w:t>
      </w:r>
      <w:r>
        <w:rPr>
          <w:color w:val="231F20"/>
        </w:rPr>
        <w:t>replied by noting that the regulation does not contain any rule regarding the</w:t>
      </w:r>
      <w:r>
        <w:rPr>
          <w:color w:val="231F20"/>
          <w:spacing w:val="-11"/>
        </w:rPr>
        <w:t> </w:t>
      </w:r>
      <w:r>
        <w:rPr>
          <w:color w:val="231F20"/>
        </w:rPr>
        <w:t>division</w:t>
      </w:r>
      <w:r>
        <w:rPr>
          <w:color w:val="231F20"/>
          <w:spacing w:val="-11"/>
        </w:rPr>
        <w:t> </w:t>
      </w:r>
      <w:r>
        <w:rPr>
          <w:color w:val="231F20"/>
        </w:rPr>
        <w:t>of</w:t>
      </w:r>
      <w:r>
        <w:rPr>
          <w:color w:val="231F20"/>
          <w:spacing w:val="-11"/>
        </w:rPr>
        <w:t> </w:t>
      </w:r>
      <w:r>
        <w:rPr>
          <w:color w:val="231F20"/>
        </w:rPr>
        <w:t>responsibilities</w:t>
      </w:r>
      <w:r>
        <w:rPr>
          <w:color w:val="231F20"/>
          <w:spacing w:val="-11"/>
        </w:rPr>
        <w:t> </w:t>
      </w:r>
      <w:r>
        <w:rPr>
          <w:color w:val="231F20"/>
        </w:rPr>
        <w:t>between</w:t>
      </w:r>
      <w:r>
        <w:rPr>
          <w:color w:val="231F20"/>
          <w:spacing w:val="-11"/>
        </w:rPr>
        <w:t> </w:t>
      </w:r>
      <w:r>
        <w:rPr>
          <w:color w:val="231F20"/>
        </w:rPr>
        <w:t>tax</w:t>
      </w:r>
      <w:r>
        <w:rPr>
          <w:color w:val="231F20"/>
          <w:spacing w:val="-11"/>
        </w:rPr>
        <w:t> </w:t>
      </w:r>
      <w:r>
        <w:rPr>
          <w:color w:val="231F20"/>
        </w:rPr>
        <w:t>administrations</w:t>
      </w:r>
      <w:r>
        <w:rPr>
          <w:color w:val="231F20"/>
          <w:spacing w:val="-11"/>
        </w:rPr>
        <w:t> </w:t>
      </w:r>
      <w:r>
        <w:rPr>
          <w:color w:val="231F20"/>
        </w:rPr>
        <w:t>of</w:t>
      </w:r>
      <w:r>
        <w:rPr>
          <w:color w:val="231F20"/>
          <w:spacing w:val="-11"/>
        </w:rPr>
        <w:t> </w:t>
      </w:r>
      <w:r>
        <w:rPr>
          <w:color w:val="231F20"/>
        </w:rPr>
        <w:t>two</w:t>
      </w:r>
      <w:r>
        <w:rPr>
          <w:color w:val="231F20"/>
          <w:spacing w:val="-11"/>
        </w:rPr>
        <w:t> </w:t>
      </w:r>
      <w:r>
        <w:rPr>
          <w:color w:val="231F20"/>
        </w:rPr>
        <w:t>different </w:t>
      </w:r>
      <w:r>
        <w:rPr>
          <w:color w:val="231F20"/>
          <w:spacing w:val="-4"/>
        </w:rPr>
        <w:t>Member</w:t>
      </w:r>
      <w:r>
        <w:rPr>
          <w:color w:val="231F20"/>
          <w:spacing w:val="-8"/>
        </w:rPr>
        <w:t> </w:t>
      </w:r>
      <w:r>
        <w:rPr>
          <w:color w:val="231F20"/>
          <w:spacing w:val="-4"/>
        </w:rPr>
        <w:t>States</w:t>
      </w:r>
      <w:r>
        <w:rPr>
          <w:color w:val="231F20"/>
          <w:spacing w:val="-8"/>
        </w:rPr>
        <w:t> </w:t>
      </w:r>
      <w:r>
        <w:rPr>
          <w:color w:val="231F20"/>
          <w:spacing w:val="-4"/>
        </w:rPr>
        <w:t>as</w:t>
      </w:r>
      <w:r>
        <w:rPr>
          <w:color w:val="231F20"/>
          <w:spacing w:val="-8"/>
        </w:rPr>
        <w:t> </w:t>
      </w:r>
      <w:r>
        <w:rPr>
          <w:color w:val="231F20"/>
          <w:spacing w:val="-4"/>
        </w:rPr>
        <w:t>to</w:t>
      </w:r>
      <w:r>
        <w:rPr>
          <w:color w:val="231F20"/>
          <w:spacing w:val="-8"/>
        </w:rPr>
        <w:t> </w:t>
      </w:r>
      <w:r>
        <w:rPr>
          <w:color w:val="231F20"/>
          <w:spacing w:val="-4"/>
        </w:rPr>
        <w:t>the</w:t>
      </w:r>
      <w:r>
        <w:rPr>
          <w:color w:val="231F20"/>
          <w:spacing w:val="-8"/>
        </w:rPr>
        <w:t> </w:t>
      </w:r>
      <w:r>
        <w:rPr>
          <w:color w:val="231F20"/>
          <w:spacing w:val="-4"/>
        </w:rPr>
        <w:t>legal</w:t>
      </w:r>
      <w:r>
        <w:rPr>
          <w:color w:val="231F20"/>
          <w:spacing w:val="-8"/>
        </w:rPr>
        <w:t> </w:t>
      </w:r>
      <w:r>
        <w:rPr>
          <w:color w:val="231F20"/>
          <w:spacing w:val="-4"/>
        </w:rPr>
        <w:t>qualification</w:t>
      </w:r>
      <w:r>
        <w:rPr>
          <w:color w:val="231F20"/>
          <w:spacing w:val="-8"/>
        </w:rPr>
        <w:t> </w:t>
      </w:r>
      <w:r>
        <w:rPr>
          <w:color w:val="231F20"/>
          <w:spacing w:val="-4"/>
        </w:rPr>
        <w:t>of</w:t>
      </w:r>
      <w:r>
        <w:rPr>
          <w:color w:val="231F20"/>
          <w:spacing w:val="-8"/>
        </w:rPr>
        <w:t> </w:t>
      </w:r>
      <w:r>
        <w:rPr>
          <w:color w:val="231F20"/>
          <w:spacing w:val="-4"/>
        </w:rPr>
        <w:t>the</w:t>
      </w:r>
      <w:r>
        <w:rPr>
          <w:color w:val="231F20"/>
          <w:spacing w:val="-8"/>
        </w:rPr>
        <w:t> </w:t>
      </w:r>
      <w:r>
        <w:rPr>
          <w:color w:val="231F20"/>
          <w:spacing w:val="-4"/>
        </w:rPr>
        <w:t>same</w:t>
      </w:r>
      <w:r>
        <w:rPr>
          <w:color w:val="231F20"/>
          <w:spacing w:val="-8"/>
        </w:rPr>
        <w:t> </w:t>
      </w:r>
      <w:r>
        <w:rPr>
          <w:color w:val="231F20"/>
          <w:spacing w:val="-4"/>
        </w:rPr>
        <w:t>taxable</w:t>
      </w:r>
      <w:r>
        <w:rPr>
          <w:color w:val="231F20"/>
          <w:spacing w:val="-8"/>
        </w:rPr>
        <w:t> </w:t>
      </w:r>
      <w:r>
        <w:rPr>
          <w:color w:val="231F20"/>
          <w:spacing w:val="-4"/>
        </w:rPr>
        <w:t>transactions.</w:t>
      </w:r>
      <w:r>
        <w:rPr>
          <w:color w:val="231F20"/>
          <w:spacing w:val="-8"/>
        </w:rPr>
        <w:t> </w:t>
      </w:r>
      <w:r>
        <w:rPr>
          <w:color w:val="231F20"/>
          <w:spacing w:val="-4"/>
        </w:rPr>
        <w:t>It </w:t>
      </w:r>
      <w:r>
        <w:rPr>
          <w:color w:val="231F20"/>
          <w:spacing w:val="-2"/>
        </w:rPr>
        <w:t>follows,</w:t>
      </w:r>
      <w:r>
        <w:rPr>
          <w:color w:val="231F20"/>
          <w:spacing w:val="-13"/>
        </w:rPr>
        <w:t> </w:t>
      </w:r>
      <w:r>
        <w:rPr>
          <w:color w:val="231F20"/>
          <w:spacing w:val="-2"/>
        </w:rPr>
        <w:t>pursuant</w:t>
      </w:r>
      <w:r>
        <w:rPr>
          <w:color w:val="231F20"/>
          <w:spacing w:val="-13"/>
        </w:rPr>
        <w:t> </w:t>
      </w:r>
      <w:r>
        <w:rPr>
          <w:color w:val="231F20"/>
          <w:spacing w:val="-2"/>
        </w:rPr>
        <w:t>to</w:t>
      </w:r>
      <w:r>
        <w:rPr>
          <w:color w:val="231F20"/>
          <w:spacing w:val="-13"/>
        </w:rPr>
        <w:t> </w:t>
      </w:r>
      <w:r>
        <w:rPr>
          <w:color w:val="231F20"/>
          <w:spacing w:val="-2"/>
        </w:rPr>
        <w:t>the</w:t>
      </w:r>
      <w:r>
        <w:rPr>
          <w:color w:val="231F20"/>
          <w:spacing w:val="-13"/>
        </w:rPr>
        <w:t> </w:t>
      </w:r>
      <w:r>
        <w:rPr>
          <w:color w:val="231F20"/>
          <w:spacing w:val="-2"/>
        </w:rPr>
        <w:t>Union</w:t>
      </w:r>
      <w:r>
        <w:rPr>
          <w:color w:val="231F20"/>
          <w:spacing w:val="-13"/>
        </w:rPr>
        <w:t> </w:t>
      </w:r>
      <w:r>
        <w:rPr>
          <w:color w:val="231F20"/>
          <w:spacing w:val="-2"/>
        </w:rPr>
        <w:t>judges,</w:t>
      </w:r>
      <w:r>
        <w:rPr>
          <w:color w:val="231F20"/>
          <w:spacing w:val="-13"/>
        </w:rPr>
        <w:t> </w:t>
      </w:r>
      <w:r>
        <w:rPr>
          <w:color w:val="231F20"/>
          <w:spacing w:val="-2"/>
        </w:rPr>
        <w:t>that</w:t>
      </w:r>
      <w:r>
        <w:rPr>
          <w:color w:val="231F20"/>
          <w:spacing w:val="-13"/>
        </w:rPr>
        <w:t> </w:t>
      </w:r>
      <w:r>
        <w:rPr>
          <w:color w:val="231F20"/>
          <w:spacing w:val="-2"/>
        </w:rPr>
        <w:t>Regulation</w:t>
      </w:r>
      <w:r>
        <w:rPr>
          <w:color w:val="231F20"/>
          <w:spacing w:val="-13"/>
        </w:rPr>
        <w:t> </w:t>
      </w:r>
      <w:r>
        <w:rPr>
          <w:color w:val="231F20"/>
          <w:spacing w:val="-2"/>
        </w:rPr>
        <w:t>904/2010</w:t>
      </w:r>
      <w:r>
        <w:rPr>
          <w:color w:val="231F20"/>
          <w:spacing w:val="-13"/>
        </w:rPr>
        <w:t> </w:t>
      </w:r>
      <w:r>
        <w:rPr>
          <w:color w:val="231F20"/>
          <w:spacing w:val="-2"/>
        </w:rPr>
        <w:t>neither</w:t>
      </w:r>
      <w:r>
        <w:rPr>
          <w:color w:val="231F20"/>
          <w:spacing w:val="-13"/>
        </w:rPr>
        <w:t> </w:t>
      </w:r>
      <w:r>
        <w:rPr>
          <w:color w:val="231F20"/>
          <w:spacing w:val="-2"/>
        </w:rPr>
        <w:t>re- quires</w:t>
      </w:r>
      <w:r>
        <w:rPr>
          <w:color w:val="231F20"/>
          <w:spacing w:val="-10"/>
        </w:rPr>
        <w:t> </w:t>
      </w:r>
      <w:r>
        <w:rPr>
          <w:color w:val="231F20"/>
          <w:spacing w:val="-2"/>
        </w:rPr>
        <w:t>the</w:t>
      </w:r>
      <w:r>
        <w:rPr>
          <w:color w:val="231F20"/>
          <w:spacing w:val="-10"/>
        </w:rPr>
        <w:t> </w:t>
      </w:r>
      <w:r>
        <w:rPr>
          <w:color w:val="231F20"/>
          <w:spacing w:val="-2"/>
        </w:rPr>
        <w:t>tax</w:t>
      </w:r>
      <w:r>
        <w:rPr>
          <w:color w:val="231F20"/>
          <w:spacing w:val="-10"/>
        </w:rPr>
        <w:t> </w:t>
      </w:r>
      <w:r>
        <w:rPr>
          <w:color w:val="231F20"/>
          <w:spacing w:val="-2"/>
        </w:rPr>
        <w:t>authorities</w:t>
      </w:r>
      <w:r>
        <w:rPr>
          <w:color w:val="231F20"/>
          <w:spacing w:val="-10"/>
        </w:rPr>
        <w:t> </w:t>
      </w:r>
      <w:r>
        <w:rPr>
          <w:color w:val="231F20"/>
          <w:spacing w:val="-2"/>
        </w:rPr>
        <w:t>of</w:t>
      </w:r>
      <w:r>
        <w:rPr>
          <w:color w:val="231F20"/>
          <w:spacing w:val="-10"/>
        </w:rPr>
        <w:t> </w:t>
      </w:r>
      <w:r>
        <w:rPr>
          <w:color w:val="231F20"/>
          <w:spacing w:val="-2"/>
        </w:rPr>
        <w:t>two</w:t>
      </w:r>
      <w:r>
        <w:rPr>
          <w:color w:val="231F20"/>
          <w:spacing w:val="-10"/>
        </w:rPr>
        <w:t> </w:t>
      </w:r>
      <w:r>
        <w:rPr>
          <w:color w:val="231F20"/>
          <w:spacing w:val="-2"/>
        </w:rPr>
        <w:t>Member</w:t>
      </w:r>
      <w:r>
        <w:rPr>
          <w:color w:val="231F20"/>
          <w:spacing w:val="-10"/>
        </w:rPr>
        <w:t> </w:t>
      </w:r>
      <w:r>
        <w:rPr>
          <w:color w:val="231F20"/>
          <w:spacing w:val="-2"/>
        </w:rPr>
        <w:t>States</w:t>
      </w:r>
      <w:r>
        <w:rPr>
          <w:color w:val="231F20"/>
          <w:spacing w:val="-10"/>
        </w:rPr>
        <w:t> </w:t>
      </w:r>
      <w:r>
        <w:rPr>
          <w:color w:val="231F20"/>
          <w:spacing w:val="-2"/>
        </w:rPr>
        <w:t>to</w:t>
      </w:r>
      <w:r>
        <w:rPr>
          <w:color w:val="231F20"/>
          <w:spacing w:val="-10"/>
        </w:rPr>
        <w:t> </w:t>
      </w:r>
      <w:r>
        <w:rPr>
          <w:color w:val="231F20"/>
          <w:spacing w:val="-2"/>
        </w:rPr>
        <w:t>reach</w:t>
      </w:r>
      <w:r>
        <w:rPr>
          <w:color w:val="231F20"/>
          <w:spacing w:val="-10"/>
        </w:rPr>
        <w:t> </w:t>
      </w:r>
      <w:r>
        <w:rPr>
          <w:color w:val="231F20"/>
          <w:spacing w:val="-2"/>
        </w:rPr>
        <w:t>a</w:t>
      </w:r>
      <w:r>
        <w:rPr>
          <w:color w:val="231F20"/>
          <w:spacing w:val="-10"/>
        </w:rPr>
        <w:t> </w:t>
      </w:r>
      <w:r>
        <w:rPr>
          <w:color w:val="231F20"/>
          <w:spacing w:val="-2"/>
        </w:rPr>
        <w:t>common</w:t>
      </w:r>
      <w:r>
        <w:rPr>
          <w:color w:val="231F20"/>
          <w:spacing w:val="-10"/>
        </w:rPr>
        <w:t> </w:t>
      </w:r>
      <w:r>
        <w:rPr>
          <w:color w:val="231F20"/>
          <w:spacing w:val="-2"/>
        </w:rPr>
        <w:t>solution </w:t>
      </w:r>
      <w:r>
        <w:rPr>
          <w:color w:val="231F20"/>
        </w:rPr>
        <w:t>as</w:t>
      </w:r>
      <w:r>
        <w:rPr>
          <w:color w:val="231F20"/>
          <w:spacing w:val="-6"/>
        </w:rPr>
        <w:t> </w:t>
      </w:r>
      <w:r>
        <w:rPr>
          <w:color w:val="231F20"/>
        </w:rPr>
        <w:t>regards</w:t>
      </w:r>
      <w:r>
        <w:rPr>
          <w:color w:val="231F20"/>
          <w:spacing w:val="-6"/>
        </w:rPr>
        <w:t> </w:t>
      </w:r>
      <w:r>
        <w:rPr>
          <w:color w:val="231F20"/>
        </w:rPr>
        <w:t>the</w:t>
      </w:r>
      <w:r>
        <w:rPr>
          <w:color w:val="231F20"/>
          <w:spacing w:val="-6"/>
        </w:rPr>
        <w:t> </w:t>
      </w:r>
      <w:r>
        <w:rPr>
          <w:color w:val="231F20"/>
        </w:rPr>
        <w:t>treatment</w:t>
      </w:r>
      <w:r>
        <w:rPr>
          <w:color w:val="231F20"/>
          <w:spacing w:val="-6"/>
        </w:rPr>
        <w:t> </w:t>
      </w:r>
      <w:r>
        <w:rPr>
          <w:color w:val="231F20"/>
        </w:rPr>
        <w:t>of</w:t>
      </w:r>
      <w:r>
        <w:rPr>
          <w:color w:val="231F20"/>
          <w:spacing w:val="-6"/>
        </w:rPr>
        <w:t> </w:t>
      </w:r>
      <w:r>
        <w:rPr>
          <w:color w:val="231F20"/>
        </w:rPr>
        <w:t>a</w:t>
      </w:r>
      <w:r>
        <w:rPr>
          <w:color w:val="231F20"/>
          <w:spacing w:val="-6"/>
        </w:rPr>
        <w:t> </w:t>
      </w:r>
      <w:r>
        <w:rPr>
          <w:color w:val="231F20"/>
        </w:rPr>
        <w:t>transaction</w:t>
      </w:r>
      <w:r>
        <w:rPr>
          <w:color w:val="231F20"/>
          <w:spacing w:val="-6"/>
        </w:rPr>
        <w:t> </w:t>
      </w:r>
      <w:r>
        <w:rPr>
          <w:color w:val="231F20"/>
        </w:rPr>
        <w:t>for</w:t>
      </w:r>
      <w:r>
        <w:rPr>
          <w:color w:val="231F20"/>
          <w:spacing w:val="-9"/>
        </w:rPr>
        <w:t> </w:t>
      </w:r>
      <w:r>
        <w:rPr>
          <w:color w:val="231F20"/>
        </w:rPr>
        <w:t>VAT</w:t>
      </w:r>
      <w:r>
        <w:rPr>
          <w:color w:val="231F20"/>
          <w:spacing w:val="-6"/>
        </w:rPr>
        <w:t> </w:t>
      </w:r>
      <w:r>
        <w:rPr>
          <w:color w:val="231F20"/>
        </w:rPr>
        <w:t>purposes,</w:t>
      </w:r>
      <w:r>
        <w:rPr>
          <w:color w:val="231F20"/>
          <w:spacing w:val="-6"/>
        </w:rPr>
        <w:t> </w:t>
      </w:r>
      <w:r>
        <w:rPr>
          <w:color w:val="231F20"/>
        </w:rPr>
        <w:t>nor</w:t>
      </w:r>
      <w:r>
        <w:rPr>
          <w:color w:val="231F20"/>
          <w:spacing w:val="-6"/>
        </w:rPr>
        <w:t> </w:t>
      </w:r>
      <w:r>
        <w:rPr>
          <w:color w:val="231F20"/>
        </w:rPr>
        <w:t>it</w:t>
      </w:r>
      <w:r>
        <w:rPr>
          <w:color w:val="231F20"/>
          <w:spacing w:val="-6"/>
        </w:rPr>
        <w:t> </w:t>
      </w:r>
      <w:r>
        <w:rPr>
          <w:color w:val="231F20"/>
        </w:rPr>
        <w:t>provides </w:t>
      </w:r>
      <w:r>
        <w:rPr>
          <w:color w:val="231F20"/>
          <w:spacing w:val="-2"/>
        </w:rPr>
        <w:t>that</w:t>
      </w:r>
      <w:r>
        <w:rPr>
          <w:color w:val="231F20"/>
          <w:spacing w:val="-9"/>
        </w:rPr>
        <w:t> </w:t>
      </w:r>
      <w:r>
        <w:rPr>
          <w:color w:val="231F20"/>
          <w:spacing w:val="-2"/>
        </w:rPr>
        <w:t>the</w:t>
      </w:r>
      <w:r>
        <w:rPr>
          <w:color w:val="231F20"/>
          <w:spacing w:val="-9"/>
        </w:rPr>
        <w:t> </w:t>
      </w:r>
      <w:r>
        <w:rPr>
          <w:color w:val="231F20"/>
          <w:spacing w:val="-2"/>
        </w:rPr>
        <w:t>tax</w:t>
      </w:r>
      <w:r>
        <w:rPr>
          <w:color w:val="231F20"/>
          <w:spacing w:val="-9"/>
        </w:rPr>
        <w:t> </w:t>
      </w:r>
      <w:r>
        <w:rPr>
          <w:color w:val="231F20"/>
          <w:spacing w:val="-2"/>
        </w:rPr>
        <w:t>authorities</w:t>
      </w:r>
      <w:r>
        <w:rPr>
          <w:color w:val="231F20"/>
          <w:spacing w:val="-9"/>
        </w:rPr>
        <w:t> </w:t>
      </w:r>
      <w:r>
        <w:rPr>
          <w:color w:val="231F20"/>
          <w:spacing w:val="-2"/>
        </w:rPr>
        <w:t>of</w:t>
      </w:r>
      <w:r>
        <w:rPr>
          <w:color w:val="231F20"/>
          <w:spacing w:val="-9"/>
        </w:rPr>
        <w:t> </w:t>
      </w:r>
      <w:r>
        <w:rPr>
          <w:color w:val="231F20"/>
          <w:spacing w:val="-2"/>
        </w:rPr>
        <w:t>one</w:t>
      </w:r>
      <w:r>
        <w:rPr>
          <w:color w:val="231F20"/>
          <w:spacing w:val="-9"/>
        </w:rPr>
        <w:t> </w:t>
      </w:r>
      <w:r>
        <w:rPr>
          <w:color w:val="231F20"/>
          <w:spacing w:val="-2"/>
        </w:rPr>
        <w:t>Member</w:t>
      </w:r>
      <w:r>
        <w:rPr>
          <w:color w:val="231F20"/>
          <w:spacing w:val="-9"/>
        </w:rPr>
        <w:t> </w:t>
      </w:r>
      <w:r>
        <w:rPr>
          <w:color w:val="231F20"/>
          <w:spacing w:val="-2"/>
        </w:rPr>
        <w:t>States</w:t>
      </w:r>
      <w:r>
        <w:rPr>
          <w:color w:val="231F20"/>
          <w:spacing w:val="-9"/>
        </w:rPr>
        <w:t> </w:t>
      </w:r>
      <w:r>
        <w:rPr>
          <w:color w:val="231F20"/>
          <w:spacing w:val="-2"/>
        </w:rPr>
        <w:t>are</w:t>
      </w:r>
      <w:r>
        <w:rPr>
          <w:color w:val="231F20"/>
          <w:spacing w:val="-9"/>
        </w:rPr>
        <w:t> </w:t>
      </w:r>
      <w:r>
        <w:rPr>
          <w:color w:val="231F20"/>
          <w:spacing w:val="-2"/>
        </w:rPr>
        <w:t>bound</w:t>
      </w:r>
      <w:r>
        <w:rPr>
          <w:color w:val="231F20"/>
          <w:spacing w:val="-9"/>
        </w:rPr>
        <w:t> </w:t>
      </w:r>
      <w:r>
        <w:rPr>
          <w:color w:val="231F20"/>
          <w:spacing w:val="-2"/>
        </w:rPr>
        <w:t>by</w:t>
      </w:r>
      <w:r>
        <w:rPr>
          <w:color w:val="231F20"/>
          <w:spacing w:val="-9"/>
        </w:rPr>
        <w:t> </w:t>
      </w:r>
      <w:r>
        <w:rPr>
          <w:color w:val="231F20"/>
          <w:spacing w:val="-2"/>
        </w:rPr>
        <w:t>the</w:t>
      </w:r>
      <w:r>
        <w:rPr>
          <w:color w:val="231F20"/>
          <w:spacing w:val="-9"/>
        </w:rPr>
        <w:t> </w:t>
      </w:r>
      <w:r>
        <w:rPr>
          <w:color w:val="231F20"/>
          <w:spacing w:val="-2"/>
        </w:rPr>
        <w:t>classification </w:t>
      </w:r>
      <w:r>
        <w:rPr>
          <w:color w:val="231F20"/>
        </w:rPr>
        <w:t>given</w:t>
      </w:r>
      <w:r>
        <w:rPr>
          <w:color w:val="231F20"/>
          <w:spacing w:val="-9"/>
        </w:rPr>
        <w:t> </w:t>
      </w:r>
      <w:r>
        <w:rPr>
          <w:color w:val="231F20"/>
        </w:rPr>
        <w:t>to</w:t>
      </w:r>
      <w:r>
        <w:rPr>
          <w:color w:val="231F20"/>
          <w:spacing w:val="-9"/>
        </w:rPr>
        <w:t> </w:t>
      </w:r>
      <w:r>
        <w:rPr>
          <w:color w:val="231F20"/>
        </w:rPr>
        <w:t>that</w:t>
      </w:r>
      <w:r>
        <w:rPr>
          <w:color w:val="231F20"/>
          <w:spacing w:val="-9"/>
        </w:rPr>
        <w:t> </w:t>
      </w:r>
      <w:r>
        <w:rPr>
          <w:color w:val="231F20"/>
        </w:rPr>
        <w:t>transaction</w:t>
      </w:r>
      <w:r>
        <w:rPr>
          <w:color w:val="231F20"/>
          <w:spacing w:val="-9"/>
        </w:rPr>
        <w:t> </w:t>
      </w:r>
      <w:r>
        <w:rPr>
          <w:color w:val="231F20"/>
        </w:rPr>
        <w:t>by</w:t>
      </w:r>
      <w:r>
        <w:rPr>
          <w:color w:val="231F20"/>
          <w:spacing w:val="-9"/>
        </w:rPr>
        <w:t> </w:t>
      </w:r>
      <w:r>
        <w:rPr>
          <w:color w:val="231F20"/>
        </w:rPr>
        <w:t>the</w:t>
      </w:r>
      <w:r>
        <w:rPr>
          <w:color w:val="231F20"/>
          <w:spacing w:val="-9"/>
        </w:rPr>
        <w:t> </w:t>
      </w:r>
      <w:r>
        <w:rPr>
          <w:color w:val="231F20"/>
        </w:rPr>
        <w:t>tax</w:t>
      </w:r>
      <w:r>
        <w:rPr>
          <w:color w:val="231F20"/>
          <w:spacing w:val="-9"/>
        </w:rPr>
        <w:t> </w:t>
      </w:r>
      <w:r>
        <w:rPr>
          <w:color w:val="231F20"/>
        </w:rPr>
        <w:t>authorities</w:t>
      </w:r>
      <w:r>
        <w:rPr>
          <w:color w:val="231F20"/>
          <w:spacing w:val="-9"/>
        </w:rPr>
        <w:t> </w:t>
      </w:r>
      <w:r>
        <w:rPr>
          <w:color w:val="231F20"/>
        </w:rPr>
        <w:t>of</w:t>
      </w:r>
      <w:r>
        <w:rPr>
          <w:color w:val="231F20"/>
          <w:spacing w:val="-9"/>
        </w:rPr>
        <w:t> </w:t>
      </w:r>
      <w:r>
        <w:rPr>
          <w:color w:val="231F20"/>
        </w:rPr>
        <w:t>another</w:t>
      </w:r>
      <w:r>
        <w:rPr>
          <w:color w:val="231F20"/>
          <w:spacing w:val="-9"/>
        </w:rPr>
        <w:t> </w:t>
      </w:r>
      <w:r>
        <w:rPr>
          <w:color w:val="231F20"/>
        </w:rPr>
        <w:t>Member</w:t>
      </w:r>
      <w:r>
        <w:rPr>
          <w:color w:val="231F20"/>
          <w:spacing w:val="-9"/>
        </w:rPr>
        <w:t> </w:t>
      </w:r>
      <w:r>
        <w:rPr>
          <w:color w:val="231F20"/>
        </w:rPr>
        <w:t>State</w:t>
      </w:r>
      <w:r>
        <w:rPr>
          <w:color w:val="231F20"/>
          <w:spacing w:val="-9"/>
        </w:rPr>
        <w:t> </w:t>
      </w:r>
      <w:r>
        <w:rPr>
          <w:color w:val="231F20"/>
          <w:position w:val="8"/>
          <w:sz w:val="14"/>
        </w:rPr>
        <w:t>40</w:t>
      </w:r>
      <w:r>
        <w:rPr>
          <w:color w:val="231F20"/>
        </w:rPr>
        <w:t>.</w:t>
      </w:r>
    </w:p>
    <w:p>
      <w:pPr>
        <w:pStyle w:val="BodyText"/>
        <w:spacing w:line="225" w:lineRule="auto" w:before="21"/>
        <w:ind w:left="100" w:right="175" w:firstLine="340"/>
        <w:jc w:val="both"/>
      </w:pPr>
      <w:r>
        <w:rPr>
          <w:color w:val="231F20"/>
        </w:rPr>
        <w:t>However, since the different qualification for VAT purposes given to the</w:t>
      </w:r>
      <w:r>
        <w:rPr>
          <w:color w:val="231F20"/>
          <w:spacing w:val="-4"/>
        </w:rPr>
        <w:t> </w:t>
      </w:r>
      <w:r>
        <w:rPr>
          <w:color w:val="231F20"/>
        </w:rPr>
        <w:t>same</w:t>
      </w:r>
      <w:r>
        <w:rPr>
          <w:color w:val="231F20"/>
          <w:spacing w:val="-3"/>
        </w:rPr>
        <w:t> </w:t>
      </w:r>
      <w:r>
        <w:rPr>
          <w:color w:val="231F20"/>
        </w:rPr>
        <w:t>taxable</w:t>
      </w:r>
      <w:r>
        <w:rPr>
          <w:color w:val="231F20"/>
          <w:spacing w:val="-4"/>
        </w:rPr>
        <w:t> </w:t>
      </w:r>
      <w:r>
        <w:rPr>
          <w:color w:val="231F20"/>
        </w:rPr>
        <w:t>transaction</w:t>
      </w:r>
      <w:r>
        <w:rPr>
          <w:color w:val="231F20"/>
          <w:spacing w:val="-3"/>
        </w:rPr>
        <w:t> </w:t>
      </w:r>
      <w:r>
        <w:rPr>
          <w:color w:val="231F20"/>
        </w:rPr>
        <w:t>by</w:t>
      </w:r>
      <w:r>
        <w:rPr>
          <w:color w:val="231F20"/>
          <w:spacing w:val="-4"/>
        </w:rPr>
        <w:t> </w:t>
      </w:r>
      <w:r>
        <w:rPr>
          <w:color w:val="231F20"/>
        </w:rPr>
        <w:t>the</w:t>
      </w:r>
      <w:r>
        <w:rPr>
          <w:color w:val="231F20"/>
          <w:spacing w:val="-3"/>
        </w:rPr>
        <w:t> </w:t>
      </w:r>
      <w:r>
        <w:rPr>
          <w:color w:val="231F20"/>
        </w:rPr>
        <w:t>administrations</w:t>
      </w:r>
      <w:r>
        <w:rPr>
          <w:color w:val="231F20"/>
          <w:spacing w:val="-4"/>
        </w:rPr>
        <w:t> </w:t>
      </w:r>
      <w:r>
        <w:rPr>
          <w:color w:val="231F20"/>
        </w:rPr>
        <w:t>of</w:t>
      </w:r>
      <w:r>
        <w:rPr>
          <w:color w:val="231F20"/>
          <w:spacing w:val="-3"/>
        </w:rPr>
        <w:t> </w:t>
      </w:r>
      <w:r>
        <w:rPr>
          <w:color w:val="231F20"/>
        </w:rPr>
        <w:t>two</w:t>
      </w:r>
      <w:r>
        <w:rPr>
          <w:color w:val="231F20"/>
          <w:spacing w:val="-4"/>
        </w:rPr>
        <w:t> </w:t>
      </w:r>
      <w:r>
        <w:rPr>
          <w:color w:val="231F20"/>
        </w:rPr>
        <w:t>different</w:t>
      </w:r>
      <w:r>
        <w:rPr>
          <w:color w:val="231F20"/>
          <w:spacing w:val="-3"/>
        </w:rPr>
        <w:t> </w:t>
      </w:r>
      <w:r>
        <w:rPr>
          <w:color w:val="231F20"/>
          <w:spacing w:val="-4"/>
        </w:rPr>
        <w:t>Mem-</w:t>
      </w:r>
    </w:p>
    <w:p>
      <w:pPr>
        <w:pStyle w:val="BodyText"/>
        <w:spacing w:before="2"/>
        <w:rPr>
          <w:sz w:val="12"/>
        </w:rPr>
      </w:pPr>
      <w:r>
        <w:rPr/>
        <mc:AlternateContent>
          <mc:Choice Requires="wps">
            <w:drawing>
              <wp:anchor distT="0" distB="0" distL="0" distR="0" allowOverlap="1" layoutInCell="1" locked="0" behindDoc="1" simplePos="0" relativeHeight="487601152">
                <wp:simplePos x="0" y="0"/>
                <wp:positionH relativeFrom="page">
                  <wp:posOffset>864000</wp:posOffset>
                </wp:positionH>
                <wp:positionV relativeFrom="paragraph">
                  <wp:posOffset>113821</wp:posOffset>
                </wp:positionV>
                <wp:extent cx="792480" cy="1270"/>
                <wp:effectExtent l="0" t="0" r="0" b="0"/>
                <wp:wrapTopAndBottom/>
                <wp:docPr id="53" name="Graphic 53"/>
                <wp:cNvGraphicFramePr>
                  <a:graphicFrameLocks/>
                </wp:cNvGraphicFramePr>
                <a:graphic>
                  <a:graphicData uri="http://schemas.microsoft.com/office/word/2010/wordprocessingShape">
                    <wps:wsp>
                      <wps:cNvPr id="53" name="Graphic 53"/>
                      <wps:cNvSpPr/>
                      <wps:spPr>
                        <a:xfrm>
                          <a:off x="0" y="0"/>
                          <a:ext cx="792480" cy="1270"/>
                        </a:xfrm>
                        <a:custGeom>
                          <a:avLst/>
                          <a:gdLst/>
                          <a:ahLst/>
                          <a:cxnLst/>
                          <a:rect l="l" t="t" r="r" b="b"/>
                          <a:pathLst>
                            <a:path w="792480" h="0">
                              <a:moveTo>
                                <a:pt x="0" y="0"/>
                              </a:moveTo>
                              <a:lnTo>
                                <a:pt x="791997"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shape style="position:absolute;margin-left:68.031502pt;margin-top:8.962340pt;width:62.4pt;height:.1pt;mso-position-horizontal-relative:page;mso-position-vertical-relative:paragraph;z-index:-15715328;mso-wrap-distance-left:0;mso-wrap-distance-right:0" id="docshape44" coordorigin="1361,179" coordsize="1248,0" path="m1361,179l2608,179e" filled="false" stroked="true" strokeweight=".5pt" strokecolor="#231f20">
                <v:path arrowok="t"/>
                <v:stroke dashstyle="solid"/>
                <w10:wrap type="topAndBottom"/>
              </v:shape>
            </w:pict>
          </mc:Fallback>
        </mc:AlternateContent>
      </w:r>
    </w:p>
    <w:p>
      <w:pPr>
        <w:spacing w:line="235" w:lineRule="exact" w:before="190"/>
        <w:ind w:left="100" w:right="0" w:firstLine="0"/>
        <w:jc w:val="both"/>
        <w:rPr>
          <w:sz w:val="19"/>
        </w:rPr>
      </w:pPr>
      <w:r>
        <w:rPr>
          <w:color w:val="231F20"/>
          <w:position w:val="6"/>
          <w:sz w:val="11"/>
        </w:rPr>
        <w:t>37</w:t>
      </w:r>
      <w:r>
        <w:rPr>
          <w:color w:val="231F20"/>
          <w:spacing w:val="52"/>
          <w:position w:val="6"/>
          <w:sz w:val="11"/>
        </w:rPr>
        <w:t>  </w:t>
      </w:r>
      <w:r>
        <w:rPr>
          <w:color w:val="231F20"/>
          <w:sz w:val="19"/>
        </w:rPr>
        <w:t>Case </w:t>
      </w:r>
      <w:r>
        <w:rPr>
          <w:i/>
          <w:color w:val="231F20"/>
          <w:sz w:val="19"/>
        </w:rPr>
        <w:t>Enteco</w:t>
      </w:r>
      <w:r>
        <w:rPr>
          <w:i/>
          <w:color w:val="231F20"/>
          <w:spacing w:val="-1"/>
          <w:sz w:val="19"/>
        </w:rPr>
        <w:t> </w:t>
      </w:r>
      <w:r>
        <w:rPr>
          <w:i/>
          <w:color w:val="231F20"/>
          <w:sz w:val="19"/>
        </w:rPr>
        <w:t>Baltic</w:t>
      </w:r>
      <w:r>
        <w:rPr>
          <w:i/>
          <w:color w:val="231F20"/>
          <w:spacing w:val="-1"/>
          <w:sz w:val="19"/>
        </w:rPr>
        <w:t> </w:t>
      </w:r>
      <w:r>
        <w:rPr>
          <w:color w:val="231F20"/>
          <w:sz w:val="19"/>
        </w:rPr>
        <w:t>108/17, point</w:t>
      </w:r>
      <w:r>
        <w:rPr>
          <w:color w:val="231F20"/>
          <w:spacing w:val="-1"/>
          <w:sz w:val="19"/>
        </w:rPr>
        <w:t> </w:t>
      </w:r>
      <w:r>
        <w:rPr>
          <w:color w:val="231F20"/>
          <w:spacing w:val="-4"/>
          <w:sz w:val="19"/>
        </w:rPr>
        <w:t>103.</w:t>
      </w:r>
    </w:p>
    <w:p>
      <w:pPr>
        <w:spacing w:line="225" w:lineRule="auto" w:before="4"/>
        <w:ind w:left="100" w:right="174" w:firstLine="0"/>
        <w:jc w:val="both"/>
        <w:rPr>
          <w:sz w:val="19"/>
        </w:rPr>
      </w:pPr>
      <w:r>
        <w:rPr>
          <w:color w:val="231F20"/>
          <w:position w:val="6"/>
          <w:sz w:val="11"/>
        </w:rPr>
        <w:t>38</w:t>
      </w:r>
      <w:r>
        <w:rPr>
          <w:color w:val="231F20"/>
          <w:spacing w:val="80"/>
          <w:position w:val="6"/>
          <w:sz w:val="11"/>
        </w:rPr>
        <w:t> </w:t>
      </w:r>
      <w:r>
        <w:rPr>
          <w:color w:val="231F20"/>
          <w:sz w:val="19"/>
        </w:rPr>
        <w:t>The Member State referring jurisdiction in the two preliminary ruling cases </w:t>
      </w:r>
      <w:r>
        <w:rPr>
          <w:color w:val="231F20"/>
          <w:sz w:val="19"/>
        </w:rPr>
        <w:t>examined above was the Administrative Court of Budapest (Hungary).</w:t>
      </w:r>
    </w:p>
    <w:p>
      <w:pPr>
        <w:spacing w:line="225" w:lineRule="auto" w:before="2"/>
        <w:ind w:left="100" w:right="174" w:firstLine="0"/>
        <w:jc w:val="both"/>
        <w:rPr>
          <w:sz w:val="19"/>
        </w:rPr>
      </w:pPr>
      <w:r>
        <w:rPr>
          <w:color w:val="231F20"/>
          <w:spacing w:val="-2"/>
          <w:position w:val="6"/>
          <w:sz w:val="11"/>
        </w:rPr>
        <w:t>39</w:t>
      </w:r>
      <w:r>
        <w:rPr>
          <w:color w:val="231F20"/>
          <w:spacing w:val="20"/>
          <w:position w:val="6"/>
          <w:sz w:val="11"/>
        </w:rPr>
        <w:t> </w:t>
      </w:r>
      <w:r>
        <w:rPr>
          <w:color w:val="231F20"/>
          <w:spacing w:val="-2"/>
          <w:sz w:val="19"/>
        </w:rPr>
        <w:t>ECJ,</w:t>
      </w:r>
      <w:r>
        <w:rPr>
          <w:color w:val="231F20"/>
          <w:spacing w:val="-10"/>
          <w:sz w:val="19"/>
        </w:rPr>
        <w:t> </w:t>
      </w:r>
      <w:r>
        <w:rPr>
          <w:color w:val="231F20"/>
          <w:spacing w:val="-2"/>
          <w:sz w:val="19"/>
        </w:rPr>
        <w:t>18</w:t>
      </w:r>
      <w:r>
        <w:rPr>
          <w:color w:val="231F20"/>
          <w:spacing w:val="-10"/>
          <w:sz w:val="19"/>
        </w:rPr>
        <w:t> </w:t>
      </w:r>
      <w:r>
        <w:rPr>
          <w:color w:val="231F20"/>
          <w:spacing w:val="-2"/>
          <w:sz w:val="19"/>
        </w:rPr>
        <w:t>June</w:t>
      </w:r>
      <w:r>
        <w:rPr>
          <w:color w:val="231F20"/>
          <w:spacing w:val="-10"/>
          <w:sz w:val="19"/>
        </w:rPr>
        <w:t> </w:t>
      </w:r>
      <w:r>
        <w:rPr>
          <w:color w:val="231F20"/>
          <w:spacing w:val="-2"/>
          <w:sz w:val="19"/>
        </w:rPr>
        <w:t>2020,</w:t>
      </w:r>
      <w:r>
        <w:rPr>
          <w:color w:val="231F20"/>
          <w:spacing w:val="-10"/>
          <w:sz w:val="19"/>
        </w:rPr>
        <w:t> </w:t>
      </w:r>
      <w:r>
        <w:rPr>
          <w:color w:val="231F20"/>
          <w:spacing w:val="-2"/>
          <w:sz w:val="19"/>
        </w:rPr>
        <w:t>case</w:t>
      </w:r>
      <w:r>
        <w:rPr>
          <w:color w:val="231F20"/>
          <w:spacing w:val="-10"/>
          <w:sz w:val="19"/>
        </w:rPr>
        <w:t> </w:t>
      </w:r>
      <w:r>
        <w:rPr>
          <w:color w:val="231F20"/>
          <w:spacing w:val="-2"/>
          <w:sz w:val="19"/>
        </w:rPr>
        <w:t>C-276/18,</w:t>
      </w:r>
      <w:r>
        <w:rPr>
          <w:color w:val="231F20"/>
          <w:spacing w:val="-10"/>
          <w:sz w:val="19"/>
        </w:rPr>
        <w:t> </w:t>
      </w:r>
      <w:r>
        <w:rPr>
          <w:i/>
          <w:color w:val="231F20"/>
          <w:spacing w:val="-2"/>
          <w:sz w:val="19"/>
        </w:rPr>
        <w:t>KrakVet</w:t>
      </w:r>
      <w:r>
        <w:rPr>
          <w:i/>
          <w:color w:val="231F20"/>
          <w:spacing w:val="-10"/>
          <w:sz w:val="19"/>
        </w:rPr>
        <w:t> </w:t>
      </w:r>
      <w:r>
        <w:rPr>
          <w:i/>
          <w:color w:val="231F20"/>
          <w:spacing w:val="-2"/>
          <w:sz w:val="19"/>
        </w:rPr>
        <w:t>Marek</w:t>
      </w:r>
      <w:r>
        <w:rPr>
          <w:i/>
          <w:color w:val="231F20"/>
          <w:spacing w:val="-9"/>
          <w:sz w:val="19"/>
        </w:rPr>
        <w:t> </w:t>
      </w:r>
      <w:r>
        <w:rPr>
          <w:i/>
          <w:color w:val="231F20"/>
          <w:spacing w:val="-2"/>
          <w:sz w:val="19"/>
        </w:rPr>
        <w:t>Batko</w:t>
      </w:r>
      <w:r>
        <w:rPr>
          <w:i/>
          <w:color w:val="231F20"/>
          <w:spacing w:val="-10"/>
          <w:sz w:val="19"/>
        </w:rPr>
        <w:t> </w:t>
      </w:r>
      <w:r>
        <w:rPr>
          <w:i/>
          <w:color w:val="231F20"/>
          <w:spacing w:val="-2"/>
          <w:sz w:val="19"/>
        </w:rPr>
        <w:t>v.</w:t>
      </w:r>
      <w:r>
        <w:rPr>
          <w:i/>
          <w:color w:val="231F20"/>
          <w:spacing w:val="-10"/>
          <w:sz w:val="19"/>
        </w:rPr>
        <w:t> </w:t>
      </w:r>
      <w:r>
        <w:rPr>
          <w:i/>
          <w:color w:val="231F20"/>
          <w:spacing w:val="-2"/>
          <w:sz w:val="19"/>
        </w:rPr>
        <w:t>National</w:t>
      </w:r>
      <w:r>
        <w:rPr>
          <w:i/>
          <w:color w:val="231F20"/>
          <w:spacing w:val="-10"/>
          <w:sz w:val="19"/>
        </w:rPr>
        <w:t> </w:t>
      </w:r>
      <w:r>
        <w:rPr>
          <w:i/>
          <w:color w:val="231F20"/>
          <w:spacing w:val="-2"/>
          <w:sz w:val="19"/>
        </w:rPr>
        <w:t>directorate</w:t>
      </w:r>
      <w:r>
        <w:rPr>
          <w:i/>
          <w:color w:val="231F20"/>
          <w:spacing w:val="-10"/>
          <w:sz w:val="19"/>
        </w:rPr>
        <w:t> </w:t>
      </w:r>
      <w:r>
        <w:rPr>
          <w:i/>
          <w:color w:val="231F20"/>
          <w:spacing w:val="-2"/>
          <w:sz w:val="19"/>
        </w:rPr>
        <w:t>for</w:t>
      </w:r>
      <w:r>
        <w:rPr>
          <w:i/>
          <w:color w:val="231F20"/>
          <w:spacing w:val="-10"/>
          <w:sz w:val="19"/>
        </w:rPr>
        <w:t> </w:t>
      </w:r>
      <w:r>
        <w:rPr>
          <w:i/>
          <w:color w:val="231F20"/>
          <w:spacing w:val="-2"/>
          <w:sz w:val="19"/>
        </w:rPr>
        <w:t>tax</w:t>
      </w:r>
      <w:r>
        <w:rPr>
          <w:i/>
          <w:color w:val="231F20"/>
          <w:spacing w:val="-10"/>
          <w:sz w:val="19"/>
        </w:rPr>
        <w:t> </w:t>
      </w:r>
      <w:r>
        <w:rPr>
          <w:i/>
          <w:color w:val="231F20"/>
          <w:spacing w:val="-2"/>
          <w:sz w:val="19"/>
        </w:rPr>
        <w:t>appeals</w:t>
      </w:r>
      <w:r>
        <w:rPr>
          <w:color w:val="231F20"/>
          <w:spacing w:val="-2"/>
          <w:sz w:val="19"/>
        </w:rPr>
        <w:t>. For</w:t>
      </w:r>
      <w:r>
        <w:rPr>
          <w:color w:val="231F20"/>
          <w:spacing w:val="-10"/>
          <w:sz w:val="19"/>
        </w:rPr>
        <w:t> </w:t>
      </w:r>
      <w:r>
        <w:rPr>
          <w:color w:val="231F20"/>
          <w:spacing w:val="-2"/>
          <w:sz w:val="19"/>
        </w:rPr>
        <w:t>a</w:t>
      </w:r>
      <w:r>
        <w:rPr>
          <w:color w:val="231F20"/>
          <w:spacing w:val="-10"/>
          <w:sz w:val="19"/>
        </w:rPr>
        <w:t> </w:t>
      </w:r>
      <w:r>
        <w:rPr>
          <w:color w:val="231F20"/>
          <w:spacing w:val="-2"/>
          <w:sz w:val="19"/>
        </w:rPr>
        <w:t>detailed</w:t>
      </w:r>
      <w:r>
        <w:rPr>
          <w:color w:val="231F20"/>
          <w:spacing w:val="-10"/>
          <w:sz w:val="19"/>
        </w:rPr>
        <w:t> </w:t>
      </w:r>
      <w:r>
        <w:rPr>
          <w:color w:val="231F20"/>
          <w:spacing w:val="-2"/>
          <w:sz w:val="19"/>
        </w:rPr>
        <w:t>comment</w:t>
      </w:r>
      <w:r>
        <w:rPr>
          <w:color w:val="231F20"/>
          <w:spacing w:val="-8"/>
          <w:sz w:val="19"/>
        </w:rPr>
        <w:t> </w:t>
      </w:r>
      <w:r>
        <w:rPr>
          <w:color w:val="231F20"/>
          <w:spacing w:val="-2"/>
          <w:sz w:val="19"/>
        </w:rPr>
        <w:t>see</w:t>
      </w:r>
      <w:r>
        <w:rPr>
          <w:color w:val="231F20"/>
          <w:spacing w:val="-8"/>
          <w:sz w:val="19"/>
        </w:rPr>
        <w:t> </w:t>
      </w:r>
      <w:r>
        <w:rPr>
          <w:color w:val="231F20"/>
          <w:spacing w:val="-2"/>
          <w:sz w:val="19"/>
        </w:rPr>
        <w:t>Ed.</w:t>
      </w:r>
      <w:r>
        <w:rPr>
          <w:color w:val="231F20"/>
          <w:spacing w:val="-10"/>
          <w:sz w:val="19"/>
        </w:rPr>
        <w:t> </w:t>
      </w:r>
      <w:r>
        <w:rPr>
          <w:color w:val="231F20"/>
          <w:spacing w:val="-2"/>
          <w:sz w:val="19"/>
        </w:rPr>
        <w:t>Traversa</w:t>
      </w:r>
      <w:r>
        <w:rPr>
          <w:i/>
          <w:color w:val="231F20"/>
          <w:spacing w:val="-2"/>
          <w:sz w:val="19"/>
        </w:rPr>
        <w:t>,</w:t>
      </w:r>
      <w:r>
        <w:rPr>
          <w:i/>
          <w:color w:val="231F20"/>
          <w:spacing w:val="-8"/>
          <w:sz w:val="19"/>
        </w:rPr>
        <w:t> </w:t>
      </w:r>
      <w:r>
        <w:rPr>
          <w:i/>
          <w:color w:val="231F20"/>
          <w:spacing w:val="-2"/>
          <w:sz w:val="19"/>
        </w:rPr>
        <w:t>KrakVet</w:t>
      </w:r>
      <w:r>
        <w:rPr>
          <w:i/>
          <w:color w:val="231F20"/>
          <w:spacing w:val="-8"/>
          <w:sz w:val="19"/>
        </w:rPr>
        <w:t> </w:t>
      </w:r>
      <w:r>
        <w:rPr>
          <w:i/>
          <w:color w:val="231F20"/>
          <w:spacing w:val="-2"/>
          <w:sz w:val="19"/>
        </w:rPr>
        <w:t>Marek</w:t>
      </w:r>
      <w:r>
        <w:rPr>
          <w:i/>
          <w:color w:val="231F20"/>
          <w:spacing w:val="-8"/>
          <w:sz w:val="19"/>
        </w:rPr>
        <w:t> </w:t>
      </w:r>
      <w:r>
        <w:rPr>
          <w:i/>
          <w:color w:val="231F20"/>
          <w:spacing w:val="-2"/>
          <w:sz w:val="19"/>
        </w:rPr>
        <w:t>Batko</w:t>
      </w:r>
      <w:r>
        <w:rPr>
          <w:i/>
          <w:color w:val="231F20"/>
          <w:spacing w:val="-8"/>
          <w:sz w:val="19"/>
        </w:rPr>
        <w:t> </w:t>
      </w:r>
      <w:r>
        <w:rPr>
          <w:i/>
          <w:color w:val="231F20"/>
          <w:spacing w:val="-2"/>
          <w:sz w:val="19"/>
        </w:rPr>
        <w:t>(Case</w:t>
      </w:r>
      <w:r>
        <w:rPr>
          <w:i/>
          <w:color w:val="231F20"/>
          <w:spacing w:val="-8"/>
          <w:sz w:val="19"/>
        </w:rPr>
        <w:t> </w:t>
      </w:r>
      <w:r>
        <w:rPr>
          <w:i/>
          <w:color w:val="231F20"/>
          <w:spacing w:val="-2"/>
          <w:sz w:val="19"/>
        </w:rPr>
        <w:t>C-276/18):</w:t>
      </w:r>
      <w:r>
        <w:rPr>
          <w:i/>
          <w:color w:val="231F20"/>
          <w:spacing w:val="-8"/>
          <w:sz w:val="19"/>
        </w:rPr>
        <w:t> </w:t>
      </w:r>
      <w:r>
        <w:rPr>
          <w:i/>
          <w:color w:val="231F20"/>
          <w:spacing w:val="-2"/>
          <w:sz w:val="19"/>
        </w:rPr>
        <w:t>against</w:t>
      </w:r>
      <w:r>
        <w:rPr>
          <w:i/>
          <w:color w:val="231F20"/>
          <w:spacing w:val="-8"/>
          <w:sz w:val="19"/>
        </w:rPr>
        <w:t> </w:t>
      </w:r>
      <w:r>
        <w:rPr>
          <w:i/>
          <w:color w:val="231F20"/>
          <w:spacing w:val="-2"/>
          <w:sz w:val="19"/>
        </w:rPr>
        <w:t>all</w:t>
      </w:r>
      <w:r>
        <w:rPr>
          <w:i/>
          <w:color w:val="231F20"/>
          <w:spacing w:val="-8"/>
          <w:sz w:val="19"/>
        </w:rPr>
        <w:t> </w:t>
      </w:r>
      <w:r>
        <w:rPr>
          <w:i/>
          <w:color w:val="231F20"/>
          <w:spacing w:val="-2"/>
          <w:sz w:val="19"/>
        </w:rPr>
        <w:t>odds,</w:t>
      </w:r>
      <w:r>
        <w:rPr>
          <w:i/>
          <w:color w:val="231F20"/>
          <w:spacing w:val="-2"/>
          <w:sz w:val="19"/>
        </w:rPr>
        <w:t> </w:t>
      </w:r>
      <w:r>
        <w:rPr>
          <w:i/>
          <w:color w:val="231F20"/>
          <w:sz w:val="19"/>
        </w:rPr>
        <w:t>VAT</w:t>
      </w:r>
      <w:r>
        <w:rPr>
          <w:i/>
          <w:color w:val="231F20"/>
          <w:spacing w:val="-7"/>
          <w:sz w:val="19"/>
        </w:rPr>
        <w:t> </w:t>
      </w:r>
      <w:r>
        <w:rPr>
          <w:i/>
          <w:color w:val="231F20"/>
          <w:sz w:val="19"/>
        </w:rPr>
        <w:t>double</w:t>
      </w:r>
      <w:r>
        <w:rPr>
          <w:i/>
          <w:color w:val="231F20"/>
          <w:spacing w:val="-6"/>
          <w:sz w:val="19"/>
        </w:rPr>
        <w:t> </w:t>
      </w:r>
      <w:r>
        <w:rPr>
          <w:i/>
          <w:color w:val="231F20"/>
          <w:sz w:val="19"/>
        </w:rPr>
        <w:t>taxation</w:t>
      </w:r>
      <w:r>
        <w:rPr>
          <w:i/>
          <w:color w:val="231F20"/>
          <w:spacing w:val="-6"/>
          <w:sz w:val="19"/>
        </w:rPr>
        <w:t> </w:t>
      </w:r>
      <w:r>
        <w:rPr>
          <w:i/>
          <w:color w:val="231F20"/>
          <w:sz w:val="19"/>
        </w:rPr>
        <w:t>exists</w:t>
      </w:r>
      <w:r>
        <w:rPr>
          <w:i/>
          <w:color w:val="231F20"/>
          <w:spacing w:val="-6"/>
          <w:sz w:val="19"/>
        </w:rPr>
        <w:t> </w:t>
      </w:r>
      <w:r>
        <w:rPr>
          <w:i/>
          <w:color w:val="231F20"/>
          <w:sz w:val="19"/>
        </w:rPr>
        <w:t>in</w:t>
      </w:r>
      <w:r>
        <w:rPr>
          <w:i/>
          <w:color w:val="231F20"/>
          <w:spacing w:val="-6"/>
          <w:sz w:val="19"/>
        </w:rPr>
        <w:t> </w:t>
      </w:r>
      <w:r>
        <w:rPr>
          <w:i/>
          <w:color w:val="231F20"/>
          <w:sz w:val="19"/>
        </w:rPr>
        <w:t>the</w:t>
      </w:r>
      <w:r>
        <w:rPr>
          <w:i/>
          <w:color w:val="231F20"/>
          <w:spacing w:val="-6"/>
          <w:sz w:val="19"/>
        </w:rPr>
        <w:t> </w:t>
      </w:r>
      <w:r>
        <w:rPr>
          <w:i/>
          <w:color w:val="231F20"/>
          <w:sz w:val="19"/>
        </w:rPr>
        <w:t>EU</w:t>
      </w:r>
      <w:r>
        <w:rPr>
          <w:color w:val="231F20"/>
          <w:sz w:val="19"/>
        </w:rPr>
        <w:t>,</w:t>
      </w:r>
      <w:r>
        <w:rPr>
          <w:color w:val="231F20"/>
          <w:spacing w:val="-6"/>
          <w:sz w:val="19"/>
        </w:rPr>
        <w:t> </w:t>
      </w:r>
      <w:r>
        <w:rPr>
          <w:color w:val="231F20"/>
          <w:sz w:val="19"/>
        </w:rPr>
        <w:t>in</w:t>
      </w:r>
      <w:r>
        <w:rPr>
          <w:color w:val="231F20"/>
          <w:spacing w:val="-6"/>
          <w:sz w:val="19"/>
        </w:rPr>
        <w:t> </w:t>
      </w:r>
      <w:r>
        <w:rPr>
          <w:i/>
          <w:color w:val="231F20"/>
          <w:sz w:val="19"/>
        </w:rPr>
        <w:t>Kluwer</w:t>
      </w:r>
      <w:r>
        <w:rPr>
          <w:i/>
          <w:color w:val="231F20"/>
          <w:spacing w:val="-6"/>
          <w:sz w:val="19"/>
        </w:rPr>
        <w:t> </w:t>
      </w:r>
      <w:r>
        <w:rPr>
          <w:i/>
          <w:color w:val="231F20"/>
          <w:sz w:val="19"/>
        </w:rPr>
        <w:t>International</w:t>
      </w:r>
      <w:r>
        <w:rPr>
          <w:i/>
          <w:color w:val="231F20"/>
          <w:spacing w:val="-13"/>
          <w:sz w:val="19"/>
        </w:rPr>
        <w:t> </w:t>
      </w:r>
      <w:r>
        <w:rPr>
          <w:i/>
          <w:color w:val="231F20"/>
          <w:sz w:val="19"/>
        </w:rPr>
        <w:t>Tax</w:t>
      </w:r>
      <w:r>
        <w:rPr>
          <w:i/>
          <w:color w:val="231F20"/>
          <w:spacing w:val="-6"/>
          <w:sz w:val="19"/>
        </w:rPr>
        <w:t> </w:t>
      </w:r>
      <w:r>
        <w:rPr>
          <w:i/>
          <w:color w:val="231F20"/>
          <w:sz w:val="19"/>
        </w:rPr>
        <w:t>Blog,</w:t>
      </w:r>
      <w:r>
        <w:rPr>
          <w:i/>
          <w:color w:val="231F20"/>
          <w:spacing w:val="-6"/>
          <w:sz w:val="19"/>
        </w:rPr>
        <w:t> </w:t>
      </w:r>
      <w:r>
        <w:rPr>
          <w:color w:val="231F20"/>
          <w:sz w:val="19"/>
        </w:rPr>
        <w:t>27</w:t>
      </w:r>
      <w:r>
        <w:rPr>
          <w:color w:val="231F20"/>
          <w:spacing w:val="-6"/>
          <w:sz w:val="19"/>
        </w:rPr>
        <w:t> </w:t>
      </w:r>
      <w:r>
        <w:rPr>
          <w:color w:val="231F20"/>
          <w:sz w:val="19"/>
        </w:rPr>
        <w:t>July</w:t>
      </w:r>
      <w:r>
        <w:rPr>
          <w:color w:val="231F20"/>
          <w:spacing w:val="-6"/>
          <w:sz w:val="19"/>
        </w:rPr>
        <w:t> </w:t>
      </w:r>
      <w:r>
        <w:rPr>
          <w:color w:val="231F20"/>
          <w:sz w:val="19"/>
        </w:rPr>
        <w:t>2020.</w:t>
      </w:r>
    </w:p>
    <w:p>
      <w:pPr>
        <w:spacing w:line="234" w:lineRule="exact" w:before="0"/>
        <w:ind w:left="100" w:right="0" w:firstLine="0"/>
        <w:jc w:val="both"/>
        <w:rPr>
          <w:sz w:val="19"/>
        </w:rPr>
      </w:pPr>
      <w:r>
        <w:rPr>
          <w:color w:val="231F20"/>
          <w:position w:val="6"/>
          <w:sz w:val="11"/>
        </w:rPr>
        <w:t>40</w:t>
      </w:r>
      <w:r>
        <w:rPr>
          <w:color w:val="231F20"/>
          <w:spacing w:val="50"/>
          <w:position w:val="6"/>
          <w:sz w:val="11"/>
        </w:rPr>
        <w:t>  </w:t>
      </w:r>
      <w:r>
        <w:rPr>
          <w:color w:val="231F20"/>
          <w:sz w:val="19"/>
        </w:rPr>
        <w:t>Case</w:t>
      </w:r>
      <w:r>
        <w:rPr>
          <w:color w:val="231F20"/>
          <w:spacing w:val="44"/>
          <w:sz w:val="19"/>
        </w:rPr>
        <w:t> </w:t>
      </w:r>
      <w:r>
        <w:rPr>
          <w:color w:val="231F20"/>
          <w:sz w:val="19"/>
        </w:rPr>
        <w:t>KrakVet,</w:t>
      </w:r>
      <w:r>
        <w:rPr>
          <w:color w:val="231F20"/>
          <w:spacing w:val="-2"/>
          <w:sz w:val="19"/>
        </w:rPr>
        <w:t> </w:t>
      </w:r>
      <w:r>
        <w:rPr>
          <w:color w:val="231F20"/>
          <w:sz w:val="19"/>
        </w:rPr>
        <w:t>C-276/18,</w:t>
      </w:r>
      <w:r>
        <w:rPr>
          <w:color w:val="231F20"/>
          <w:spacing w:val="-2"/>
          <w:sz w:val="19"/>
        </w:rPr>
        <w:t> </w:t>
      </w:r>
      <w:r>
        <w:rPr>
          <w:color w:val="231F20"/>
          <w:sz w:val="19"/>
        </w:rPr>
        <w:t>points</w:t>
      </w:r>
      <w:r>
        <w:rPr>
          <w:color w:val="231F20"/>
          <w:spacing w:val="-2"/>
          <w:sz w:val="19"/>
        </w:rPr>
        <w:t> </w:t>
      </w:r>
      <w:r>
        <w:rPr>
          <w:color w:val="231F20"/>
          <w:sz w:val="19"/>
        </w:rPr>
        <w:t>48</w:t>
      </w:r>
      <w:r>
        <w:rPr>
          <w:color w:val="231F20"/>
          <w:spacing w:val="-2"/>
          <w:sz w:val="19"/>
        </w:rPr>
        <w:t> </w:t>
      </w:r>
      <w:r>
        <w:rPr>
          <w:color w:val="231F20"/>
          <w:sz w:val="19"/>
        </w:rPr>
        <w:t>and</w:t>
      </w:r>
      <w:r>
        <w:rPr>
          <w:color w:val="231F20"/>
          <w:spacing w:val="-1"/>
          <w:sz w:val="19"/>
        </w:rPr>
        <w:t> </w:t>
      </w:r>
      <w:r>
        <w:rPr>
          <w:color w:val="231F20"/>
          <w:spacing w:val="-5"/>
          <w:sz w:val="19"/>
        </w:rPr>
        <w:t>49.</w:t>
      </w:r>
    </w:p>
    <w:p>
      <w:pPr>
        <w:spacing w:after="0" w:line="234" w:lineRule="exact"/>
        <w:jc w:val="both"/>
        <w:rPr>
          <w:sz w:val="19"/>
        </w:rPr>
        <w:sectPr>
          <w:pgSz w:w="9640" w:h="13610"/>
          <w:pgMar w:header="0" w:footer="625" w:top="1260" w:bottom="820" w:left="1260" w:right="1240"/>
        </w:sectPr>
      </w:pPr>
    </w:p>
    <w:p>
      <w:pPr>
        <w:pStyle w:val="BodyText"/>
        <w:spacing w:line="225" w:lineRule="auto" w:before="117"/>
        <w:ind w:left="157" w:right="117"/>
        <w:jc w:val="both"/>
      </w:pPr>
      <w:r>
        <w:rPr/>
        <mc:AlternateContent>
          <mc:Choice Requires="wps">
            <w:drawing>
              <wp:anchor distT="0" distB="0" distL="0" distR="0" allowOverlap="1" layoutInCell="1" locked="0" behindDoc="0" simplePos="0" relativeHeight="15742976">
                <wp:simplePos x="0" y="0"/>
                <wp:positionH relativeFrom="page">
                  <wp:posOffset>5608609</wp:posOffset>
                </wp:positionH>
                <wp:positionV relativeFrom="page">
                  <wp:posOffset>2376001</wp:posOffset>
                </wp:positionV>
                <wp:extent cx="511809" cy="2412365"/>
                <wp:effectExtent l="0" t="0" r="0" b="0"/>
                <wp:wrapNone/>
                <wp:docPr id="54" name="Group 54"/>
                <wp:cNvGraphicFramePr>
                  <a:graphicFrameLocks/>
                </wp:cNvGraphicFramePr>
                <a:graphic>
                  <a:graphicData uri="http://schemas.microsoft.com/office/word/2010/wordprocessingGroup">
                    <wpg:wgp>
                      <wpg:cNvPr id="54" name="Group 54"/>
                      <wpg:cNvGrpSpPr/>
                      <wpg:grpSpPr>
                        <a:xfrm>
                          <a:off x="0" y="0"/>
                          <a:ext cx="511809" cy="2412365"/>
                          <a:chExt cx="511809" cy="2412365"/>
                        </a:xfrm>
                      </wpg:grpSpPr>
                      <wps:wsp>
                        <wps:cNvPr id="55" name="Graphic 55"/>
                        <wps:cNvSpPr/>
                        <wps:spPr>
                          <a:xfrm>
                            <a:off x="7393" y="3"/>
                            <a:ext cx="504190" cy="360045"/>
                          </a:xfrm>
                          <a:custGeom>
                            <a:avLst/>
                            <a:gdLst/>
                            <a:ahLst/>
                            <a:cxnLst/>
                            <a:rect l="l" t="t" r="r" b="b"/>
                            <a:pathLst>
                              <a:path w="504190" h="360045">
                                <a:moveTo>
                                  <a:pt x="503999" y="0"/>
                                </a:moveTo>
                                <a:lnTo>
                                  <a:pt x="0" y="0"/>
                                </a:lnTo>
                                <a:lnTo>
                                  <a:pt x="0" y="359994"/>
                                </a:lnTo>
                                <a:lnTo>
                                  <a:pt x="503999" y="359994"/>
                                </a:lnTo>
                                <a:lnTo>
                                  <a:pt x="503999" y="0"/>
                                </a:lnTo>
                                <a:close/>
                              </a:path>
                            </a:pathLst>
                          </a:custGeom>
                          <a:solidFill>
                            <a:srgbClr val="939598"/>
                          </a:solidFill>
                        </wps:spPr>
                        <wps:bodyPr wrap="square" lIns="0" tIns="0" rIns="0" bIns="0" rtlCol="0">
                          <a:prstTxWarp prst="textNoShape">
                            <a:avLst/>
                          </a:prstTxWarp>
                          <a:noAutofit/>
                        </wps:bodyPr>
                      </wps:wsp>
                      <wps:wsp>
                        <wps:cNvPr id="56" name="Graphic 56"/>
                        <wps:cNvSpPr/>
                        <wps:spPr>
                          <a:xfrm>
                            <a:off x="6350" y="0"/>
                            <a:ext cx="1270" cy="2412365"/>
                          </a:xfrm>
                          <a:custGeom>
                            <a:avLst/>
                            <a:gdLst/>
                            <a:ahLst/>
                            <a:cxnLst/>
                            <a:rect l="l" t="t" r="r" b="b"/>
                            <a:pathLst>
                              <a:path w="0" h="2412365">
                                <a:moveTo>
                                  <a:pt x="0" y="0"/>
                                </a:moveTo>
                                <a:lnTo>
                                  <a:pt x="0" y="2411996"/>
                                </a:lnTo>
                              </a:path>
                            </a:pathLst>
                          </a:custGeom>
                          <a:ln w="12700">
                            <a:solidFill>
                              <a:srgbClr val="939598"/>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441.622803pt;margin-top:187.0867pt;width:40.3pt;height:189.95pt;mso-position-horizontal-relative:page;mso-position-vertical-relative:page;z-index:15742976" id="docshapegroup45" coordorigin="8832,3742" coordsize="806,3799">
                <v:rect style="position:absolute;left:8844;top:3741;width:794;height:567" id="docshape46" filled="true" fillcolor="#939598" stroked="false">
                  <v:fill type="solid"/>
                </v:rect>
                <v:line style="position:absolute" from="8842,3742" to="8842,7540" stroked="true" strokeweight="1pt" strokecolor="#939598">
                  <v:stroke dashstyle="solid"/>
                </v:line>
                <w10:wrap type="none"/>
              </v:group>
            </w:pict>
          </mc:Fallback>
        </mc:AlternateContent>
      </w:r>
      <w:r>
        <w:rPr/>
        <mc:AlternateContent>
          <mc:Choice Requires="wps">
            <w:drawing>
              <wp:anchor distT="0" distB="0" distL="0" distR="0" allowOverlap="1" layoutInCell="1" locked="0" behindDoc="0" simplePos="0" relativeHeight="15743488">
                <wp:simplePos x="0" y="0"/>
                <wp:positionH relativeFrom="page">
                  <wp:posOffset>5635147</wp:posOffset>
                </wp:positionH>
                <wp:positionV relativeFrom="page">
                  <wp:posOffset>2795300</wp:posOffset>
                </wp:positionV>
                <wp:extent cx="299720" cy="1995805"/>
                <wp:effectExtent l="0" t="0" r="0" b="0"/>
                <wp:wrapNone/>
                <wp:docPr id="57" name="Textbox 57"/>
                <wp:cNvGraphicFramePr>
                  <a:graphicFrameLocks/>
                </wp:cNvGraphicFramePr>
                <a:graphic>
                  <a:graphicData uri="http://schemas.microsoft.com/office/word/2010/wordprocessingShape">
                    <wps:wsp>
                      <wps:cNvPr id="57" name="Textbox 57"/>
                      <wps:cNvSpPr txBox="1"/>
                      <wps:spPr>
                        <a:xfrm>
                          <a:off x="0" y="0"/>
                          <a:ext cx="299720" cy="1995805"/>
                        </a:xfrm>
                        <a:prstGeom prst="rect">
                          <a:avLst/>
                        </a:prstGeom>
                      </wps:spPr>
                      <wps:txbx>
                        <w:txbxContent>
                          <w:p>
                            <w:pPr>
                              <w:spacing w:before="20"/>
                              <w:ind w:left="20" w:right="0" w:firstLine="0"/>
                              <w:jc w:val="left"/>
                              <w:rPr>
                                <w:rFonts w:ascii="Minion Pro"/>
                                <w:sz w:val="32"/>
                              </w:rPr>
                            </w:pPr>
                            <w:r>
                              <w:rPr>
                                <w:rFonts w:ascii="Minion Pro"/>
                                <w:color w:val="231F20"/>
                                <w:sz w:val="32"/>
                              </w:rPr>
                              <w:t>Commented</w:t>
                            </w:r>
                            <w:r>
                              <w:rPr>
                                <w:rFonts w:ascii="Minion Pro"/>
                                <w:color w:val="231F20"/>
                                <w:spacing w:val="-10"/>
                                <w:sz w:val="32"/>
                              </w:rPr>
                              <w:t> </w:t>
                            </w:r>
                            <w:r>
                              <w:rPr>
                                <w:rFonts w:ascii="Minion Pro"/>
                                <w:color w:val="231F20"/>
                                <w:spacing w:val="-2"/>
                                <w:sz w:val="32"/>
                              </w:rPr>
                              <w:t>documents</w:t>
                            </w:r>
                          </w:p>
                        </w:txbxContent>
                      </wps:txbx>
                      <wps:bodyPr wrap="square" lIns="0" tIns="0" rIns="0" bIns="0" rtlCol="0" vert="vert">
                        <a:noAutofit/>
                      </wps:bodyPr>
                    </wps:wsp>
                  </a:graphicData>
                </a:graphic>
              </wp:anchor>
            </w:drawing>
          </mc:Choice>
          <mc:Fallback>
            <w:pict>
              <v:shape style="position:absolute;margin-left:443.712402pt;margin-top:220.102402pt;width:23.6pt;height:157.15pt;mso-position-horizontal-relative:page;mso-position-vertical-relative:page;z-index:15743488" type="#_x0000_t202" id="docshape47" filled="false" stroked="false">
                <v:textbox inset="0,0,0,0" style="layout-flow:vertical">
                  <w:txbxContent>
                    <w:p>
                      <w:pPr>
                        <w:spacing w:before="20"/>
                        <w:ind w:left="20" w:right="0" w:firstLine="0"/>
                        <w:jc w:val="left"/>
                        <w:rPr>
                          <w:rFonts w:ascii="Minion Pro"/>
                          <w:sz w:val="32"/>
                        </w:rPr>
                      </w:pPr>
                      <w:r>
                        <w:rPr>
                          <w:rFonts w:ascii="Minion Pro"/>
                          <w:color w:val="231F20"/>
                          <w:sz w:val="32"/>
                        </w:rPr>
                        <w:t>Commented</w:t>
                      </w:r>
                      <w:r>
                        <w:rPr>
                          <w:rFonts w:ascii="Minion Pro"/>
                          <w:color w:val="231F20"/>
                          <w:spacing w:val="-10"/>
                          <w:sz w:val="32"/>
                        </w:rPr>
                        <w:t> </w:t>
                      </w:r>
                      <w:r>
                        <w:rPr>
                          <w:rFonts w:ascii="Minion Pro"/>
                          <w:color w:val="231F20"/>
                          <w:spacing w:val="-2"/>
                          <w:sz w:val="32"/>
                        </w:rPr>
                        <w:t>documents</w:t>
                      </w:r>
                    </w:p>
                  </w:txbxContent>
                </v:textbox>
                <w10:wrap type="none"/>
              </v:shape>
            </w:pict>
          </mc:Fallback>
        </mc:AlternateContent>
      </w:r>
      <w:r>
        <w:rPr>
          <w:color w:val="231F20"/>
        </w:rPr>
        <w:t>ber</w:t>
      </w:r>
      <w:r>
        <w:rPr>
          <w:color w:val="231F20"/>
          <w:spacing w:val="-11"/>
        </w:rPr>
        <w:t> </w:t>
      </w:r>
      <w:r>
        <w:rPr>
          <w:color w:val="231F20"/>
        </w:rPr>
        <w:t>States</w:t>
      </w:r>
      <w:r>
        <w:rPr>
          <w:color w:val="231F20"/>
          <w:spacing w:val="-11"/>
        </w:rPr>
        <w:t> </w:t>
      </w:r>
      <w:r>
        <w:rPr>
          <w:color w:val="231F20"/>
        </w:rPr>
        <w:t>cannot</w:t>
      </w:r>
      <w:r>
        <w:rPr>
          <w:color w:val="231F20"/>
          <w:spacing w:val="-11"/>
        </w:rPr>
        <w:t> </w:t>
      </w:r>
      <w:r>
        <w:rPr>
          <w:color w:val="231F20"/>
        </w:rPr>
        <w:t>justify</w:t>
      </w:r>
      <w:r>
        <w:rPr>
          <w:color w:val="231F20"/>
          <w:spacing w:val="-11"/>
        </w:rPr>
        <w:t> </w:t>
      </w:r>
      <w:r>
        <w:rPr>
          <w:color w:val="231F20"/>
        </w:rPr>
        <w:t>double</w:t>
      </w:r>
      <w:r>
        <w:rPr>
          <w:color w:val="231F20"/>
          <w:spacing w:val="-11"/>
        </w:rPr>
        <w:t> </w:t>
      </w:r>
      <w:r>
        <w:rPr>
          <w:color w:val="231F20"/>
        </w:rPr>
        <w:t>taxation,</w:t>
      </w:r>
      <w:r>
        <w:rPr>
          <w:color w:val="231F20"/>
          <w:spacing w:val="-11"/>
        </w:rPr>
        <w:t> </w:t>
      </w:r>
      <w:r>
        <w:rPr>
          <w:color w:val="231F20"/>
        </w:rPr>
        <w:t>the</w:t>
      </w:r>
      <w:r>
        <w:rPr>
          <w:color w:val="231F20"/>
          <w:spacing w:val="-11"/>
        </w:rPr>
        <w:t> </w:t>
      </w:r>
      <w:r>
        <w:rPr>
          <w:color w:val="231F20"/>
        </w:rPr>
        <w:t>Court</w:t>
      </w:r>
      <w:r>
        <w:rPr>
          <w:color w:val="231F20"/>
          <w:spacing w:val="-11"/>
        </w:rPr>
        <w:t> </w:t>
      </w:r>
      <w:r>
        <w:rPr>
          <w:color w:val="231F20"/>
        </w:rPr>
        <w:t>of</w:t>
      </w:r>
      <w:r>
        <w:rPr>
          <w:color w:val="231F20"/>
          <w:spacing w:val="-11"/>
        </w:rPr>
        <w:t> </w:t>
      </w:r>
      <w:r>
        <w:rPr>
          <w:color w:val="231F20"/>
        </w:rPr>
        <w:t>Justice</w:t>
      </w:r>
      <w:r>
        <w:rPr>
          <w:color w:val="231F20"/>
          <w:spacing w:val="-11"/>
        </w:rPr>
        <w:t> </w:t>
      </w:r>
      <w:r>
        <w:rPr>
          <w:color w:val="231F20"/>
        </w:rPr>
        <w:t>entrusted</w:t>
      </w:r>
      <w:r>
        <w:rPr>
          <w:color w:val="231F20"/>
          <w:spacing w:val="-11"/>
        </w:rPr>
        <w:t> </w:t>
      </w:r>
      <w:r>
        <w:rPr>
          <w:color w:val="231F20"/>
        </w:rPr>
        <w:t>the tax courts of the two Member States in question with the task of avoiding such «misapplication of the provisions of the VAT directive» by referring the</w:t>
      </w:r>
      <w:r>
        <w:rPr>
          <w:color w:val="231F20"/>
          <w:spacing w:val="-15"/>
        </w:rPr>
        <w:t> </w:t>
      </w:r>
      <w:r>
        <w:rPr>
          <w:color w:val="231F20"/>
        </w:rPr>
        <w:t>matter</w:t>
      </w:r>
      <w:r>
        <w:rPr>
          <w:color w:val="231F20"/>
          <w:spacing w:val="-15"/>
        </w:rPr>
        <w:t> </w:t>
      </w:r>
      <w:r>
        <w:rPr>
          <w:color w:val="231F20"/>
        </w:rPr>
        <w:t>to</w:t>
      </w:r>
      <w:r>
        <w:rPr>
          <w:color w:val="231F20"/>
          <w:spacing w:val="-15"/>
        </w:rPr>
        <w:t> </w:t>
      </w:r>
      <w:r>
        <w:rPr>
          <w:color w:val="231F20"/>
        </w:rPr>
        <w:t>the</w:t>
      </w:r>
      <w:r>
        <w:rPr>
          <w:color w:val="231F20"/>
          <w:spacing w:val="-15"/>
        </w:rPr>
        <w:t> </w:t>
      </w:r>
      <w:r>
        <w:rPr>
          <w:color w:val="231F20"/>
        </w:rPr>
        <w:t>Court</w:t>
      </w:r>
      <w:r>
        <w:rPr>
          <w:color w:val="231F20"/>
          <w:spacing w:val="-15"/>
        </w:rPr>
        <w:t> </w:t>
      </w:r>
      <w:r>
        <w:rPr>
          <w:color w:val="231F20"/>
        </w:rPr>
        <w:t>itself</w:t>
      </w:r>
      <w:r>
        <w:rPr>
          <w:color w:val="231F20"/>
          <w:spacing w:val="-15"/>
        </w:rPr>
        <w:t> </w:t>
      </w:r>
      <w:r>
        <w:rPr>
          <w:color w:val="231F20"/>
        </w:rPr>
        <w:t>to</w:t>
      </w:r>
      <w:r>
        <w:rPr>
          <w:color w:val="231F20"/>
          <w:spacing w:val="-15"/>
        </w:rPr>
        <w:t> </w:t>
      </w:r>
      <w:r>
        <w:rPr>
          <w:color w:val="231F20"/>
        </w:rPr>
        <w:t>determine</w:t>
      </w:r>
      <w:r>
        <w:rPr>
          <w:color w:val="231F20"/>
          <w:spacing w:val="-15"/>
        </w:rPr>
        <w:t> </w:t>
      </w:r>
      <w:r>
        <w:rPr>
          <w:color w:val="231F20"/>
        </w:rPr>
        <w:t>which</w:t>
      </w:r>
      <w:r>
        <w:rPr>
          <w:color w:val="231F20"/>
          <w:spacing w:val="-15"/>
        </w:rPr>
        <w:t> </w:t>
      </w:r>
      <w:r>
        <w:rPr>
          <w:color w:val="231F20"/>
        </w:rPr>
        <w:t>of</w:t>
      </w:r>
      <w:r>
        <w:rPr>
          <w:color w:val="231F20"/>
          <w:spacing w:val="-15"/>
        </w:rPr>
        <w:t> </w:t>
      </w:r>
      <w:r>
        <w:rPr>
          <w:color w:val="231F20"/>
        </w:rPr>
        <w:t>the</w:t>
      </w:r>
      <w:r>
        <w:rPr>
          <w:color w:val="231F20"/>
          <w:spacing w:val="-15"/>
        </w:rPr>
        <w:t> </w:t>
      </w:r>
      <w:r>
        <w:rPr>
          <w:color w:val="231F20"/>
        </w:rPr>
        <w:t>two</w:t>
      </w:r>
      <w:r>
        <w:rPr>
          <w:color w:val="231F20"/>
          <w:spacing w:val="-15"/>
        </w:rPr>
        <w:t> </w:t>
      </w:r>
      <w:r>
        <w:rPr>
          <w:color w:val="231F20"/>
        </w:rPr>
        <w:t>tax</w:t>
      </w:r>
      <w:r>
        <w:rPr>
          <w:color w:val="231F20"/>
          <w:spacing w:val="-15"/>
        </w:rPr>
        <w:t> </w:t>
      </w:r>
      <w:r>
        <w:rPr>
          <w:color w:val="231F20"/>
        </w:rPr>
        <w:t>administra- tions unduly collected the tax</w:t>
      </w:r>
      <w:r>
        <w:rPr>
          <w:color w:val="231F20"/>
          <w:position w:val="8"/>
          <w:sz w:val="14"/>
        </w:rPr>
        <w:t>41</w:t>
      </w:r>
      <w:r>
        <w:rPr>
          <w:color w:val="231F20"/>
        </w:rPr>
        <w:t>.</w:t>
      </w:r>
    </w:p>
    <w:p>
      <w:pPr>
        <w:pStyle w:val="BodyText"/>
      </w:pPr>
    </w:p>
    <w:p>
      <w:pPr>
        <w:pStyle w:val="BodyText"/>
        <w:spacing w:before="25"/>
      </w:pPr>
    </w:p>
    <w:p>
      <w:pPr>
        <w:pStyle w:val="Heading3"/>
        <w:numPr>
          <w:ilvl w:val="0"/>
          <w:numId w:val="1"/>
        </w:numPr>
        <w:tabs>
          <w:tab w:pos="439" w:val="left" w:leader="none"/>
        </w:tabs>
        <w:spacing w:line="240" w:lineRule="auto" w:before="0" w:after="0"/>
        <w:ind w:left="439" w:right="0" w:hanging="282"/>
        <w:jc w:val="left"/>
        <w:rPr>
          <w:b/>
        </w:rPr>
      </w:pPr>
      <w:r>
        <w:rPr>
          <w:b/>
          <w:color w:val="231F20"/>
        </w:rPr>
        <w:t>Judgments</w:t>
      </w:r>
      <w:r>
        <w:rPr>
          <w:b/>
          <w:color w:val="231F20"/>
          <w:spacing w:val="-6"/>
        </w:rPr>
        <w:t> </w:t>
      </w:r>
      <w:r>
        <w:rPr>
          <w:b/>
          <w:color w:val="231F20"/>
        </w:rPr>
        <w:t>on</w:t>
      </w:r>
      <w:r>
        <w:rPr>
          <w:b/>
          <w:color w:val="231F20"/>
          <w:spacing w:val="-5"/>
        </w:rPr>
        <w:t> </w:t>
      </w:r>
      <w:r>
        <w:rPr>
          <w:b/>
          <w:color w:val="231F20"/>
        </w:rPr>
        <w:t>the</w:t>
      </w:r>
      <w:r>
        <w:rPr>
          <w:b/>
          <w:color w:val="231F20"/>
          <w:spacing w:val="-6"/>
        </w:rPr>
        <w:t> </w:t>
      </w:r>
      <w:r>
        <w:rPr>
          <w:b/>
          <w:color w:val="231F20"/>
        </w:rPr>
        <w:t>Interpretation</w:t>
      </w:r>
      <w:r>
        <w:rPr>
          <w:b/>
          <w:color w:val="231F20"/>
          <w:spacing w:val="-5"/>
        </w:rPr>
        <w:t> </w:t>
      </w:r>
      <w:r>
        <w:rPr>
          <w:b/>
          <w:color w:val="231F20"/>
        </w:rPr>
        <w:t>of</w:t>
      </w:r>
      <w:r>
        <w:rPr>
          <w:b/>
          <w:color w:val="231F20"/>
          <w:spacing w:val="-6"/>
        </w:rPr>
        <w:t> </w:t>
      </w:r>
      <w:r>
        <w:rPr>
          <w:b/>
          <w:color w:val="231F20"/>
        </w:rPr>
        <w:t>Directive</w:t>
      </w:r>
      <w:r>
        <w:rPr>
          <w:b/>
          <w:color w:val="231F20"/>
          <w:spacing w:val="-5"/>
        </w:rPr>
        <w:t> </w:t>
      </w:r>
      <w:r>
        <w:rPr>
          <w:b/>
          <w:color w:val="231F20"/>
          <w:spacing w:val="-2"/>
        </w:rPr>
        <w:t>2010/24/EU</w:t>
      </w:r>
    </w:p>
    <w:p>
      <w:pPr>
        <w:spacing w:line="244" w:lineRule="auto" w:before="7"/>
        <w:ind w:left="157" w:right="174" w:firstLine="0"/>
        <w:jc w:val="left"/>
        <w:rPr>
          <w:b/>
          <w:sz w:val="28"/>
        </w:rPr>
      </w:pPr>
      <w:r>
        <w:rPr>
          <w:b/>
          <w:color w:val="231F20"/>
          <w:sz w:val="28"/>
        </w:rPr>
        <w:t>«on</w:t>
      </w:r>
      <w:r>
        <w:rPr>
          <w:b/>
          <w:color w:val="231F20"/>
          <w:spacing w:val="-5"/>
          <w:sz w:val="28"/>
        </w:rPr>
        <w:t> </w:t>
      </w:r>
      <w:r>
        <w:rPr>
          <w:b/>
          <w:color w:val="231F20"/>
          <w:sz w:val="28"/>
        </w:rPr>
        <w:t>mutual</w:t>
      </w:r>
      <w:r>
        <w:rPr>
          <w:b/>
          <w:color w:val="231F20"/>
          <w:spacing w:val="-5"/>
          <w:sz w:val="28"/>
        </w:rPr>
        <w:t> </w:t>
      </w:r>
      <w:r>
        <w:rPr>
          <w:b/>
          <w:color w:val="231F20"/>
          <w:sz w:val="28"/>
        </w:rPr>
        <w:t>Assistance</w:t>
      </w:r>
      <w:r>
        <w:rPr>
          <w:b/>
          <w:color w:val="231F20"/>
          <w:spacing w:val="-5"/>
          <w:sz w:val="28"/>
        </w:rPr>
        <w:t> </w:t>
      </w:r>
      <w:r>
        <w:rPr>
          <w:b/>
          <w:color w:val="231F20"/>
          <w:sz w:val="28"/>
        </w:rPr>
        <w:t>in</w:t>
      </w:r>
      <w:r>
        <w:rPr>
          <w:b/>
          <w:color w:val="231F20"/>
          <w:spacing w:val="-5"/>
          <w:sz w:val="28"/>
        </w:rPr>
        <w:t> </w:t>
      </w:r>
      <w:r>
        <w:rPr>
          <w:b/>
          <w:color w:val="231F20"/>
          <w:sz w:val="28"/>
        </w:rPr>
        <w:t>the</w:t>
      </w:r>
      <w:r>
        <w:rPr>
          <w:b/>
          <w:color w:val="231F20"/>
          <w:spacing w:val="-5"/>
          <w:sz w:val="28"/>
        </w:rPr>
        <w:t> </w:t>
      </w:r>
      <w:r>
        <w:rPr>
          <w:b/>
          <w:color w:val="231F20"/>
          <w:sz w:val="28"/>
        </w:rPr>
        <w:t>Recovery</w:t>
      </w:r>
      <w:r>
        <w:rPr>
          <w:b/>
          <w:color w:val="231F20"/>
          <w:spacing w:val="-5"/>
          <w:sz w:val="28"/>
        </w:rPr>
        <w:t> </w:t>
      </w:r>
      <w:r>
        <w:rPr>
          <w:b/>
          <w:color w:val="231F20"/>
          <w:sz w:val="28"/>
        </w:rPr>
        <w:t>of</w:t>
      </w:r>
      <w:r>
        <w:rPr>
          <w:b/>
          <w:color w:val="231F20"/>
          <w:spacing w:val="-5"/>
          <w:sz w:val="28"/>
        </w:rPr>
        <w:t> </w:t>
      </w:r>
      <w:r>
        <w:rPr>
          <w:b/>
          <w:color w:val="231F20"/>
          <w:sz w:val="28"/>
        </w:rPr>
        <w:t>Claims</w:t>
      </w:r>
      <w:r>
        <w:rPr>
          <w:b/>
          <w:color w:val="231F20"/>
          <w:spacing w:val="-5"/>
          <w:sz w:val="28"/>
        </w:rPr>
        <w:t> </w:t>
      </w:r>
      <w:r>
        <w:rPr>
          <w:b/>
          <w:color w:val="231F20"/>
          <w:sz w:val="28"/>
        </w:rPr>
        <w:t>relating</w:t>
      </w:r>
      <w:r>
        <w:rPr>
          <w:b/>
          <w:color w:val="231F20"/>
          <w:spacing w:val="-5"/>
          <w:sz w:val="28"/>
        </w:rPr>
        <w:t> </w:t>
      </w:r>
      <w:r>
        <w:rPr>
          <w:b/>
          <w:color w:val="231F20"/>
          <w:sz w:val="28"/>
        </w:rPr>
        <w:t>to Duties and Taxes»</w:t>
      </w:r>
    </w:p>
    <w:p>
      <w:pPr>
        <w:pStyle w:val="ListParagraph"/>
        <w:numPr>
          <w:ilvl w:val="1"/>
          <w:numId w:val="1"/>
        </w:numPr>
        <w:tabs>
          <w:tab w:pos="583" w:val="left" w:leader="none"/>
        </w:tabs>
        <w:spacing w:line="244" w:lineRule="auto" w:before="244" w:after="0"/>
        <w:ind w:left="157" w:right="228" w:firstLine="0"/>
        <w:jc w:val="left"/>
        <w:rPr>
          <w:b/>
          <w:sz w:val="24"/>
        </w:rPr>
      </w:pPr>
      <w:r>
        <w:rPr>
          <w:b/>
          <w:color w:val="231F20"/>
          <w:sz w:val="24"/>
        </w:rPr>
        <w:t>Legality</w:t>
      </w:r>
      <w:r>
        <w:rPr>
          <w:b/>
          <w:color w:val="231F20"/>
          <w:spacing w:val="-6"/>
          <w:sz w:val="24"/>
        </w:rPr>
        <w:t> </w:t>
      </w:r>
      <w:r>
        <w:rPr>
          <w:b/>
          <w:color w:val="231F20"/>
          <w:sz w:val="24"/>
        </w:rPr>
        <w:t>of</w:t>
      </w:r>
      <w:r>
        <w:rPr>
          <w:b/>
          <w:color w:val="231F20"/>
          <w:spacing w:val="-6"/>
          <w:sz w:val="24"/>
        </w:rPr>
        <w:t> </w:t>
      </w:r>
      <w:r>
        <w:rPr>
          <w:b/>
          <w:color w:val="231F20"/>
          <w:sz w:val="24"/>
        </w:rPr>
        <w:t>refusing</w:t>
      </w:r>
      <w:r>
        <w:rPr>
          <w:b/>
          <w:color w:val="231F20"/>
          <w:spacing w:val="-6"/>
          <w:sz w:val="24"/>
        </w:rPr>
        <w:t> </w:t>
      </w:r>
      <w:r>
        <w:rPr>
          <w:b/>
          <w:color w:val="231F20"/>
          <w:sz w:val="24"/>
        </w:rPr>
        <w:t>to</w:t>
      </w:r>
      <w:r>
        <w:rPr>
          <w:b/>
          <w:color w:val="231F20"/>
          <w:spacing w:val="-6"/>
          <w:sz w:val="24"/>
        </w:rPr>
        <w:t> </w:t>
      </w:r>
      <w:r>
        <w:rPr>
          <w:b/>
          <w:color w:val="231F20"/>
          <w:sz w:val="24"/>
        </w:rPr>
        <w:t>execute</w:t>
      </w:r>
      <w:r>
        <w:rPr>
          <w:b/>
          <w:color w:val="231F20"/>
          <w:spacing w:val="-6"/>
          <w:sz w:val="24"/>
        </w:rPr>
        <w:t> </w:t>
      </w:r>
      <w:r>
        <w:rPr>
          <w:b/>
          <w:color w:val="231F20"/>
          <w:sz w:val="24"/>
        </w:rPr>
        <w:t>a</w:t>
      </w:r>
      <w:r>
        <w:rPr>
          <w:b/>
          <w:color w:val="231F20"/>
          <w:spacing w:val="-6"/>
          <w:sz w:val="24"/>
        </w:rPr>
        <w:t> </w:t>
      </w:r>
      <w:r>
        <w:rPr>
          <w:b/>
          <w:color w:val="231F20"/>
          <w:sz w:val="24"/>
        </w:rPr>
        <w:t>Recovery</w:t>
      </w:r>
      <w:r>
        <w:rPr>
          <w:b/>
          <w:color w:val="231F20"/>
          <w:spacing w:val="-6"/>
          <w:sz w:val="24"/>
        </w:rPr>
        <w:t> </w:t>
      </w:r>
      <w:r>
        <w:rPr>
          <w:b/>
          <w:color w:val="231F20"/>
          <w:sz w:val="24"/>
        </w:rPr>
        <w:t>Request</w:t>
      </w:r>
      <w:r>
        <w:rPr>
          <w:b/>
          <w:color w:val="231F20"/>
          <w:spacing w:val="-6"/>
          <w:sz w:val="24"/>
        </w:rPr>
        <w:t> </w:t>
      </w:r>
      <w:r>
        <w:rPr>
          <w:b/>
          <w:color w:val="231F20"/>
          <w:sz w:val="24"/>
        </w:rPr>
        <w:t>if</w:t>
      </w:r>
      <w:r>
        <w:rPr>
          <w:b/>
          <w:color w:val="231F20"/>
          <w:spacing w:val="-6"/>
          <w:sz w:val="24"/>
        </w:rPr>
        <w:t> </w:t>
      </w:r>
      <w:r>
        <w:rPr>
          <w:b/>
          <w:color w:val="231F20"/>
          <w:sz w:val="24"/>
        </w:rPr>
        <w:t>the</w:t>
      </w:r>
      <w:r>
        <w:rPr>
          <w:b/>
          <w:color w:val="231F20"/>
          <w:spacing w:val="-6"/>
          <w:sz w:val="24"/>
        </w:rPr>
        <w:t> </w:t>
      </w:r>
      <w:r>
        <w:rPr>
          <w:b/>
          <w:color w:val="231F20"/>
          <w:sz w:val="24"/>
        </w:rPr>
        <w:t>requesting Administration has not notified the Taxpayer of the Act establishing the Claim</w:t>
      </w:r>
    </w:p>
    <w:p>
      <w:pPr>
        <w:pStyle w:val="BodyText"/>
        <w:spacing w:line="225" w:lineRule="auto" w:before="263"/>
        <w:ind w:left="157" w:right="117"/>
        <w:jc w:val="both"/>
      </w:pPr>
      <w:r>
        <w:rPr>
          <w:color w:val="231F20"/>
        </w:rPr>
        <w:t>The peculiar case of Mr. Donnellan</w:t>
      </w:r>
      <w:r>
        <w:rPr>
          <w:color w:val="231F20"/>
          <w:position w:val="8"/>
          <w:sz w:val="14"/>
        </w:rPr>
        <w:t>42</w:t>
      </w:r>
      <w:r>
        <w:rPr>
          <w:color w:val="231F20"/>
          <w:spacing w:val="36"/>
          <w:position w:val="8"/>
          <w:sz w:val="14"/>
        </w:rPr>
        <w:t> </w:t>
      </w:r>
      <w:r>
        <w:rPr>
          <w:color w:val="231F20"/>
        </w:rPr>
        <w:t>provided the Court of Justice with the opportunity to interpret various provisions of Directive 2010/24/EU in light of Article 47 of the CFR. The anomaly in this case was that the Greek administration had never notified Mr. Donnellan of the </w:t>
      </w:r>
      <w:r>
        <w:rPr>
          <w:color w:val="231F20"/>
        </w:rPr>
        <w:t>decision imposing</w:t>
      </w:r>
      <w:r>
        <w:rPr>
          <w:color w:val="231F20"/>
          <w:spacing w:val="-4"/>
        </w:rPr>
        <w:t> </w:t>
      </w:r>
      <w:r>
        <w:rPr>
          <w:color w:val="231F20"/>
        </w:rPr>
        <w:t>the</w:t>
      </w:r>
      <w:r>
        <w:rPr>
          <w:color w:val="231F20"/>
          <w:spacing w:val="-4"/>
        </w:rPr>
        <w:t> </w:t>
      </w:r>
      <w:r>
        <w:rPr>
          <w:color w:val="231F20"/>
        </w:rPr>
        <w:t>tax</w:t>
      </w:r>
      <w:r>
        <w:rPr>
          <w:color w:val="231F20"/>
          <w:spacing w:val="-4"/>
        </w:rPr>
        <w:t> </w:t>
      </w:r>
      <w:r>
        <w:rPr>
          <w:color w:val="231F20"/>
        </w:rPr>
        <w:t>sanction</w:t>
      </w:r>
      <w:r>
        <w:rPr>
          <w:color w:val="231F20"/>
          <w:spacing w:val="-4"/>
        </w:rPr>
        <w:t> </w:t>
      </w:r>
      <w:r>
        <w:rPr>
          <w:color w:val="231F20"/>
        </w:rPr>
        <w:t>which</w:t>
      </w:r>
      <w:r>
        <w:rPr>
          <w:color w:val="231F20"/>
          <w:spacing w:val="-4"/>
        </w:rPr>
        <w:t> </w:t>
      </w:r>
      <w:r>
        <w:rPr>
          <w:color w:val="231F20"/>
        </w:rPr>
        <w:t>it</w:t>
      </w:r>
      <w:r>
        <w:rPr>
          <w:color w:val="231F20"/>
          <w:spacing w:val="-4"/>
        </w:rPr>
        <w:t> </w:t>
      </w:r>
      <w:r>
        <w:rPr>
          <w:color w:val="231F20"/>
        </w:rPr>
        <w:t>later</w:t>
      </w:r>
      <w:r>
        <w:rPr>
          <w:color w:val="231F20"/>
          <w:spacing w:val="-4"/>
        </w:rPr>
        <w:t> </w:t>
      </w:r>
      <w:r>
        <w:rPr>
          <w:color w:val="231F20"/>
        </w:rPr>
        <w:t>requested</w:t>
      </w:r>
      <w:r>
        <w:rPr>
          <w:color w:val="231F20"/>
          <w:spacing w:val="-4"/>
        </w:rPr>
        <w:t> </w:t>
      </w:r>
      <w:r>
        <w:rPr>
          <w:color w:val="231F20"/>
        </w:rPr>
        <w:t>the</w:t>
      </w:r>
      <w:r>
        <w:rPr>
          <w:color w:val="231F20"/>
          <w:spacing w:val="-4"/>
        </w:rPr>
        <w:t> </w:t>
      </w:r>
      <w:r>
        <w:rPr>
          <w:color w:val="231F20"/>
        </w:rPr>
        <w:t>Irish</w:t>
      </w:r>
      <w:r>
        <w:rPr>
          <w:color w:val="231F20"/>
          <w:spacing w:val="-4"/>
        </w:rPr>
        <w:t> </w:t>
      </w:r>
      <w:r>
        <w:rPr>
          <w:color w:val="231F20"/>
        </w:rPr>
        <w:t>administration to</w:t>
      </w:r>
      <w:r>
        <w:rPr>
          <w:color w:val="231F20"/>
          <w:spacing w:val="17"/>
        </w:rPr>
        <w:t> </w:t>
      </w:r>
      <w:r>
        <w:rPr>
          <w:color w:val="231F20"/>
        </w:rPr>
        <w:t>recover.</w:t>
      </w:r>
      <w:r>
        <w:rPr>
          <w:color w:val="231F20"/>
          <w:spacing w:val="17"/>
        </w:rPr>
        <w:t> </w:t>
      </w:r>
      <w:r>
        <w:rPr>
          <w:color w:val="231F20"/>
        </w:rPr>
        <w:t>The</w:t>
      </w:r>
      <w:r>
        <w:rPr>
          <w:color w:val="231F20"/>
          <w:spacing w:val="17"/>
        </w:rPr>
        <w:t> </w:t>
      </w:r>
      <w:r>
        <w:rPr>
          <w:color w:val="231F20"/>
        </w:rPr>
        <w:t>starting</w:t>
      </w:r>
      <w:r>
        <w:rPr>
          <w:color w:val="231F20"/>
          <w:spacing w:val="17"/>
        </w:rPr>
        <w:t> </w:t>
      </w:r>
      <w:r>
        <w:rPr>
          <w:color w:val="231F20"/>
        </w:rPr>
        <w:t>point</w:t>
      </w:r>
      <w:r>
        <w:rPr>
          <w:color w:val="231F20"/>
          <w:spacing w:val="17"/>
        </w:rPr>
        <w:t> </w:t>
      </w:r>
      <w:r>
        <w:rPr>
          <w:color w:val="231F20"/>
        </w:rPr>
        <w:t>of</w:t>
      </w:r>
      <w:r>
        <w:rPr>
          <w:color w:val="231F20"/>
          <w:spacing w:val="17"/>
        </w:rPr>
        <w:t> </w:t>
      </w:r>
      <w:r>
        <w:rPr>
          <w:color w:val="231F20"/>
        </w:rPr>
        <w:t>the</w:t>
      </w:r>
      <w:r>
        <w:rPr>
          <w:color w:val="231F20"/>
          <w:spacing w:val="17"/>
        </w:rPr>
        <w:t> </w:t>
      </w:r>
      <w:r>
        <w:rPr>
          <w:color w:val="231F20"/>
        </w:rPr>
        <w:t>Court</w:t>
      </w:r>
      <w:r>
        <w:rPr>
          <w:color w:val="231F20"/>
          <w:spacing w:val="17"/>
        </w:rPr>
        <w:t> </w:t>
      </w:r>
      <w:r>
        <w:rPr>
          <w:color w:val="231F20"/>
        </w:rPr>
        <w:t>of</w:t>
      </w:r>
      <w:r>
        <w:rPr>
          <w:color w:val="231F20"/>
          <w:spacing w:val="17"/>
        </w:rPr>
        <w:t> </w:t>
      </w:r>
      <w:r>
        <w:rPr>
          <w:color w:val="231F20"/>
        </w:rPr>
        <w:t>Justice’s</w:t>
      </w:r>
      <w:r>
        <w:rPr>
          <w:color w:val="231F20"/>
          <w:spacing w:val="17"/>
        </w:rPr>
        <w:t> </w:t>
      </w:r>
      <w:r>
        <w:rPr>
          <w:color w:val="231F20"/>
        </w:rPr>
        <w:t>reasoning</w:t>
      </w:r>
      <w:r>
        <w:rPr>
          <w:color w:val="231F20"/>
          <w:spacing w:val="17"/>
        </w:rPr>
        <w:t> </w:t>
      </w:r>
      <w:r>
        <w:rPr>
          <w:color w:val="231F20"/>
        </w:rPr>
        <w:t>was</w:t>
      </w:r>
      <w:r>
        <w:rPr>
          <w:color w:val="231F20"/>
          <w:spacing w:val="17"/>
        </w:rPr>
        <w:t> </w:t>
      </w:r>
      <w:r>
        <w:rPr>
          <w:color w:val="231F20"/>
        </w:rPr>
        <w:t>an </w:t>
      </w:r>
      <w:r>
        <w:rPr>
          <w:i/>
          <w:color w:val="231F20"/>
        </w:rPr>
        <w:t>a fortiori </w:t>
      </w:r>
      <w:r>
        <w:rPr>
          <w:color w:val="231F20"/>
        </w:rPr>
        <w:t>interpretation of Article 11 of the directive, which states that a recovery request cannot be transmitted by the requesting authority to the requested authority «if and as long as» the decision giving rise to the tax claim</w:t>
      </w:r>
      <w:r>
        <w:rPr>
          <w:color w:val="231F20"/>
          <w:spacing w:val="-2"/>
        </w:rPr>
        <w:t> </w:t>
      </w:r>
      <w:r>
        <w:rPr>
          <w:color w:val="231F20"/>
        </w:rPr>
        <w:t>to</w:t>
      </w:r>
      <w:r>
        <w:rPr>
          <w:color w:val="231F20"/>
          <w:spacing w:val="-2"/>
        </w:rPr>
        <w:t> </w:t>
      </w:r>
      <w:r>
        <w:rPr>
          <w:color w:val="231F20"/>
        </w:rPr>
        <w:t>be</w:t>
      </w:r>
      <w:r>
        <w:rPr>
          <w:color w:val="231F20"/>
          <w:spacing w:val="-2"/>
        </w:rPr>
        <w:t> </w:t>
      </w:r>
      <w:r>
        <w:rPr>
          <w:color w:val="231F20"/>
        </w:rPr>
        <w:t>recovered</w:t>
      </w:r>
      <w:r>
        <w:rPr>
          <w:color w:val="231F20"/>
          <w:spacing w:val="-2"/>
        </w:rPr>
        <w:t> </w:t>
      </w:r>
      <w:r>
        <w:rPr>
          <w:color w:val="231F20"/>
        </w:rPr>
        <w:t>is</w:t>
      </w:r>
      <w:r>
        <w:rPr>
          <w:color w:val="231F20"/>
          <w:spacing w:val="-2"/>
        </w:rPr>
        <w:t> </w:t>
      </w:r>
      <w:r>
        <w:rPr>
          <w:color w:val="231F20"/>
        </w:rPr>
        <w:t>contested</w:t>
      </w:r>
      <w:r>
        <w:rPr>
          <w:color w:val="231F20"/>
          <w:spacing w:val="-2"/>
        </w:rPr>
        <w:t> </w:t>
      </w:r>
      <w:r>
        <w:rPr>
          <w:color w:val="231F20"/>
        </w:rPr>
        <w:t>before</w:t>
      </w:r>
      <w:r>
        <w:rPr>
          <w:color w:val="231F20"/>
          <w:spacing w:val="-2"/>
        </w:rPr>
        <w:t> </w:t>
      </w:r>
      <w:r>
        <w:rPr>
          <w:color w:val="231F20"/>
        </w:rPr>
        <w:t>a</w:t>
      </w:r>
      <w:r>
        <w:rPr>
          <w:color w:val="231F20"/>
          <w:spacing w:val="-2"/>
        </w:rPr>
        <w:t> </w:t>
      </w:r>
      <w:r>
        <w:rPr>
          <w:color w:val="231F20"/>
        </w:rPr>
        <w:t>court</w:t>
      </w:r>
      <w:r>
        <w:rPr>
          <w:color w:val="231F20"/>
          <w:spacing w:val="-2"/>
        </w:rPr>
        <w:t> </w:t>
      </w:r>
      <w:r>
        <w:rPr>
          <w:color w:val="231F20"/>
        </w:rPr>
        <w:t>of</w:t>
      </w:r>
      <w:r>
        <w:rPr>
          <w:color w:val="231F20"/>
          <w:spacing w:val="-2"/>
        </w:rPr>
        <w:t> </w:t>
      </w:r>
      <w:r>
        <w:rPr>
          <w:color w:val="231F20"/>
        </w:rPr>
        <w:t>the</w:t>
      </w:r>
      <w:r>
        <w:rPr>
          <w:color w:val="231F20"/>
          <w:spacing w:val="-2"/>
        </w:rPr>
        <w:t> </w:t>
      </w:r>
      <w:r>
        <w:rPr>
          <w:color w:val="231F20"/>
        </w:rPr>
        <w:t>requesting</w:t>
      </w:r>
      <w:r>
        <w:rPr>
          <w:color w:val="231F20"/>
          <w:spacing w:val="-2"/>
        </w:rPr>
        <w:t> </w:t>
      </w:r>
      <w:r>
        <w:rPr>
          <w:color w:val="231F20"/>
        </w:rPr>
        <w:t>State.</w:t>
      </w:r>
      <w:r>
        <w:rPr>
          <w:color w:val="231F20"/>
          <w:spacing w:val="-2"/>
        </w:rPr>
        <w:t> </w:t>
      </w:r>
      <w:r>
        <w:rPr>
          <w:color w:val="231F20"/>
        </w:rPr>
        <w:t>A fortiori, such a request «also cannot be made when the person concerned has</w:t>
      </w:r>
      <w:r>
        <w:rPr>
          <w:color w:val="231F20"/>
          <w:spacing w:val="-2"/>
        </w:rPr>
        <w:t> </w:t>
      </w:r>
      <w:r>
        <w:rPr>
          <w:color w:val="231F20"/>
        </w:rPr>
        <w:t>not</w:t>
      </w:r>
      <w:r>
        <w:rPr>
          <w:color w:val="231F20"/>
          <w:spacing w:val="-2"/>
        </w:rPr>
        <w:t> </w:t>
      </w:r>
      <w:r>
        <w:rPr>
          <w:color w:val="231F20"/>
        </w:rPr>
        <w:t>been</w:t>
      </w:r>
      <w:r>
        <w:rPr>
          <w:color w:val="231F20"/>
          <w:spacing w:val="-2"/>
        </w:rPr>
        <w:t> </w:t>
      </w:r>
      <w:r>
        <w:rPr>
          <w:color w:val="231F20"/>
        </w:rPr>
        <w:t>informed</w:t>
      </w:r>
      <w:r>
        <w:rPr>
          <w:color w:val="231F20"/>
          <w:spacing w:val="-2"/>
        </w:rPr>
        <w:t> </w:t>
      </w:r>
      <w:r>
        <w:rPr>
          <w:color w:val="231F20"/>
        </w:rPr>
        <w:t>of</w:t>
      </w:r>
      <w:r>
        <w:rPr>
          <w:color w:val="231F20"/>
          <w:spacing w:val="-2"/>
        </w:rPr>
        <w:t> </w:t>
      </w:r>
      <w:r>
        <w:rPr>
          <w:color w:val="231F20"/>
        </w:rPr>
        <w:t>the</w:t>
      </w:r>
      <w:r>
        <w:rPr>
          <w:color w:val="231F20"/>
          <w:spacing w:val="-2"/>
        </w:rPr>
        <w:t> </w:t>
      </w:r>
      <w:r>
        <w:rPr>
          <w:color w:val="231F20"/>
        </w:rPr>
        <w:t>very</w:t>
      </w:r>
      <w:r>
        <w:rPr>
          <w:color w:val="231F20"/>
          <w:spacing w:val="-2"/>
        </w:rPr>
        <w:t> </w:t>
      </w:r>
      <w:r>
        <w:rPr>
          <w:color w:val="231F20"/>
        </w:rPr>
        <w:t>existence</w:t>
      </w:r>
      <w:r>
        <w:rPr>
          <w:color w:val="231F20"/>
          <w:spacing w:val="-2"/>
        </w:rPr>
        <w:t> </w:t>
      </w:r>
      <w:r>
        <w:rPr>
          <w:color w:val="231F20"/>
        </w:rPr>
        <w:t>of</w:t>
      </w:r>
      <w:r>
        <w:rPr>
          <w:color w:val="231F20"/>
          <w:spacing w:val="-2"/>
        </w:rPr>
        <w:t> </w:t>
      </w:r>
      <w:r>
        <w:rPr>
          <w:color w:val="231F20"/>
        </w:rPr>
        <w:t>the</w:t>
      </w:r>
      <w:r>
        <w:rPr>
          <w:color w:val="231F20"/>
          <w:spacing w:val="-2"/>
        </w:rPr>
        <w:t> </w:t>
      </w:r>
      <w:r>
        <w:rPr>
          <w:color w:val="231F20"/>
        </w:rPr>
        <w:t>claim,</w:t>
      </w:r>
      <w:r>
        <w:rPr>
          <w:color w:val="231F20"/>
          <w:spacing w:val="-2"/>
        </w:rPr>
        <w:t> </w:t>
      </w:r>
      <w:r>
        <w:rPr>
          <w:color w:val="231F20"/>
        </w:rPr>
        <w:t>that</w:t>
      </w:r>
      <w:r>
        <w:rPr>
          <w:color w:val="231F20"/>
          <w:spacing w:val="-2"/>
        </w:rPr>
        <w:t> </w:t>
      </w:r>
      <w:r>
        <w:rPr>
          <w:color w:val="231F20"/>
        </w:rPr>
        <w:t>information being</w:t>
      </w:r>
      <w:r>
        <w:rPr>
          <w:color w:val="231F20"/>
          <w:spacing w:val="-1"/>
        </w:rPr>
        <w:t> </w:t>
      </w:r>
      <w:r>
        <w:rPr>
          <w:color w:val="231F20"/>
        </w:rPr>
        <w:t>a</w:t>
      </w:r>
      <w:r>
        <w:rPr>
          <w:color w:val="231F20"/>
          <w:spacing w:val="-1"/>
        </w:rPr>
        <w:t> </w:t>
      </w:r>
      <w:r>
        <w:rPr>
          <w:color w:val="231F20"/>
        </w:rPr>
        <w:t>necessary</w:t>
      </w:r>
      <w:r>
        <w:rPr>
          <w:color w:val="231F20"/>
          <w:spacing w:val="-1"/>
        </w:rPr>
        <w:t> </w:t>
      </w:r>
      <w:r>
        <w:rPr>
          <w:color w:val="231F20"/>
        </w:rPr>
        <w:t>prerequisite</w:t>
      </w:r>
      <w:r>
        <w:rPr>
          <w:color w:val="231F20"/>
          <w:spacing w:val="-1"/>
        </w:rPr>
        <w:t> </w:t>
      </w:r>
      <w:r>
        <w:rPr>
          <w:color w:val="231F20"/>
        </w:rPr>
        <w:t>for</w:t>
      </w:r>
      <w:r>
        <w:rPr>
          <w:color w:val="231F20"/>
          <w:spacing w:val="-1"/>
        </w:rPr>
        <w:t> </w:t>
      </w:r>
      <w:r>
        <w:rPr>
          <w:color w:val="231F20"/>
        </w:rPr>
        <w:t>the</w:t>
      </w:r>
      <w:r>
        <w:rPr>
          <w:color w:val="231F20"/>
          <w:spacing w:val="-1"/>
        </w:rPr>
        <w:t> </w:t>
      </w:r>
      <w:r>
        <w:rPr>
          <w:color w:val="231F20"/>
        </w:rPr>
        <w:t>ability</w:t>
      </w:r>
      <w:r>
        <w:rPr>
          <w:color w:val="231F20"/>
          <w:spacing w:val="-1"/>
        </w:rPr>
        <w:t> </w:t>
      </w:r>
      <w:r>
        <w:rPr>
          <w:color w:val="231F20"/>
        </w:rPr>
        <w:t>to</w:t>
      </w:r>
      <w:r>
        <w:rPr>
          <w:color w:val="231F20"/>
          <w:spacing w:val="-1"/>
        </w:rPr>
        <w:t> </w:t>
      </w:r>
      <w:r>
        <w:rPr>
          <w:color w:val="231F20"/>
        </w:rPr>
        <w:t>contest</w:t>
      </w:r>
      <w:r>
        <w:rPr>
          <w:color w:val="231F20"/>
          <w:spacing w:val="-1"/>
        </w:rPr>
        <w:t> </w:t>
      </w:r>
      <w:r>
        <w:rPr>
          <w:color w:val="231F20"/>
        </w:rPr>
        <w:t>that</w:t>
      </w:r>
      <w:r>
        <w:rPr>
          <w:color w:val="231F20"/>
          <w:spacing w:val="-1"/>
        </w:rPr>
        <w:t> </w:t>
      </w:r>
      <w:r>
        <w:rPr>
          <w:color w:val="231F20"/>
        </w:rPr>
        <w:t>claim»</w:t>
      </w:r>
      <w:r>
        <w:rPr>
          <w:color w:val="231F20"/>
          <w:position w:val="8"/>
          <w:sz w:val="14"/>
        </w:rPr>
        <w:t>43</w:t>
      </w:r>
      <w:r>
        <w:rPr>
          <w:color w:val="231F20"/>
        </w:rPr>
        <w:t>.</w:t>
      </w:r>
      <w:r>
        <w:rPr>
          <w:color w:val="231F20"/>
          <w:spacing w:val="-1"/>
        </w:rPr>
        <w:t> </w:t>
      </w:r>
      <w:r>
        <w:rPr>
          <w:color w:val="231F20"/>
        </w:rPr>
        <w:t>Con- sequently, since Mr. Donnellan had not had the opportunity to appeal to the Greek courts, the general rule provided in Article 14 of the directive, according</w:t>
      </w:r>
      <w:r>
        <w:rPr>
          <w:color w:val="231F20"/>
          <w:spacing w:val="-2"/>
        </w:rPr>
        <w:t> </w:t>
      </w:r>
      <w:r>
        <w:rPr>
          <w:color w:val="231F20"/>
        </w:rPr>
        <w:t>to</w:t>
      </w:r>
      <w:r>
        <w:rPr>
          <w:color w:val="231F20"/>
          <w:spacing w:val="-2"/>
        </w:rPr>
        <w:t> </w:t>
      </w:r>
      <w:r>
        <w:rPr>
          <w:color w:val="231F20"/>
        </w:rPr>
        <w:t>which</w:t>
      </w:r>
      <w:r>
        <w:rPr>
          <w:color w:val="231F20"/>
          <w:spacing w:val="-2"/>
        </w:rPr>
        <w:t> </w:t>
      </w:r>
      <w:r>
        <w:rPr>
          <w:color w:val="231F20"/>
        </w:rPr>
        <w:t>the</w:t>
      </w:r>
      <w:r>
        <w:rPr>
          <w:color w:val="231F20"/>
          <w:spacing w:val="-2"/>
        </w:rPr>
        <w:t> </w:t>
      </w:r>
      <w:r>
        <w:rPr>
          <w:color w:val="231F20"/>
        </w:rPr>
        <w:t>courts</w:t>
      </w:r>
      <w:r>
        <w:rPr>
          <w:color w:val="231F20"/>
          <w:spacing w:val="-2"/>
        </w:rPr>
        <w:t> </w:t>
      </w:r>
      <w:r>
        <w:rPr>
          <w:color w:val="231F20"/>
        </w:rPr>
        <w:t>of</w:t>
      </w:r>
      <w:r>
        <w:rPr>
          <w:color w:val="231F20"/>
          <w:spacing w:val="-2"/>
        </w:rPr>
        <w:t> </w:t>
      </w:r>
      <w:r>
        <w:rPr>
          <w:color w:val="231F20"/>
        </w:rPr>
        <w:t>the</w:t>
      </w:r>
      <w:r>
        <w:rPr>
          <w:color w:val="231F20"/>
          <w:spacing w:val="-2"/>
        </w:rPr>
        <w:t> </w:t>
      </w:r>
      <w:r>
        <w:rPr>
          <w:color w:val="231F20"/>
        </w:rPr>
        <w:t>requesting</w:t>
      </w:r>
      <w:r>
        <w:rPr>
          <w:color w:val="231F20"/>
          <w:spacing w:val="-2"/>
        </w:rPr>
        <w:t> </w:t>
      </w:r>
      <w:r>
        <w:rPr>
          <w:color w:val="231F20"/>
        </w:rPr>
        <w:t>Member</w:t>
      </w:r>
      <w:r>
        <w:rPr>
          <w:color w:val="231F20"/>
          <w:spacing w:val="-2"/>
        </w:rPr>
        <w:t> </w:t>
      </w:r>
      <w:r>
        <w:rPr>
          <w:color w:val="231F20"/>
        </w:rPr>
        <w:t>State</w:t>
      </w:r>
      <w:r>
        <w:rPr>
          <w:color w:val="231F20"/>
          <w:spacing w:val="-2"/>
        </w:rPr>
        <w:t> </w:t>
      </w:r>
      <w:r>
        <w:rPr>
          <w:color w:val="231F20"/>
        </w:rPr>
        <w:t>have</w:t>
      </w:r>
      <w:r>
        <w:rPr>
          <w:color w:val="231F20"/>
          <w:spacing w:val="-2"/>
        </w:rPr>
        <w:t> </w:t>
      </w:r>
      <w:r>
        <w:rPr>
          <w:color w:val="231F20"/>
        </w:rPr>
        <w:t>exclu- sive jurisdiction over disputes relating to the title of the tax claim, could not</w:t>
      </w:r>
      <w:r>
        <w:rPr>
          <w:color w:val="231F20"/>
          <w:spacing w:val="-12"/>
        </w:rPr>
        <w:t> </w:t>
      </w:r>
      <w:r>
        <w:rPr>
          <w:color w:val="231F20"/>
        </w:rPr>
        <w:t>be</w:t>
      </w:r>
      <w:r>
        <w:rPr>
          <w:color w:val="231F20"/>
          <w:spacing w:val="-11"/>
        </w:rPr>
        <w:t> </w:t>
      </w:r>
      <w:r>
        <w:rPr>
          <w:color w:val="231F20"/>
        </w:rPr>
        <w:t>applied</w:t>
      </w:r>
      <w:r>
        <w:rPr>
          <w:color w:val="231F20"/>
          <w:spacing w:val="-11"/>
        </w:rPr>
        <w:t> </w:t>
      </w:r>
      <w:r>
        <w:rPr>
          <w:color w:val="231F20"/>
        </w:rPr>
        <w:t>to</w:t>
      </w:r>
      <w:r>
        <w:rPr>
          <w:color w:val="231F20"/>
          <w:spacing w:val="-11"/>
        </w:rPr>
        <w:t> </w:t>
      </w:r>
      <w:r>
        <w:rPr>
          <w:color w:val="231F20"/>
        </w:rPr>
        <w:t>him</w:t>
      </w:r>
      <w:r>
        <w:rPr>
          <w:color w:val="231F20"/>
          <w:position w:val="8"/>
          <w:sz w:val="14"/>
        </w:rPr>
        <w:t>44</w:t>
      </w:r>
      <w:r>
        <w:rPr>
          <w:color w:val="231F20"/>
        </w:rPr>
        <w:t>.</w:t>
      </w:r>
      <w:r>
        <w:rPr>
          <w:color w:val="231F20"/>
          <w:spacing w:val="-11"/>
        </w:rPr>
        <w:t> </w:t>
      </w:r>
      <w:r>
        <w:rPr>
          <w:color w:val="231F20"/>
        </w:rPr>
        <w:t>The</w:t>
      </w:r>
      <w:r>
        <w:rPr>
          <w:color w:val="231F20"/>
          <w:spacing w:val="-12"/>
        </w:rPr>
        <w:t> </w:t>
      </w:r>
      <w:r>
        <w:rPr>
          <w:color w:val="231F20"/>
        </w:rPr>
        <w:t>Union</w:t>
      </w:r>
      <w:r>
        <w:rPr>
          <w:color w:val="231F20"/>
          <w:spacing w:val="-11"/>
        </w:rPr>
        <w:t> </w:t>
      </w:r>
      <w:r>
        <w:rPr>
          <w:color w:val="231F20"/>
        </w:rPr>
        <w:t>judges</w:t>
      </w:r>
      <w:r>
        <w:rPr>
          <w:color w:val="231F20"/>
          <w:spacing w:val="-11"/>
        </w:rPr>
        <w:t> </w:t>
      </w:r>
      <w:r>
        <w:rPr>
          <w:color w:val="231F20"/>
        </w:rPr>
        <w:t>therefore</w:t>
      </w:r>
      <w:r>
        <w:rPr>
          <w:color w:val="231F20"/>
          <w:spacing w:val="-11"/>
        </w:rPr>
        <w:t> </w:t>
      </w:r>
      <w:r>
        <w:rPr>
          <w:color w:val="231F20"/>
        </w:rPr>
        <w:t>concluded</w:t>
      </w:r>
      <w:r>
        <w:rPr>
          <w:color w:val="231F20"/>
          <w:spacing w:val="-11"/>
        </w:rPr>
        <w:t> </w:t>
      </w:r>
      <w:r>
        <w:rPr>
          <w:color w:val="231F20"/>
        </w:rPr>
        <w:t>that</w:t>
      </w:r>
      <w:r>
        <w:rPr>
          <w:color w:val="231F20"/>
          <w:spacing w:val="-12"/>
        </w:rPr>
        <w:t> </w:t>
      </w:r>
      <w:r>
        <w:rPr>
          <w:color w:val="231F20"/>
          <w:spacing w:val="-2"/>
        </w:rPr>
        <w:t>Article</w:t>
      </w:r>
    </w:p>
    <w:p>
      <w:pPr>
        <w:pStyle w:val="BodyText"/>
        <w:spacing w:before="36"/>
        <w:rPr>
          <w:sz w:val="20"/>
        </w:rPr>
      </w:pPr>
      <w:r>
        <w:rPr/>
        <mc:AlternateContent>
          <mc:Choice Requires="wps">
            <w:drawing>
              <wp:anchor distT="0" distB="0" distL="0" distR="0" allowOverlap="1" layoutInCell="1" locked="0" behindDoc="1" simplePos="0" relativeHeight="487601664">
                <wp:simplePos x="0" y="0"/>
                <wp:positionH relativeFrom="page">
                  <wp:posOffset>899999</wp:posOffset>
                </wp:positionH>
                <wp:positionV relativeFrom="paragraph">
                  <wp:posOffset>199616</wp:posOffset>
                </wp:positionV>
                <wp:extent cx="792480" cy="1270"/>
                <wp:effectExtent l="0" t="0" r="0" b="0"/>
                <wp:wrapTopAndBottom/>
                <wp:docPr id="58" name="Graphic 58"/>
                <wp:cNvGraphicFramePr>
                  <a:graphicFrameLocks/>
                </wp:cNvGraphicFramePr>
                <a:graphic>
                  <a:graphicData uri="http://schemas.microsoft.com/office/word/2010/wordprocessingShape">
                    <wps:wsp>
                      <wps:cNvPr id="58" name="Graphic 58"/>
                      <wps:cNvSpPr/>
                      <wps:spPr>
                        <a:xfrm>
                          <a:off x="0" y="0"/>
                          <a:ext cx="792480" cy="1270"/>
                        </a:xfrm>
                        <a:custGeom>
                          <a:avLst/>
                          <a:gdLst/>
                          <a:ahLst/>
                          <a:cxnLst/>
                          <a:rect l="l" t="t" r="r" b="b"/>
                          <a:pathLst>
                            <a:path w="792480" h="0">
                              <a:moveTo>
                                <a:pt x="0" y="0"/>
                              </a:moveTo>
                              <a:lnTo>
                                <a:pt x="791997"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shape style="position:absolute;margin-left:70.866096pt;margin-top:15.71786pt;width:62.4pt;height:.1pt;mso-position-horizontal-relative:page;mso-position-vertical-relative:paragraph;z-index:-15714816;mso-wrap-distance-left:0;mso-wrap-distance-right:0" id="docshape48" coordorigin="1417,314" coordsize="1248,0" path="m1417,314l2665,314e" filled="false" stroked="true" strokeweight=".5pt" strokecolor="#231f20">
                <v:path arrowok="t"/>
                <v:stroke dashstyle="solid"/>
                <w10:wrap type="topAndBottom"/>
              </v:shape>
            </w:pict>
          </mc:Fallback>
        </mc:AlternateContent>
      </w:r>
    </w:p>
    <w:p>
      <w:pPr>
        <w:spacing w:line="235" w:lineRule="exact" w:before="190"/>
        <w:ind w:left="157" w:right="0" w:firstLine="0"/>
        <w:jc w:val="left"/>
        <w:rPr>
          <w:sz w:val="19"/>
        </w:rPr>
      </w:pPr>
      <w:r>
        <w:rPr>
          <w:color w:val="231F20"/>
          <w:position w:val="6"/>
          <w:sz w:val="11"/>
        </w:rPr>
        <w:t>41</w:t>
      </w:r>
      <w:r>
        <w:rPr>
          <w:color w:val="231F20"/>
          <w:spacing w:val="50"/>
          <w:position w:val="6"/>
          <w:sz w:val="11"/>
        </w:rPr>
        <w:t>  </w:t>
      </w:r>
      <w:r>
        <w:rPr>
          <w:color w:val="231F20"/>
          <w:sz w:val="19"/>
        </w:rPr>
        <w:t>Case</w:t>
      </w:r>
      <w:r>
        <w:rPr>
          <w:color w:val="231F20"/>
          <w:spacing w:val="-1"/>
          <w:sz w:val="19"/>
        </w:rPr>
        <w:t> </w:t>
      </w:r>
      <w:r>
        <w:rPr>
          <w:color w:val="231F20"/>
          <w:sz w:val="19"/>
        </w:rPr>
        <w:t>KrakVet,</w:t>
      </w:r>
      <w:r>
        <w:rPr>
          <w:color w:val="231F20"/>
          <w:spacing w:val="-2"/>
          <w:sz w:val="19"/>
        </w:rPr>
        <w:t> </w:t>
      </w:r>
      <w:r>
        <w:rPr>
          <w:color w:val="231F20"/>
          <w:sz w:val="19"/>
        </w:rPr>
        <w:t>C-276/18,</w:t>
      </w:r>
      <w:r>
        <w:rPr>
          <w:color w:val="231F20"/>
          <w:spacing w:val="-2"/>
          <w:sz w:val="19"/>
        </w:rPr>
        <w:t> </w:t>
      </w:r>
      <w:r>
        <w:rPr>
          <w:color w:val="231F20"/>
          <w:sz w:val="19"/>
        </w:rPr>
        <w:t>points</w:t>
      </w:r>
      <w:r>
        <w:rPr>
          <w:color w:val="231F20"/>
          <w:spacing w:val="-2"/>
          <w:sz w:val="19"/>
        </w:rPr>
        <w:t> </w:t>
      </w:r>
      <w:r>
        <w:rPr>
          <w:color w:val="231F20"/>
          <w:sz w:val="19"/>
        </w:rPr>
        <w:t>50,</w:t>
      </w:r>
      <w:r>
        <w:rPr>
          <w:color w:val="231F20"/>
          <w:spacing w:val="-2"/>
          <w:sz w:val="19"/>
        </w:rPr>
        <w:t> </w:t>
      </w:r>
      <w:r>
        <w:rPr>
          <w:color w:val="231F20"/>
          <w:sz w:val="19"/>
        </w:rPr>
        <w:t>51</w:t>
      </w:r>
      <w:r>
        <w:rPr>
          <w:color w:val="231F20"/>
          <w:spacing w:val="-2"/>
          <w:sz w:val="19"/>
        </w:rPr>
        <w:t> </w:t>
      </w:r>
      <w:r>
        <w:rPr>
          <w:color w:val="231F20"/>
          <w:sz w:val="19"/>
        </w:rPr>
        <w:t>and</w:t>
      </w:r>
      <w:r>
        <w:rPr>
          <w:color w:val="231F20"/>
          <w:spacing w:val="-2"/>
          <w:sz w:val="19"/>
        </w:rPr>
        <w:t> </w:t>
      </w:r>
      <w:r>
        <w:rPr>
          <w:color w:val="231F20"/>
          <w:spacing w:val="-5"/>
          <w:sz w:val="19"/>
        </w:rPr>
        <w:t>52.</w:t>
      </w:r>
    </w:p>
    <w:p>
      <w:pPr>
        <w:spacing w:line="228" w:lineRule="exact" w:before="0"/>
        <w:ind w:left="157" w:right="0" w:firstLine="0"/>
        <w:jc w:val="left"/>
        <w:rPr>
          <w:i/>
          <w:sz w:val="19"/>
        </w:rPr>
      </w:pPr>
      <w:r>
        <w:rPr>
          <w:color w:val="231F20"/>
          <w:position w:val="6"/>
          <w:sz w:val="11"/>
        </w:rPr>
        <w:t>42</w:t>
      </w:r>
      <w:r>
        <w:rPr>
          <w:color w:val="231F20"/>
          <w:spacing w:val="48"/>
          <w:position w:val="6"/>
          <w:sz w:val="11"/>
        </w:rPr>
        <w:t>  </w:t>
      </w:r>
      <w:r>
        <w:rPr>
          <w:color w:val="231F20"/>
          <w:sz w:val="19"/>
        </w:rPr>
        <w:t>ECJ,</w:t>
      </w:r>
      <w:r>
        <w:rPr>
          <w:color w:val="231F20"/>
          <w:spacing w:val="-3"/>
          <w:sz w:val="19"/>
        </w:rPr>
        <w:t> </w:t>
      </w:r>
      <w:r>
        <w:rPr>
          <w:color w:val="231F20"/>
          <w:sz w:val="19"/>
        </w:rPr>
        <w:t>26</w:t>
      </w:r>
      <w:r>
        <w:rPr>
          <w:color w:val="231F20"/>
          <w:spacing w:val="-3"/>
          <w:sz w:val="19"/>
        </w:rPr>
        <w:t> </w:t>
      </w:r>
      <w:r>
        <w:rPr>
          <w:color w:val="231F20"/>
          <w:sz w:val="19"/>
        </w:rPr>
        <w:t>April</w:t>
      </w:r>
      <w:r>
        <w:rPr>
          <w:color w:val="231F20"/>
          <w:spacing w:val="42"/>
          <w:sz w:val="19"/>
        </w:rPr>
        <w:t> </w:t>
      </w:r>
      <w:r>
        <w:rPr>
          <w:color w:val="231F20"/>
          <w:sz w:val="19"/>
        </w:rPr>
        <w:t>2018,</w:t>
      </w:r>
      <w:r>
        <w:rPr>
          <w:color w:val="231F20"/>
          <w:spacing w:val="-3"/>
          <w:sz w:val="19"/>
        </w:rPr>
        <w:t> </w:t>
      </w:r>
      <w:r>
        <w:rPr>
          <w:color w:val="231F20"/>
          <w:sz w:val="19"/>
        </w:rPr>
        <w:t>case</w:t>
      </w:r>
      <w:r>
        <w:rPr>
          <w:color w:val="231F20"/>
          <w:spacing w:val="-3"/>
          <w:sz w:val="19"/>
        </w:rPr>
        <w:t> </w:t>
      </w:r>
      <w:r>
        <w:rPr>
          <w:color w:val="231F20"/>
          <w:sz w:val="19"/>
        </w:rPr>
        <w:t>C-34/17,</w:t>
      </w:r>
      <w:r>
        <w:rPr>
          <w:color w:val="231F20"/>
          <w:spacing w:val="-3"/>
          <w:sz w:val="19"/>
        </w:rPr>
        <w:t> </w:t>
      </w:r>
      <w:r>
        <w:rPr>
          <w:i/>
          <w:color w:val="231F20"/>
          <w:sz w:val="19"/>
        </w:rPr>
        <w:t>Donnellan</w:t>
      </w:r>
      <w:r>
        <w:rPr>
          <w:i/>
          <w:color w:val="231F20"/>
          <w:spacing w:val="-3"/>
          <w:sz w:val="19"/>
        </w:rPr>
        <w:t> </w:t>
      </w:r>
      <w:r>
        <w:rPr>
          <w:i/>
          <w:color w:val="231F20"/>
          <w:sz w:val="19"/>
        </w:rPr>
        <w:t>v.</w:t>
      </w:r>
      <w:r>
        <w:rPr>
          <w:i/>
          <w:color w:val="231F20"/>
          <w:spacing w:val="-3"/>
          <w:sz w:val="19"/>
        </w:rPr>
        <w:t> </w:t>
      </w:r>
      <w:r>
        <w:rPr>
          <w:i/>
          <w:color w:val="231F20"/>
          <w:sz w:val="19"/>
        </w:rPr>
        <w:t>The</w:t>
      </w:r>
      <w:r>
        <w:rPr>
          <w:i/>
          <w:color w:val="231F20"/>
          <w:spacing w:val="-4"/>
          <w:sz w:val="19"/>
        </w:rPr>
        <w:t> </w:t>
      </w:r>
      <w:r>
        <w:rPr>
          <w:i/>
          <w:color w:val="231F20"/>
          <w:sz w:val="19"/>
        </w:rPr>
        <w:t>Revenue</w:t>
      </w:r>
      <w:r>
        <w:rPr>
          <w:i/>
          <w:color w:val="231F20"/>
          <w:spacing w:val="-3"/>
          <w:sz w:val="19"/>
        </w:rPr>
        <w:t> </w:t>
      </w:r>
      <w:r>
        <w:rPr>
          <w:i/>
          <w:color w:val="231F20"/>
          <w:spacing w:val="-2"/>
          <w:sz w:val="19"/>
        </w:rPr>
        <w:t>Commissioners.</w:t>
      </w:r>
    </w:p>
    <w:p>
      <w:pPr>
        <w:spacing w:line="228" w:lineRule="exact" w:before="0"/>
        <w:ind w:left="157" w:right="0" w:firstLine="0"/>
        <w:jc w:val="left"/>
        <w:rPr>
          <w:sz w:val="19"/>
        </w:rPr>
      </w:pPr>
      <w:r>
        <w:rPr>
          <w:color w:val="231F20"/>
          <w:position w:val="6"/>
          <w:sz w:val="11"/>
        </w:rPr>
        <w:t>43</w:t>
      </w:r>
      <w:r>
        <w:rPr>
          <w:color w:val="231F20"/>
          <w:spacing w:val="53"/>
          <w:position w:val="6"/>
          <w:sz w:val="11"/>
        </w:rPr>
        <w:t>  </w:t>
      </w:r>
      <w:r>
        <w:rPr>
          <w:color w:val="231F20"/>
          <w:sz w:val="19"/>
        </w:rPr>
        <w:t>Case </w:t>
      </w:r>
      <w:r>
        <w:rPr>
          <w:i/>
          <w:color w:val="231F20"/>
          <w:sz w:val="19"/>
        </w:rPr>
        <w:t>Donnellan </w:t>
      </w:r>
      <w:r>
        <w:rPr>
          <w:color w:val="231F20"/>
          <w:sz w:val="19"/>
        </w:rPr>
        <w:t>C-34/17,</w:t>
      </w:r>
      <w:r>
        <w:rPr>
          <w:color w:val="231F20"/>
          <w:spacing w:val="-1"/>
          <w:sz w:val="19"/>
        </w:rPr>
        <w:t> </w:t>
      </w:r>
      <w:r>
        <w:rPr>
          <w:color w:val="231F20"/>
          <w:sz w:val="19"/>
        </w:rPr>
        <w:t>point </w:t>
      </w:r>
      <w:r>
        <w:rPr>
          <w:color w:val="231F20"/>
          <w:spacing w:val="-5"/>
          <w:sz w:val="19"/>
        </w:rPr>
        <w:t>57.</w:t>
      </w:r>
    </w:p>
    <w:p>
      <w:pPr>
        <w:spacing w:line="235" w:lineRule="exact" w:before="0"/>
        <w:ind w:left="157" w:right="0" w:firstLine="0"/>
        <w:jc w:val="left"/>
        <w:rPr>
          <w:sz w:val="19"/>
        </w:rPr>
      </w:pPr>
      <w:r>
        <w:rPr>
          <w:color w:val="231F20"/>
          <w:position w:val="6"/>
          <w:sz w:val="11"/>
        </w:rPr>
        <w:t>44</w:t>
      </w:r>
      <w:r>
        <w:rPr>
          <w:color w:val="231F20"/>
          <w:spacing w:val="53"/>
          <w:position w:val="6"/>
          <w:sz w:val="11"/>
        </w:rPr>
        <w:t>  </w:t>
      </w:r>
      <w:r>
        <w:rPr>
          <w:color w:val="231F20"/>
          <w:sz w:val="19"/>
        </w:rPr>
        <w:t>Case </w:t>
      </w:r>
      <w:r>
        <w:rPr>
          <w:i/>
          <w:color w:val="231F20"/>
          <w:sz w:val="19"/>
        </w:rPr>
        <w:t>Donnellan</w:t>
      </w:r>
      <w:r>
        <w:rPr>
          <w:i/>
          <w:color w:val="231F20"/>
          <w:spacing w:val="47"/>
          <w:sz w:val="19"/>
        </w:rPr>
        <w:t> </w:t>
      </w:r>
      <w:r>
        <w:rPr>
          <w:color w:val="231F20"/>
          <w:sz w:val="19"/>
        </w:rPr>
        <w:t>C-34/17, point </w:t>
      </w:r>
      <w:r>
        <w:rPr>
          <w:color w:val="231F20"/>
          <w:spacing w:val="-5"/>
          <w:sz w:val="19"/>
        </w:rPr>
        <w:t>59.</w:t>
      </w:r>
    </w:p>
    <w:p>
      <w:pPr>
        <w:spacing w:after="0" w:line="235" w:lineRule="exact"/>
        <w:jc w:val="left"/>
        <w:rPr>
          <w:sz w:val="19"/>
        </w:rPr>
        <w:sectPr>
          <w:pgSz w:w="9640" w:h="13610"/>
          <w:pgMar w:header="0" w:footer="625" w:top="1260" w:bottom="820" w:left="1260" w:right="1240"/>
        </w:sectPr>
      </w:pPr>
    </w:p>
    <w:p>
      <w:pPr>
        <w:pStyle w:val="BodyText"/>
        <w:spacing w:line="225" w:lineRule="auto" w:before="117"/>
        <w:ind w:left="100" w:right="175"/>
        <w:jc w:val="both"/>
      </w:pPr>
      <w:r>
        <w:rPr>
          <w:color w:val="231F20"/>
        </w:rPr>
        <w:t>47 of the CFR could legitimately justify, albeit exceptionally, the </w:t>
      </w:r>
      <w:r>
        <w:rPr>
          <w:color w:val="231F20"/>
        </w:rPr>
        <w:t>refusal of the requested tax administration to execute a recovery request from </w:t>
      </w:r>
      <w:r>
        <w:rPr>
          <w:color w:val="231F20"/>
        </w:rPr>
        <w:t>the requesting administration.</w:t>
      </w:r>
    </w:p>
    <w:p>
      <w:pPr>
        <w:pStyle w:val="BodyText"/>
        <w:spacing w:before="145"/>
      </w:pPr>
    </w:p>
    <w:p>
      <w:pPr>
        <w:pStyle w:val="ListParagraph"/>
        <w:numPr>
          <w:ilvl w:val="1"/>
          <w:numId w:val="1"/>
        </w:numPr>
        <w:tabs>
          <w:tab w:pos="526" w:val="left" w:leader="none"/>
        </w:tabs>
        <w:spacing w:line="244" w:lineRule="auto" w:before="0" w:after="0"/>
        <w:ind w:left="100" w:right="1017" w:firstLine="0"/>
        <w:jc w:val="left"/>
        <w:rPr>
          <w:b/>
          <w:sz w:val="24"/>
        </w:rPr>
      </w:pPr>
      <w:r>
        <w:rPr>
          <w:b/>
          <w:color w:val="231F20"/>
          <w:sz w:val="24"/>
        </w:rPr>
        <w:t>A</w:t>
      </w:r>
      <w:r>
        <w:rPr>
          <w:b/>
          <w:color w:val="231F20"/>
          <w:spacing w:val="-5"/>
          <w:sz w:val="24"/>
        </w:rPr>
        <w:t> </w:t>
      </w:r>
      <w:r>
        <w:rPr>
          <w:b/>
          <w:color w:val="231F20"/>
          <w:sz w:val="24"/>
        </w:rPr>
        <w:t>Recovery</w:t>
      </w:r>
      <w:r>
        <w:rPr>
          <w:b/>
          <w:color w:val="231F20"/>
          <w:spacing w:val="-5"/>
          <w:sz w:val="24"/>
        </w:rPr>
        <w:t> </w:t>
      </w:r>
      <w:r>
        <w:rPr>
          <w:b/>
          <w:color w:val="231F20"/>
          <w:sz w:val="24"/>
        </w:rPr>
        <w:t>Request</w:t>
      </w:r>
      <w:r>
        <w:rPr>
          <w:b/>
          <w:color w:val="231F20"/>
          <w:spacing w:val="-5"/>
          <w:sz w:val="24"/>
        </w:rPr>
        <w:t> </w:t>
      </w:r>
      <w:r>
        <w:rPr>
          <w:b/>
          <w:color w:val="231F20"/>
          <w:sz w:val="24"/>
        </w:rPr>
        <w:t>can</w:t>
      </w:r>
      <w:r>
        <w:rPr>
          <w:b/>
          <w:color w:val="231F20"/>
          <w:spacing w:val="-5"/>
          <w:sz w:val="24"/>
        </w:rPr>
        <w:t> </w:t>
      </w:r>
      <w:r>
        <w:rPr>
          <w:b/>
          <w:color w:val="231F20"/>
          <w:sz w:val="24"/>
        </w:rPr>
        <w:t>be</w:t>
      </w:r>
      <w:r>
        <w:rPr>
          <w:b/>
          <w:color w:val="231F20"/>
          <w:spacing w:val="-5"/>
          <w:sz w:val="24"/>
        </w:rPr>
        <w:t> </w:t>
      </w:r>
      <w:r>
        <w:rPr>
          <w:b/>
          <w:color w:val="231F20"/>
          <w:sz w:val="24"/>
        </w:rPr>
        <w:t>legally</w:t>
      </w:r>
      <w:r>
        <w:rPr>
          <w:b/>
          <w:color w:val="231F20"/>
          <w:spacing w:val="-5"/>
          <w:sz w:val="24"/>
        </w:rPr>
        <w:t> </w:t>
      </w:r>
      <w:r>
        <w:rPr>
          <w:b/>
          <w:color w:val="231F20"/>
          <w:sz w:val="24"/>
        </w:rPr>
        <w:t>refused</w:t>
      </w:r>
      <w:r>
        <w:rPr>
          <w:b/>
          <w:color w:val="231F20"/>
          <w:spacing w:val="-5"/>
          <w:sz w:val="24"/>
        </w:rPr>
        <w:t> </w:t>
      </w:r>
      <w:r>
        <w:rPr>
          <w:b/>
          <w:color w:val="231F20"/>
          <w:sz w:val="24"/>
        </w:rPr>
        <w:t>in</w:t>
      </w:r>
      <w:r>
        <w:rPr>
          <w:b/>
          <w:color w:val="231F20"/>
          <w:spacing w:val="-5"/>
          <w:sz w:val="24"/>
        </w:rPr>
        <w:t> </w:t>
      </w:r>
      <w:r>
        <w:rPr>
          <w:b/>
          <w:color w:val="231F20"/>
          <w:sz w:val="24"/>
        </w:rPr>
        <w:t>case</w:t>
      </w:r>
      <w:r>
        <w:rPr>
          <w:b/>
          <w:color w:val="231F20"/>
          <w:spacing w:val="-5"/>
          <w:sz w:val="24"/>
        </w:rPr>
        <w:t> </w:t>
      </w:r>
      <w:r>
        <w:rPr>
          <w:b/>
          <w:color w:val="231F20"/>
          <w:sz w:val="24"/>
        </w:rPr>
        <w:t>of</w:t>
      </w:r>
      <w:r>
        <w:rPr>
          <w:b/>
          <w:color w:val="231F20"/>
          <w:spacing w:val="-5"/>
          <w:sz w:val="24"/>
        </w:rPr>
        <w:t> </w:t>
      </w:r>
      <w:r>
        <w:rPr>
          <w:b/>
          <w:color w:val="231F20"/>
          <w:sz w:val="24"/>
        </w:rPr>
        <w:t>double Collection of Excise Duties on the same Products</w:t>
      </w:r>
    </w:p>
    <w:p>
      <w:pPr>
        <w:pStyle w:val="BodyText"/>
        <w:spacing w:line="225" w:lineRule="auto" w:before="263"/>
        <w:ind w:left="100" w:right="174"/>
        <w:jc w:val="both"/>
      </w:pPr>
      <w:r>
        <w:rPr>
          <w:color w:val="231F20"/>
        </w:rPr>
        <w:t>In the preliminary ruling case </w:t>
      </w:r>
      <w:r>
        <w:rPr>
          <w:i/>
          <w:color w:val="231F20"/>
        </w:rPr>
        <w:t>Silcompa</w:t>
      </w:r>
      <w:r>
        <w:rPr>
          <w:color w:val="231F20"/>
          <w:position w:val="8"/>
          <w:sz w:val="14"/>
        </w:rPr>
        <w:t>45</w:t>
      </w:r>
      <w:r>
        <w:rPr>
          <w:color w:val="231F20"/>
        </w:rPr>
        <w:t>, the Italian Corte di </w:t>
      </w:r>
      <w:r>
        <w:rPr>
          <w:color w:val="231F20"/>
        </w:rPr>
        <w:t>Cassazione (Supreme Court)</w:t>
      </w:r>
      <w:r>
        <w:rPr>
          <w:color w:val="231F20"/>
          <w:spacing w:val="40"/>
        </w:rPr>
        <w:t> </w:t>
      </w:r>
      <w:r>
        <w:rPr>
          <w:color w:val="231F20"/>
        </w:rPr>
        <w:t>asked the Court of Justice to determine whether the requested authority could legitimately refuse to execute a recovery request for excise duties presented by the requesting authority and based on the same intra-Community export transactions already subject to excise duty in</w:t>
      </w:r>
      <w:r>
        <w:rPr>
          <w:color w:val="231F20"/>
          <w:spacing w:val="-14"/>
        </w:rPr>
        <w:t> </w:t>
      </w:r>
      <w:r>
        <w:rPr>
          <w:color w:val="231F20"/>
        </w:rPr>
        <w:t>the</w:t>
      </w:r>
      <w:r>
        <w:rPr>
          <w:color w:val="231F20"/>
          <w:spacing w:val="-14"/>
        </w:rPr>
        <w:t> </w:t>
      </w:r>
      <w:r>
        <w:rPr>
          <w:color w:val="231F20"/>
        </w:rPr>
        <w:t>Member</w:t>
      </w:r>
      <w:r>
        <w:rPr>
          <w:color w:val="231F20"/>
          <w:spacing w:val="-14"/>
        </w:rPr>
        <w:t> </w:t>
      </w:r>
      <w:r>
        <w:rPr>
          <w:color w:val="231F20"/>
        </w:rPr>
        <w:t>State</w:t>
      </w:r>
      <w:r>
        <w:rPr>
          <w:color w:val="231F20"/>
          <w:spacing w:val="-14"/>
        </w:rPr>
        <w:t> </w:t>
      </w:r>
      <w:r>
        <w:rPr>
          <w:color w:val="231F20"/>
        </w:rPr>
        <w:t>of</w:t>
      </w:r>
      <w:r>
        <w:rPr>
          <w:color w:val="231F20"/>
          <w:spacing w:val="-14"/>
        </w:rPr>
        <w:t> </w:t>
      </w:r>
      <w:r>
        <w:rPr>
          <w:color w:val="231F20"/>
        </w:rPr>
        <w:t>the</w:t>
      </w:r>
      <w:r>
        <w:rPr>
          <w:color w:val="231F20"/>
          <w:spacing w:val="-14"/>
        </w:rPr>
        <w:t> </w:t>
      </w:r>
      <w:r>
        <w:rPr>
          <w:color w:val="231F20"/>
        </w:rPr>
        <w:t>requested</w:t>
      </w:r>
      <w:r>
        <w:rPr>
          <w:color w:val="231F20"/>
          <w:spacing w:val="-14"/>
        </w:rPr>
        <w:t> </w:t>
      </w:r>
      <w:r>
        <w:rPr>
          <w:color w:val="231F20"/>
        </w:rPr>
        <w:t>authority</w:t>
      </w:r>
      <w:r>
        <w:rPr>
          <w:color w:val="231F20"/>
          <w:spacing w:val="-14"/>
        </w:rPr>
        <w:t> </w:t>
      </w:r>
      <w:r>
        <w:rPr>
          <w:color w:val="231F20"/>
        </w:rPr>
        <w:t>since</w:t>
      </w:r>
      <w:r>
        <w:rPr>
          <w:color w:val="231F20"/>
          <w:spacing w:val="-14"/>
        </w:rPr>
        <w:t> </w:t>
      </w:r>
      <w:r>
        <w:rPr>
          <w:color w:val="231F20"/>
        </w:rPr>
        <w:t>the</w:t>
      </w:r>
      <w:r>
        <w:rPr>
          <w:color w:val="231F20"/>
          <w:spacing w:val="-14"/>
        </w:rPr>
        <w:t> </w:t>
      </w:r>
      <w:r>
        <w:rPr>
          <w:color w:val="231F20"/>
        </w:rPr>
        <w:t>exported</w:t>
      </w:r>
      <w:r>
        <w:rPr>
          <w:color w:val="231F20"/>
          <w:spacing w:val="-14"/>
        </w:rPr>
        <w:t> </w:t>
      </w:r>
      <w:r>
        <w:rPr>
          <w:color w:val="231F20"/>
        </w:rPr>
        <w:t>products irregularly departed from a suspension arrangement. In this regard, the Union</w:t>
      </w:r>
      <w:r>
        <w:rPr>
          <w:color w:val="231F20"/>
          <w:spacing w:val="-4"/>
        </w:rPr>
        <w:t> </w:t>
      </w:r>
      <w:r>
        <w:rPr>
          <w:color w:val="231F20"/>
        </w:rPr>
        <w:t>judges</w:t>
      </w:r>
      <w:r>
        <w:rPr>
          <w:color w:val="231F20"/>
          <w:spacing w:val="-4"/>
        </w:rPr>
        <w:t> </w:t>
      </w:r>
      <w:r>
        <w:rPr>
          <w:color w:val="231F20"/>
        </w:rPr>
        <w:t>defined</w:t>
      </w:r>
      <w:r>
        <w:rPr>
          <w:color w:val="231F20"/>
          <w:spacing w:val="-4"/>
        </w:rPr>
        <w:t> </w:t>
      </w:r>
      <w:r>
        <w:rPr>
          <w:color w:val="231F20"/>
        </w:rPr>
        <w:t>it</w:t>
      </w:r>
      <w:r>
        <w:rPr>
          <w:color w:val="231F20"/>
          <w:spacing w:val="-4"/>
        </w:rPr>
        <w:t> </w:t>
      </w:r>
      <w:r>
        <w:rPr>
          <w:color w:val="231F20"/>
        </w:rPr>
        <w:t>as</w:t>
      </w:r>
      <w:r>
        <w:rPr>
          <w:color w:val="231F20"/>
          <w:spacing w:val="-4"/>
        </w:rPr>
        <w:t> </w:t>
      </w:r>
      <w:r>
        <w:rPr>
          <w:color w:val="231F20"/>
        </w:rPr>
        <w:t>«hard</w:t>
      </w:r>
      <w:r>
        <w:rPr>
          <w:color w:val="231F20"/>
          <w:spacing w:val="-4"/>
        </w:rPr>
        <w:t> </w:t>
      </w:r>
      <w:r>
        <w:rPr>
          <w:color w:val="231F20"/>
        </w:rPr>
        <w:t>to</w:t>
      </w:r>
      <w:r>
        <w:rPr>
          <w:color w:val="231F20"/>
          <w:spacing w:val="-4"/>
        </w:rPr>
        <w:t> </w:t>
      </w:r>
      <w:r>
        <w:rPr>
          <w:color w:val="231F20"/>
        </w:rPr>
        <w:t>imagine»</w:t>
      </w:r>
      <w:r>
        <w:rPr>
          <w:color w:val="231F20"/>
          <w:spacing w:val="-4"/>
        </w:rPr>
        <w:t> </w:t>
      </w:r>
      <w:r>
        <w:rPr>
          <w:color w:val="231F20"/>
        </w:rPr>
        <w:t>that</w:t>
      </w:r>
      <w:r>
        <w:rPr>
          <w:color w:val="231F20"/>
          <w:spacing w:val="-4"/>
        </w:rPr>
        <w:t> </w:t>
      </w:r>
      <w:r>
        <w:rPr>
          <w:color w:val="231F20"/>
        </w:rPr>
        <w:t>«the</w:t>
      </w:r>
      <w:r>
        <w:rPr>
          <w:color w:val="231F20"/>
          <w:spacing w:val="-4"/>
        </w:rPr>
        <w:t> </w:t>
      </w:r>
      <w:r>
        <w:rPr>
          <w:color w:val="231F20"/>
        </w:rPr>
        <w:t>instrument</w:t>
      </w:r>
      <w:r>
        <w:rPr>
          <w:color w:val="231F20"/>
          <w:spacing w:val="-4"/>
        </w:rPr>
        <w:t> </w:t>
      </w:r>
      <w:r>
        <w:rPr>
          <w:color w:val="231F20"/>
        </w:rPr>
        <w:t>permit- ting enforcement of the claim would be enforced in the Member State in which the requested authority is situated if that enforcement were liable</w:t>
      </w:r>
      <w:r>
        <w:rPr>
          <w:color w:val="231F20"/>
          <w:spacing w:val="40"/>
        </w:rPr>
        <w:t> </w:t>
      </w:r>
      <w:r>
        <w:rPr>
          <w:color w:val="231F20"/>
        </w:rPr>
        <w:t>to lead to a situation in which the excise duties on essentially the same transactions</w:t>
      </w:r>
      <w:r>
        <w:rPr>
          <w:color w:val="231F20"/>
          <w:spacing w:val="-1"/>
        </w:rPr>
        <w:t> </w:t>
      </w:r>
      <w:r>
        <w:rPr>
          <w:color w:val="231F20"/>
        </w:rPr>
        <w:t>regarding</w:t>
      </w:r>
      <w:r>
        <w:rPr>
          <w:color w:val="231F20"/>
          <w:spacing w:val="40"/>
        </w:rPr>
        <w:t> </w:t>
      </w:r>
      <w:r>
        <w:rPr>
          <w:color w:val="231F20"/>
        </w:rPr>
        <w:t>the</w:t>
      </w:r>
      <w:r>
        <w:rPr>
          <w:color w:val="231F20"/>
          <w:spacing w:val="-1"/>
        </w:rPr>
        <w:t> </w:t>
      </w:r>
      <w:r>
        <w:rPr>
          <w:color w:val="231F20"/>
        </w:rPr>
        <w:t>same</w:t>
      </w:r>
      <w:r>
        <w:rPr>
          <w:color w:val="231F20"/>
          <w:spacing w:val="-1"/>
        </w:rPr>
        <w:t> </w:t>
      </w:r>
      <w:r>
        <w:rPr>
          <w:color w:val="231F20"/>
        </w:rPr>
        <w:t>products</w:t>
      </w:r>
      <w:r>
        <w:rPr>
          <w:color w:val="231F20"/>
          <w:spacing w:val="-1"/>
        </w:rPr>
        <w:t> </w:t>
      </w:r>
      <w:r>
        <w:rPr>
          <w:color w:val="231F20"/>
        </w:rPr>
        <w:t>are</w:t>
      </w:r>
      <w:r>
        <w:rPr>
          <w:color w:val="231F20"/>
          <w:spacing w:val="-1"/>
        </w:rPr>
        <w:t> </w:t>
      </w:r>
      <w:r>
        <w:rPr>
          <w:color w:val="231F20"/>
        </w:rPr>
        <w:t>levied</w:t>
      </w:r>
      <w:r>
        <w:rPr>
          <w:color w:val="231F20"/>
          <w:spacing w:val="-1"/>
        </w:rPr>
        <w:t> </w:t>
      </w:r>
      <w:r>
        <w:rPr>
          <w:color w:val="231F20"/>
        </w:rPr>
        <w:t>twice</w:t>
      </w:r>
      <w:r>
        <w:rPr>
          <w:color w:val="231F20"/>
          <w:spacing w:val="-1"/>
        </w:rPr>
        <w:t> </w:t>
      </w:r>
      <w:r>
        <w:rPr>
          <w:color w:val="231F20"/>
        </w:rPr>
        <w:t>in</w:t>
      </w:r>
      <w:r>
        <w:rPr>
          <w:color w:val="231F20"/>
          <w:spacing w:val="-1"/>
        </w:rPr>
        <w:t> </w:t>
      </w:r>
      <w:r>
        <w:rPr>
          <w:color w:val="231F20"/>
        </w:rPr>
        <w:t>infringement of Directive 92/12/EEC»</w:t>
      </w:r>
      <w:r>
        <w:rPr>
          <w:color w:val="231F20"/>
          <w:position w:val="8"/>
          <w:sz w:val="14"/>
        </w:rPr>
        <w:t>46</w:t>
      </w:r>
      <w:r>
        <w:rPr>
          <w:color w:val="231F20"/>
        </w:rPr>
        <w:t>. The Court ultimately recognized the power</w:t>
      </w:r>
      <w:r>
        <w:rPr>
          <w:color w:val="231F20"/>
          <w:spacing w:val="40"/>
        </w:rPr>
        <w:t> </w:t>
      </w:r>
      <w:r>
        <w:rPr>
          <w:color w:val="231F20"/>
        </w:rPr>
        <w:t>of the judge of the Member State of the requested authority to refuse the assistance</w:t>
      </w:r>
      <w:r>
        <w:rPr>
          <w:color w:val="231F20"/>
          <w:spacing w:val="-4"/>
        </w:rPr>
        <w:t> </w:t>
      </w:r>
      <w:r>
        <w:rPr>
          <w:color w:val="231F20"/>
        </w:rPr>
        <w:t>requested</w:t>
      </w:r>
      <w:r>
        <w:rPr>
          <w:color w:val="231F20"/>
          <w:spacing w:val="-4"/>
        </w:rPr>
        <w:t> </w:t>
      </w:r>
      <w:r>
        <w:rPr>
          <w:color w:val="231F20"/>
        </w:rPr>
        <w:t>by</w:t>
      </w:r>
      <w:r>
        <w:rPr>
          <w:color w:val="231F20"/>
          <w:spacing w:val="-4"/>
        </w:rPr>
        <w:t> </w:t>
      </w:r>
      <w:r>
        <w:rPr>
          <w:color w:val="231F20"/>
        </w:rPr>
        <w:t>the</w:t>
      </w:r>
      <w:r>
        <w:rPr>
          <w:color w:val="231F20"/>
          <w:spacing w:val="-4"/>
        </w:rPr>
        <w:t> </w:t>
      </w:r>
      <w:r>
        <w:rPr>
          <w:color w:val="231F20"/>
        </w:rPr>
        <w:t>tax</w:t>
      </w:r>
      <w:r>
        <w:rPr>
          <w:color w:val="231F20"/>
          <w:spacing w:val="-4"/>
        </w:rPr>
        <w:t> </w:t>
      </w:r>
      <w:r>
        <w:rPr>
          <w:color w:val="231F20"/>
        </w:rPr>
        <w:t>administration</w:t>
      </w:r>
      <w:r>
        <w:rPr>
          <w:color w:val="231F20"/>
          <w:spacing w:val="-4"/>
        </w:rPr>
        <w:t> </w:t>
      </w:r>
      <w:r>
        <w:rPr>
          <w:color w:val="231F20"/>
        </w:rPr>
        <w:t>of</w:t>
      </w:r>
      <w:r>
        <w:rPr>
          <w:color w:val="231F20"/>
          <w:spacing w:val="-4"/>
        </w:rPr>
        <w:t> </w:t>
      </w:r>
      <w:r>
        <w:rPr>
          <w:color w:val="231F20"/>
        </w:rPr>
        <w:t>another</w:t>
      </w:r>
      <w:r>
        <w:rPr>
          <w:color w:val="231F20"/>
          <w:spacing w:val="-4"/>
        </w:rPr>
        <w:t> </w:t>
      </w:r>
      <w:r>
        <w:rPr>
          <w:color w:val="231F20"/>
        </w:rPr>
        <w:t>Member</w:t>
      </w:r>
      <w:r>
        <w:rPr>
          <w:color w:val="231F20"/>
          <w:spacing w:val="-4"/>
        </w:rPr>
        <w:t> </w:t>
      </w:r>
      <w:r>
        <w:rPr>
          <w:color w:val="231F20"/>
        </w:rPr>
        <w:t>State</w:t>
      </w:r>
      <w:r>
        <w:rPr>
          <w:color w:val="231F20"/>
          <w:spacing w:val="-4"/>
        </w:rPr>
        <w:t> </w:t>
      </w:r>
      <w:r>
        <w:rPr>
          <w:color w:val="231F20"/>
        </w:rPr>
        <w:t>to recover excise duties claimed for the second time from the same taxpayer.</w:t>
      </w:r>
    </w:p>
    <w:p>
      <w:pPr>
        <w:pStyle w:val="BodyText"/>
      </w:pPr>
    </w:p>
    <w:p>
      <w:pPr>
        <w:pStyle w:val="BodyText"/>
        <w:spacing w:before="39"/>
      </w:pPr>
    </w:p>
    <w:p>
      <w:pPr>
        <w:pStyle w:val="Heading3"/>
        <w:numPr>
          <w:ilvl w:val="0"/>
          <w:numId w:val="1"/>
        </w:numPr>
        <w:tabs>
          <w:tab w:pos="382" w:val="left" w:leader="none"/>
        </w:tabs>
        <w:spacing w:line="240" w:lineRule="auto" w:before="0" w:after="0"/>
        <w:ind w:left="382" w:right="0" w:hanging="282"/>
        <w:jc w:val="left"/>
        <w:rPr>
          <w:b/>
        </w:rPr>
      </w:pPr>
      <w:r>
        <w:rPr>
          <w:b/>
          <w:color w:val="231F20"/>
        </w:rPr>
        <w:t>Concluding </w:t>
      </w:r>
      <w:r>
        <w:rPr>
          <w:b/>
          <w:color w:val="231F20"/>
          <w:spacing w:val="-2"/>
        </w:rPr>
        <w:t>Remarks</w:t>
      </w:r>
    </w:p>
    <w:p>
      <w:pPr>
        <w:pStyle w:val="ListParagraph"/>
        <w:numPr>
          <w:ilvl w:val="1"/>
          <w:numId w:val="1"/>
        </w:numPr>
        <w:tabs>
          <w:tab w:pos="526" w:val="left" w:leader="none"/>
        </w:tabs>
        <w:spacing w:line="244" w:lineRule="auto" w:before="250" w:after="0"/>
        <w:ind w:left="100" w:right="264" w:firstLine="0"/>
        <w:jc w:val="both"/>
        <w:rPr>
          <w:b/>
          <w:sz w:val="24"/>
        </w:rPr>
      </w:pPr>
      <w:r>
        <w:rPr>
          <w:b/>
          <w:color w:val="231F20"/>
          <w:sz w:val="24"/>
        </w:rPr>
        <w:t>The</w:t>
      </w:r>
      <w:r>
        <w:rPr>
          <w:b/>
          <w:color w:val="231F20"/>
          <w:spacing w:val="-8"/>
          <w:sz w:val="24"/>
        </w:rPr>
        <w:t> </w:t>
      </w:r>
      <w:r>
        <w:rPr>
          <w:b/>
          <w:color w:val="231F20"/>
          <w:sz w:val="24"/>
        </w:rPr>
        <w:t>Court</w:t>
      </w:r>
      <w:r>
        <w:rPr>
          <w:b/>
          <w:color w:val="231F20"/>
          <w:spacing w:val="-8"/>
          <w:sz w:val="24"/>
        </w:rPr>
        <w:t> </w:t>
      </w:r>
      <w:r>
        <w:rPr>
          <w:b/>
          <w:color w:val="231F20"/>
          <w:sz w:val="24"/>
        </w:rPr>
        <w:t>of</w:t>
      </w:r>
      <w:r>
        <w:rPr>
          <w:b/>
          <w:color w:val="231F20"/>
          <w:spacing w:val="-8"/>
          <w:sz w:val="24"/>
        </w:rPr>
        <w:t> </w:t>
      </w:r>
      <w:r>
        <w:rPr>
          <w:b/>
          <w:color w:val="231F20"/>
          <w:sz w:val="24"/>
        </w:rPr>
        <w:t>Justice</w:t>
      </w:r>
      <w:r>
        <w:rPr>
          <w:b/>
          <w:color w:val="231F20"/>
          <w:spacing w:val="-8"/>
          <w:sz w:val="24"/>
        </w:rPr>
        <w:t> </w:t>
      </w:r>
      <w:r>
        <w:rPr>
          <w:b/>
          <w:color w:val="231F20"/>
          <w:sz w:val="24"/>
        </w:rPr>
        <w:t>has</w:t>
      </w:r>
      <w:r>
        <w:rPr>
          <w:b/>
          <w:color w:val="231F20"/>
          <w:spacing w:val="-8"/>
          <w:sz w:val="24"/>
        </w:rPr>
        <w:t> </w:t>
      </w:r>
      <w:r>
        <w:rPr>
          <w:b/>
          <w:color w:val="231F20"/>
          <w:sz w:val="24"/>
        </w:rPr>
        <w:t>integrated</w:t>
      </w:r>
      <w:r>
        <w:rPr>
          <w:b/>
          <w:color w:val="231F20"/>
          <w:spacing w:val="-8"/>
          <w:sz w:val="24"/>
        </w:rPr>
        <w:t> </w:t>
      </w:r>
      <w:r>
        <w:rPr>
          <w:b/>
          <w:color w:val="231F20"/>
          <w:sz w:val="24"/>
        </w:rPr>
        <w:t>the</w:t>
      </w:r>
      <w:r>
        <w:rPr>
          <w:b/>
          <w:color w:val="231F20"/>
          <w:spacing w:val="-8"/>
          <w:sz w:val="24"/>
        </w:rPr>
        <w:t> </w:t>
      </w:r>
      <w:r>
        <w:rPr>
          <w:b/>
          <w:color w:val="231F20"/>
          <w:sz w:val="24"/>
        </w:rPr>
        <w:t>Provisions</w:t>
      </w:r>
      <w:r>
        <w:rPr>
          <w:b/>
          <w:color w:val="231F20"/>
          <w:spacing w:val="-8"/>
          <w:sz w:val="24"/>
        </w:rPr>
        <w:t> </w:t>
      </w:r>
      <w:r>
        <w:rPr>
          <w:b/>
          <w:color w:val="231F20"/>
          <w:sz w:val="24"/>
        </w:rPr>
        <w:t>of</w:t>
      </w:r>
      <w:r>
        <w:rPr>
          <w:b/>
          <w:color w:val="231F20"/>
          <w:spacing w:val="-8"/>
          <w:sz w:val="24"/>
        </w:rPr>
        <w:t> </w:t>
      </w:r>
      <w:r>
        <w:rPr>
          <w:b/>
          <w:color w:val="231F20"/>
          <w:sz w:val="24"/>
        </w:rPr>
        <w:t>EU</w:t>
      </w:r>
      <w:r>
        <w:rPr>
          <w:b/>
          <w:color w:val="231F20"/>
          <w:spacing w:val="-8"/>
          <w:sz w:val="24"/>
        </w:rPr>
        <w:t> </w:t>
      </w:r>
      <w:r>
        <w:rPr>
          <w:b/>
          <w:color w:val="231F20"/>
          <w:sz w:val="24"/>
        </w:rPr>
        <w:t>Directives and</w:t>
      </w:r>
      <w:r>
        <w:rPr>
          <w:b/>
          <w:color w:val="231F20"/>
          <w:spacing w:val="-5"/>
          <w:sz w:val="24"/>
        </w:rPr>
        <w:t> </w:t>
      </w:r>
      <w:r>
        <w:rPr>
          <w:b/>
          <w:color w:val="231F20"/>
          <w:sz w:val="24"/>
        </w:rPr>
        <w:t>Regulations</w:t>
      </w:r>
      <w:r>
        <w:rPr>
          <w:b/>
          <w:color w:val="231F20"/>
          <w:spacing w:val="-5"/>
          <w:sz w:val="24"/>
        </w:rPr>
        <w:t> </w:t>
      </w:r>
      <w:r>
        <w:rPr>
          <w:b/>
          <w:color w:val="231F20"/>
          <w:sz w:val="24"/>
        </w:rPr>
        <w:t>with</w:t>
      </w:r>
      <w:r>
        <w:rPr>
          <w:b/>
          <w:color w:val="231F20"/>
          <w:spacing w:val="-5"/>
          <w:sz w:val="24"/>
        </w:rPr>
        <w:t> </w:t>
      </w:r>
      <w:r>
        <w:rPr>
          <w:b/>
          <w:color w:val="231F20"/>
          <w:sz w:val="24"/>
        </w:rPr>
        <w:t>the</w:t>
      </w:r>
      <w:r>
        <w:rPr>
          <w:b/>
          <w:color w:val="231F20"/>
          <w:spacing w:val="-5"/>
          <w:sz w:val="24"/>
        </w:rPr>
        <w:t> </w:t>
      </w:r>
      <w:r>
        <w:rPr>
          <w:b/>
          <w:color w:val="231F20"/>
          <w:sz w:val="24"/>
        </w:rPr>
        <w:t>general</w:t>
      </w:r>
      <w:r>
        <w:rPr>
          <w:b/>
          <w:color w:val="231F20"/>
          <w:spacing w:val="-5"/>
          <w:sz w:val="24"/>
        </w:rPr>
        <w:t> </w:t>
      </w:r>
      <w:r>
        <w:rPr>
          <w:b/>
          <w:color w:val="231F20"/>
          <w:sz w:val="24"/>
        </w:rPr>
        <w:t>Principles</w:t>
      </w:r>
      <w:r>
        <w:rPr>
          <w:b/>
          <w:color w:val="231F20"/>
          <w:spacing w:val="-5"/>
          <w:sz w:val="24"/>
        </w:rPr>
        <w:t> </w:t>
      </w:r>
      <w:r>
        <w:rPr>
          <w:b/>
          <w:color w:val="231F20"/>
          <w:sz w:val="24"/>
        </w:rPr>
        <w:t>laid</w:t>
      </w:r>
      <w:r>
        <w:rPr>
          <w:b/>
          <w:color w:val="231F20"/>
          <w:spacing w:val="-5"/>
          <w:sz w:val="24"/>
        </w:rPr>
        <w:t> </w:t>
      </w:r>
      <w:r>
        <w:rPr>
          <w:b/>
          <w:color w:val="231F20"/>
          <w:sz w:val="24"/>
        </w:rPr>
        <w:t>down</w:t>
      </w:r>
      <w:r>
        <w:rPr>
          <w:b/>
          <w:color w:val="231F20"/>
          <w:spacing w:val="-5"/>
          <w:sz w:val="24"/>
        </w:rPr>
        <w:t> </w:t>
      </w:r>
      <w:r>
        <w:rPr>
          <w:b/>
          <w:color w:val="231F20"/>
          <w:sz w:val="24"/>
        </w:rPr>
        <w:t>in</w:t>
      </w:r>
      <w:r>
        <w:rPr>
          <w:b/>
          <w:color w:val="231F20"/>
          <w:spacing w:val="-5"/>
          <w:sz w:val="24"/>
        </w:rPr>
        <w:t> </w:t>
      </w:r>
      <w:r>
        <w:rPr>
          <w:b/>
          <w:color w:val="231F20"/>
          <w:sz w:val="24"/>
        </w:rPr>
        <w:t>the</w:t>
      </w:r>
      <w:r>
        <w:rPr>
          <w:b/>
          <w:color w:val="231F20"/>
          <w:spacing w:val="-5"/>
          <w:sz w:val="24"/>
        </w:rPr>
        <w:t> </w:t>
      </w:r>
      <w:r>
        <w:rPr>
          <w:b/>
          <w:color w:val="231F20"/>
          <w:sz w:val="24"/>
        </w:rPr>
        <w:t>Charter</w:t>
      </w:r>
      <w:r>
        <w:rPr>
          <w:b/>
          <w:color w:val="231F20"/>
          <w:spacing w:val="-5"/>
          <w:sz w:val="24"/>
        </w:rPr>
        <w:t> </w:t>
      </w:r>
      <w:r>
        <w:rPr>
          <w:b/>
          <w:color w:val="231F20"/>
          <w:sz w:val="24"/>
        </w:rPr>
        <w:t>of fundamental Rights</w:t>
      </w:r>
    </w:p>
    <w:p>
      <w:pPr>
        <w:pStyle w:val="BodyText"/>
        <w:spacing w:line="225" w:lineRule="auto" w:before="263"/>
        <w:ind w:left="100" w:right="175"/>
        <w:jc w:val="both"/>
      </w:pPr>
      <w:r>
        <w:rPr>
          <w:color w:val="231F20"/>
        </w:rPr>
        <w:t>The overall impression from the analysis of the judgments on the inter- pretation</w:t>
      </w:r>
      <w:r>
        <w:rPr>
          <w:color w:val="231F20"/>
          <w:spacing w:val="20"/>
        </w:rPr>
        <w:t> </w:t>
      </w:r>
      <w:r>
        <w:rPr>
          <w:color w:val="231F20"/>
        </w:rPr>
        <w:t>of</w:t>
      </w:r>
      <w:r>
        <w:rPr>
          <w:color w:val="231F20"/>
          <w:spacing w:val="20"/>
        </w:rPr>
        <w:t> </w:t>
      </w:r>
      <w:r>
        <w:rPr>
          <w:color w:val="231F20"/>
        </w:rPr>
        <w:t>the</w:t>
      </w:r>
      <w:r>
        <w:rPr>
          <w:color w:val="231F20"/>
          <w:spacing w:val="21"/>
        </w:rPr>
        <w:t> </w:t>
      </w:r>
      <w:r>
        <w:rPr>
          <w:color w:val="231F20"/>
        </w:rPr>
        <w:t>three</w:t>
      </w:r>
      <w:r>
        <w:rPr>
          <w:color w:val="231F20"/>
          <w:spacing w:val="20"/>
        </w:rPr>
        <w:t> </w:t>
      </w:r>
      <w:r>
        <w:rPr>
          <w:color w:val="231F20"/>
        </w:rPr>
        <w:t>main</w:t>
      </w:r>
      <w:r>
        <w:rPr>
          <w:color w:val="231F20"/>
          <w:spacing w:val="21"/>
        </w:rPr>
        <w:t> </w:t>
      </w:r>
      <w:r>
        <w:rPr>
          <w:color w:val="231F20"/>
        </w:rPr>
        <w:t>Union</w:t>
      </w:r>
      <w:r>
        <w:rPr>
          <w:color w:val="231F20"/>
          <w:spacing w:val="20"/>
        </w:rPr>
        <w:t> </w:t>
      </w:r>
      <w:r>
        <w:rPr>
          <w:color w:val="231F20"/>
        </w:rPr>
        <w:t>legislative</w:t>
      </w:r>
      <w:r>
        <w:rPr>
          <w:color w:val="231F20"/>
          <w:spacing w:val="21"/>
        </w:rPr>
        <w:t> </w:t>
      </w:r>
      <w:r>
        <w:rPr>
          <w:color w:val="231F20"/>
        </w:rPr>
        <w:t>acts</w:t>
      </w:r>
      <w:r>
        <w:rPr>
          <w:color w:val="231F20"/>
          <w:spacing w:val="20"/>
        </w:rPr>
        <w:t> </w:t>
      </w:r>
      <w:r>
        <w:rPr>
          <w:color w:val="231F20"/>
        </w:rPr>
        <w:t>governing</w:t>
      </w:r>
      <w:r>
        <w:rPr>
          <w:color w:val="231F20"/>
          <w:spacing w:val="21"/>
        </w:rPr>
        <w:t> </w:t>
      </w:r>
      <w:r>
        <w:rPr>
          <w:color w:val="231F20"/>
          <w:spacing w:val="-2"/>
        </w:rPr>
        <w:t>cooperation</w:t>
      </w:r>
    </w:p>
    <w:p>
      <w:pPr>
        <w:pStyle w:val="BodyText"/>
        <w:spacing w:before="4"/>
        <w:rPr>
          <w:sz w:val="18"/>
        </w:rPr>
      </w:pPr>
      <w:r>
        <w:rPr/>
        <mc:AlternateContent>
          <mc:Choice Requires="wps">
            <w:drawing>
              <wp:anchor distT="0" distB="0" distL="0" distR="0" allowOverlap="1" layoutInCell="1" locked="0" behindDoc="1" simplePos="0" relativeHeight="487603200">
                <wp:simplePos x="0" y="0"/>
                <wp:positionH relativeFrom="page">
                  <wp:posOffset>864000</wp:posOffset>
                </wp:positionH>
                <wp:positionV relativeFrom="paragraph">
                  <wp:posOffset>163621</wp:posOffset>
                </wp:positionV>
                <wp:extent cx="792480" cy="1270"/>
                <wp:effectExtent l="0" t="0" r="0" b="0"/>
                <wp:wrapTopAndBottom/>
                <wp:docPr id="59" name="Graphic 59"/>
                <wp:cNvGraphicFramePr>
                  <a:graphicFrameLocks/>
                </wp:cNvGraphicFramePr>
                <a:graphic>
                  <a:graphicData uri="http://schemas.microsoft.com/office/word/2010/wordprocessingShape">
                    <wps:wsp>
                      <wps:cNvPr id="59" name="Graphic 59"/>
                      <wps:cNvSpPr/>
                      <wps:spPr>
                        <a:xfrm>
                          <a:off x="0" y="0"/>
                          <a:ext cx="792480" cy="1270"/>
                        </a:xfrm>
                        <a:custGeom>
                          <a:avLst/>
                          <a:gdLst/>
                          <a:ahLst/>
                          <a:cxnLst/>
                          <a:rect l="l" t="t" r="r" b="b"/>
                          <a:pathLst>
                            <a:path w="792480" h="0">
                              <a:moveTo>
                                <a:pt x="0" y="0"/>
                              </a:moveTo>
                              <a:lnTo>
                                <a:pt x="791997"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shape style="position:absolute;margin-left:68.031502pt;margin-top:12.88362pt;width:62.4pt;height:.1pt;mso-position-horizontal-relative:page;mso-position-vertical-relative:paragraph;z-index:-15713280;mso-wrap-distance-left:0;mso-wrap-distance-right:0" id="docshape49" coordorigin="1361,258" coordsize="1248,0" path="m1361,258l2608,258e" filled="false" stroked="true" strokeweight=".5pt" strokecolor="#231f20">
                <v:path arrowok="t"/>
                <v:stroke dashstyle="solid"/>
                <w10:wrap type="topAndBottom"/>
              </v:shape>
            </w:pict>
          </mc:Fallback>
        </mc:AlternateContent>
      </w:r>
    </w:p>
    <w:p>
      <w:pPr>
        <w:spacing w:line="235" w:lineRule="exact" w:before="190"/>
        <w:ind w:left="100" w:right="0" w:firstLine="0"/>
        <w:jc w:val="both"/>
        <w:rPr>
          <w:i/>
          <w:sz w:val="19"/>
        </w:rPr>
      </w:pPr>
      <w:r>
        <w:rPr>
          <w:color w:val="231F20"/>
          <w:position w:val="6"/>
          <w:sz w:val="11"/>
        </w:rPr>
        <w:t>45</w:t>
      </w:r>
      <w:r>
        <w:rPr>
          <w:color w:val="231F20"/>
          <w:spacing w:val="50"/>
          <w:position w:val="6"/>
          <w:sz w:val="11"/>
        </w:rPr>
        <w:t>  </w:t>
      </w:r>
      <w:r>
        <w:rPr>
          <w:color w:val="231F20"/>
          <w:sz w:val="19"/>
        </w:rPr>
        <w:t>ECJ,</w:t>
      </w:r>
      <w:r>
        <w:rPr>
          <w:color w:val="231F20"/>
          <w:spacing w:val="-1"/>
          <w:sz w:val="19"/>
        </w:rPr>
        <w:t> </w:t>
      </w:r>
      <w:r>
        <w:rPr>
          <w:color w:val="231F20"/>
          <w:sz w:val="19"/>
        </w:rPr>
        <w:t>24</w:t>
      </w:r>
      <w:r>
        <w:rPr>
          <w:color w:val="231F20"/>
          <w:spacing w:val="-2"/>
          <w:sz w:val="19"/>
        </w:rPr>
        <w:t> </w:t>
      </w:r>
      <w:r>
        <w:rPr>
          <w:color w:val="231F20"/>
          <w:sz w:val="19"/>
        </w:rPr>
        <w:t>February</w:t>
      </w:r>
      <w:r>
        <w:rPr>
          <w:color w:val="231F20"/>
          <w:spacing w:val="-2"/>
          <w:sz w:val="19"/>
        </w:rPr>
        <w:t> </w:t>
      </w:r>
      <w:r>
        <w:rPr>
          <w:color w:val="231F20"/>
          <w:sz w:val="19"/>
        </w:rPr>
        <w:t>2021,</w:t>
      </w:r>
      <w:r>
        <w:rPr>
          <w:color w:val="231F20"/>
          <w:spacing w:val="-2"/>
          <w:sz w:val="19"/>
        </w:rPr>
        <w:t> </w:t>
      </w:r>
      <w:r>
        <w:rPr>
          <w:color w:val="231F20"/>
          <w:sz w:val="19"/>
        </w:rPr>
        <w:t>case</w:t>
      </w:r>
      <w:r>
        <w:rPr>
          <w:color w:val="231F20"/>
          <w:spacing w:val="-2"/>
          <w:sz w:val="19"/>
        </w:rPr>
        <w:t> </w:t>
      </w:r>
      <w:r>
        <w:rPr>
          <w:color w:val="231F20"/>
          <w:sz w:val="19"/>
        </w:rPr>
        <w:t>C-95/19,</w:t>
      </w:r>
      <w:r>
        <w:rPr>
          <w:color w:val="231F20"/>
          <w:spacing w:val="-2"/>
          <w:sz w:val="19"/>
        </w:rPr>
        <w:t> </w:t>
      </w:r>
      <w:r>
        <w:rPr>
          <w:i/>
          <w:color w:val="231F20"/>
          <w:sz w:val="19"/>
        </w:rPr>
        <w:t>Customs</w:t>
      </w:r>
      <w:r>
        <w:rPr>
          <w:i/>
          <w:color w:val="231F20"/>
          <w:spacing w:val="-1"/>
          <w:sz w:val="19"/>
        </w:rPr>
        <w:t> </w:t>
      </w:r>
      <w:r>
        <w:rPr>
          <w:i/>
          <w:color w:val="231F20"/>
          <w:sz w:val="19"/>
        </w:rPr>
        <w:t>Agency</w:t>
      </w:r>
      <w:r>
        <w:rPr>
          <w:i/>
          <w:color w:val="231F20"/>
          <w:spacing w:val="-2"/>
          <w:sz w:val="19"/>
        </w:rPr>
        <w:t> </w:t>
      </w:r>
      <w:r>
        <w:rPr>
          <w:i/>
          <w:color w:val="231F20"/>
          <w:sz w:val="19"/>
        </w:rPr>
        <w:t>v.</w:t>
      </w:r>
      <w:r>
        <w:rPr>
          <w:i/>
          <w:color w:val="231F20"/>
          <w:spacing w:val="-2"/>
          <w:sz w:val="19"/>
        </w:rPr>
        <w:t> </w:t>
      </w:r>
      <w:r>
        <w:rPr>
          <w:i/>
          <w:color w:val="231F20"/>
          <w:sz w:val="19"/>
        </w:rPr>
        <w:t>Silcompa</w:t>
      </w:r>
      <w:r>
        <w:rPr>
          <w:i/>
          <w:color w:val="231F20"/>
          <w:spacing w:val="-2"/>
          <w:sz w:val="19"/>
        </w:rPr>
        <w:t> </w:t>
      </w:r>
      <w:r>
        <w:rPr>
          <w:i/>
          <w:color w:val="231F20"/>
          <w:spacing w:val="-4"/>
          <w:sz w:val="19"/>
        </w:rPr>
        <w:t>SpA.</w:t>
      </w:r>
    </w:p>
    <w:p>
      <w:pPr>
        <w:spacing w:line="225" w:lineRule="auto" w:before="4"/>
        <w:ind w:left="100" w:right="175" w:hanging="1"/>
        <w:jc w:val="both"/>
        <w:rPr>
          <w:sz w:val="19"/>
        </w:rPr>
      </w:pPr>
      <w:r>
        <w:rPr>
          <w:color w:val="231F20"/>
          <w:position w:val="6"/>
          <w:sz w:val="11"/>
        </w:rPr>
        <w:t>46</w:t>
      </w:r>
      <w:r>
        <w:rPr>
          <w:color w:val="231F20"/>
          <w:spacing w:val="80"/>
          <w:position w:val="6"/>
          <w:sz w:val="11"/>
        </w:rPr>
        <w:t> </w:t>
      </w:r>
      <w:r>
        <w:rPr>
          <w:color w:val="231F20"/>
          <w:sz w:val="19"/>
        </w:rPr>
        <w:t>Case </w:t>
      </w:r>
      <w:r>
        <w:rPr>
          <w:i/>
          <w:color w:val="231F20"/>
          <w:sz w:val="19"/>
        </w:rPr>
        <w:t>Silcompa</w:t>
      </w:r>
      <w:r>
        <w:rPr>
          <w:color w:val="231F20"/>
          <w:sz w:val="19"/>
        </w:rPr>
        <w:t>, C-95/19, point 78. Directive 92/12/EEC was the general directive on </w:t>
      </w:r>
      <w:r>
        <w:rPr>
          <w:color w:val="231F20"/>
          <w:sz w:val="19"/>
        </w:rPr>
        <w:t>the movement and monitoring of products subject to excise duty in force at the time of the facts of the case.</w:t>
      </w:r>
    </w:p>
    <w:p>
      <w:pPr>
        <w:spacing w:after="0" w:line="225" w:lineRule="auto"/>
        <w:jc w:val="both"/>
        <w:rPr>
          <w:sz w:val="19"/>
        </w:rPr>
        <w:sectPr>
          <w:pgSz w:w="9640" w:h="13610"/>
          <w:pgMar w:header="0" w:footer="625" w:top="1260" w:bottom="820" w:left="1260" w:right="1240"/>
        </w:sectPr>
      </w:pPr>
    </w:p>
    <w:p>
      <w:pPr>
        <w:pStyle w:val="BodyText"/>
        <w:spacing w:line="225" w:lineRule="auto" w:before="117"/>
        <w:ind w:left="157" w:right="117"/>
        <w:jc w:val="both"/>
      </w:pPr>
      <w:r>
        <w:rPr/>
        <mc:AlternateContent>
          <mc:Choice Requires="wps">
            <w:drawing>
              <wp:anchor distT="0" distB="0" distL="0" distR="0" allowOverlap="1" layoutInCell="1" locked="0" behindDoc="0" simplePos="0" relativeHeight="15745024">
                <wp:simplePos x="0" y="0"/>
                <wp:positionH relativeFrom="page">
                  <wp:posOffset>5608609</wp:posOffset>
                </wp:positionH>
                <wp:positionV relativeFrom="page">
                  <wp:posOffset>2376001</wp:posOffset>
                </wp:positionV>
                <wp:extent cx="511809" cy="2412365"/>
                <wp:effectExtent l="0" t="0" r="0" b="0"/>
                <wp:wrapNone/>
                <wp:docPr id="60" name="Group 60"/>
                <wp:cNvGraphicFramePr>
                  <a:graphicFrameLocks/>
                </wp:cNvGraphicFramePr>
                <a:graphic>
                  <a:graphicData uri="http://schemas.microsoft.com/office/word/2010/wordprocessingGroup">
                    <wpg:wgp>
                      <wpg:cNvPr id="60" name="Group 60"/>
                      <wpg:cNvGrpSpPr/>
                      <wpg:grpSpPr>
                        <a:xfrm>
                          <a:off x="0" y="0"/>
                          <a:ext cx="511809" cy="2412365"/>
                          <a:chExt cx="511809" cy="2412365"/>
                        </a:xfrm>
                      </wpg:grpSpPr>
                      <wps:wsp>
                        <wps:cNvPr id="61" name="Graphic 61"/>
                        <wps:cNvSpPr/>
                        <wps:spPr>
                          <a:xfrm>
                            <a:off x="7393" y="3"/>
                            <a:ext cx="504190" cy="360045"/>
                          </a:xfrm>
                          <a:custGeom>
                            <a:avLst/>
                            <a:gdLst/>
                            <a:ahLst/>
                            <a:cxnLst/>
                            <a:rect l="l" t="t" r="r" b="b"/>
                            <a:pathLst>
                              <a:path w="504190" h="360045">
                                <a:moveTo>
                                  <a:pt x="503999" y="0"/>
                                </a:moveTo>
                                <a:lnTo>
                                  <a:pt x="0" y="0"/>
                                </a:lnTo>
                                <a:lnTo>
                                  <a:pt x="0" y="359994"/>
                                </a:lnTo>
                                <a:lnTo>
                                  <a:pt x="503999" y="359994"/>
                                </a:lnTo>
                                <a:lnTo>
                                  <a:pt x="503999" y="0"/>
                                </a:lnTo>
                                <a:close/>
                              </a:path>
                            </a:pathLst>
                          </a:custGeom>
                          <a:solidFill>
                            <a:srgbClr val="939598"/>
                          </a:solidFill>
                        </wps:spPr>
                        <wps:bodyPr wrap="square" lIns="0" tIns="0" rIns="0" bIns="0" rtlCol="0">
                          <a:prstTxWarp prst="textNoShape">
                            <a:avLst/>
                          </a:prstTxWarp>
                          <a:noAutofit/>
                        </wps:bodyPr>
                      </wps:wsp>
                      <wps:wsp>
                        <wps:cNvPr id="62" name="Graphic 62"/>
                        <wps:cNvSpPr/>
                        <wps:spPr>
                          <a:xfrm>
                            <a:off x="6350" y="0"/>
                            <a:ext cx="1270" cy="2412365"/>
                          </a:xfrm>
                          <a:custGeom>
                            <a:avLst/>
                            <a:gdLst/>
                            <a:ahLst/>
                            <a:cxnLst/>
                            <a:rect l="l" t="t" r="r" b="b"/>
                            <a:pathLst>
                              <a:path w="0" h="2412365">
                                <a:moveTo>
                                  <a:pt x="0" y="0"/>
                                </a:moveTo>
                                <a:lnTo>
                                  <a:pt x="0" y="2411996"/>
                                </a:lnTo>
                              </a:path>
                            </a:pathLst>
                          </a:custGeom>
                          <a:ln w="12700">
                            <a:solidFill>
                              <a:srgbClr val="939598"/>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441.622803pt;margin-top:187.0867pt;width:40.3pt;height:189.95pt;mso-position-horizontal-relative:page;mso-position-vertical-relative:page;z-index:15745024" id="docshapegroup50" coordorigin="8832,3742" coordsize="806,3799">
                <v:rect style="position:absolute;left:8844;top:3741;width:794;height:567" id="docshape51" filled="true" fillcolor="#939598" stroked="false">
                  <v:fill type="solid"/>
                </v:rect>
                <v:line style="position:absolute" from="8842,3742" to="8842,7540" stroked="true" strokeweight="1pt" strokecolor="#939598">
                  <v:stroke dashstyle="solid"/>
                </v:line>
                <w10:wrap type="none"/>
              </v:group>
            </w:pict>
          </mc:Fallback>
        </mc:AlternateContent>
      </w:r>
      <w:r>
        <w:rPr/>
        <mc:AlternateContent>
          <mc:Choice Requires="wps">
            <w:drawing>
              <wp:anchor distT="0" distB="0" distL="0" distR="0" allowOverlap="1" layoutInCell="1" locked="0" behindDoc="0" simplePos="0" relativeHeight="15745536">
                <wp:simplePos x="0" y="0"/>
                <wp:positionH relativeFrom="page">
                  <wp:posOffset>5635147</wp:posOffset>
                </wp:positionH>
                <wp:positionV relativeFrom="page">
                  <wp:posOffset>2795300</wp:posOffset>
                </wp:positionV>
                <wp:extent cx="299720" cy="1995805"/>
                <wp:effectExtent l="0" t="0" r="0" b="0"/>
                <wp:wrapNone/>
                <wp:docPr id="63" name="Textbox 63"/>
                <wp:cNvGraphicFramePr>
                  <a:graphicFrameLocks/>
                </wp:cNvGraphicFramePr>
                <a:graphic>
                  <a:graphicData uri="http://schemas.microsoft.com/office/word/2010/wordprocessingShape">
                    <wps:wsp>
                      <wps:cNvPr id="63" name="Textbox 63"/>
                      <wps:cNvSpPr txBox="1"/>
                      <wps:spPr>
                        <a:xfrm>
                          <a:off x="0" y="0"/>
                          <a:ext cx="299720" cy="1995805"/>
                        </a:xfrm>
                        <a:prstGeom prst="rect">
                          <a:avLst/>
                        </a:prstGeom>
                      </wps:spPr>
                      <wps:txbx>
                        <w:txbxContent>
                          <w:p>
                            <w:pPr>
                              <w:spacing w:before="20"/>
                              <w:ind w:left="20" w:right="0" w:firstLine="0"/>
                              <w:jc w:val="left"/>
                              <w:rPr>
                                <w:rFonts w:ascii="Minion Pro"/>
                                <w:sz w:val="32"/>
                              </w:rPr>
                            </w:pPr>
                            <w:r>
                              <w:rPr>
                                <w:rFonts w:ascii="Minion Pro"/>
                                <w:color w:val="231F20"/>
                                <w:sz w:val="32"/>
                              </w:rPr>
                              <w:t>Commented</w:t>
                            </w:r>
                            <w:r>
                              <w:rPr>
                                <w:rFonts w:ascii="Minion Pro"/>
                                <w:color w:val="231F20"/>
                                <w:spacing w:val="-10"/>
                                <w:sz w:val="32"/>
                              </w:rPr>
                              <w:t> </w:t>
                            </w:r>
                            <w:r>
                              <w:rPr>
                                <w:rFonts w:ascii="Minion Pro"/>
                                <w:color w:val="231F20"/>
                                <w:spacing w:val="-2"/>
                                <w:sz w:val="32"/>
                              </w:rPr>
                              <w:t>documents</w:t>
                            </w:r>
                          </w:p>
                        </w:txbxContent>
                      </wps:txbx>
                      <wps:bodyPr wrap="square" lIns="0" tIns="0" rIns="0" bIns="0" rtlCol="0" vert="vert">
                        <a:noAutofit/>
                      </wps:bodyPr>
                    </wps:wsp>
                  </a:graphicData>
                </a:graphic>
              </wp:anchor>
            </w:drawing>
          </mc:Choice>
          <mc:Fallback>
            <w:pict>
              <v:shape style="position:absolute;margin-left:443.712402pt;margin-top:220.102402pt;width:23.6pt;height:157.15pt;mso-position-horizontal-relative:page;mso-position-vertical-relative:page;z-index:15745536" type="#_x0000_t202" id="docshape52" filled="false" stroked="false">
                <v:textbox inset="0,0,0,0" style="layout-flow:vertical">
                  <w:txbxContent>
                    <w:p>
                      <w:pPr>
                        <w:spacing w:before="20"/>
                        <w:ind w:left="20" w:right="0" w:firstLine="0"/>
                        <w:jc w:val="left"/>
                        <w:rPr>
                          <w:rFonts w:ascii="Minion Pro"/>
                          <w:sz w:val="32"/>
                        </w:rPr>
                      </w:pPr>
                      <w:r>
                        <w:rPr>
                          <w:rFonts w:ascii="Minion Pro"/>
                          <w:color w:val="231F20"/>
                          <w:sz w:val="32"/>
                        </w:rPr>
                        <w:t>Commented</w:t>
                      </w:r>
                      <w:r>
                        <w:rPr>
                          <w:rFonts w:ascii="Minion Pro"/>
                          <w:color w:val="231F20"/>
                          <w:spacing w:val="-10"/>
                          <w:sz w:val="32"/>
                        </w:rPr>
                        <w:t> </w:t>
                      </w:r>
                      <w:r>
                        <w:rPr>
                          <w:rFonts w:ascii="Minion Pro"/>
                          <w:color w:val="231F20"/>
                          <w:spacing w:val="-2"/>
                          <w:sz w:val="32"/>
                        </w:rPr>
                        <w:t>documents</w:t>
                      </w:r>
                    </w:p>
                  </w:txbxContent>
                </v:textbox>
                <w10:wrap type="none"/>
              </v:shape>
            </w:pict>
          </mc:Fallback>
        </mc:AlternateContent>
      </w:r>
      <w:r>
        <w:rPr>
          <w:color w:val="231F20"/>
        </w:rPr>
        <w:t>between the tax administrations of the Member States is that the Court</w:t>
      </w:r>
      <w:r>
        <w:rPr>
          <w:color w:val="231F20"/>
          <w:spacing w:val="80"/>
        </w:rPr>
        <w:t> </w:t>
      </w:r>
      <w:r>
        <w:rPr>
          <w:color w:val="231F20"/>
        </w:rPr>
        <w:t>of Justice has once again demonstrated extraordinary «judicial </w:t>
      </w:r>
      <w:r>
        <w:rPr>
          <w:color w:val="231F20"/>
        </w:rPr>
        <w:t>creativity». Indeed, it can be said with plenty of arguments at hand that alongside the provisions</w:t>
      </w:r>
      <w:r>
        <w:rPr>
          <w:color w:val="231F20"/>
          <w:spacing w:val="-6"/>
        </w:rPr>
        <w:t> </w:t>
      </w:r>
      <w:r>
        <w:rPr>
          <w:color w:val="231F20"/>
        </w:rPr>
        <w:t>of</w:t>
      </w:r>
      <w:r>
        <w:rPr>
          <w:color w:val="231F20"/>
          <w:spacing w:val="-6"/>
        </w:rPr>
        <w:t> </w:t>
      </w:r>
      <w:r>
        <w:rPr>
          <w:color w:val="231F20"/>
        </w:rPr>
        <w:t>the</w:t>
      </w:r>
      <w:r>
        <w:rPr>
          <w:color w:val="231F20"/>
          <w:spacing w:val="-6"/>
        </w:rPr>
        <w:t> </w:t>
      </w:r>
      <w:r>
        <w:rPr>
          <w:color w:val="231F20"/>
        </w:rPr>
        <w:t>two</w:t>
      </w:r>
      <w:r>
        <w:rPr>
          <w:color w:val="231F20"/>
          <w:spacing w:val="-6"/>
        </w:rPr>
        <w:t> </w:t>
      </w:r>
      <w:r>
        <w:rPr>
          <w:color w:val="231F20"/>
        </w:rPr>
        <w:t>directives</w:t>
      </w:r>
      <w:r>
        <w:rPr>
          <w:color w:val="231F20"/>
          <w:spacing w:val="-6"/>
        </w:rPr>
        <w:t> </w:t>
      </w:r>
      <w:r>
        <w:rPr>
          <w:color w:val="231F20"/>
        </w:rPr>
        <w:t>and</w:t>
      </w:r>
      <w:r>
        <w:rPr>
          <w:color w:val="231F20"/>
          <w:spacing w:val="-6"/>
        </w:rPr>
        <w:t> </w:t>
      </w:r>
      <w:r>
        <w:rPr>
          <w:color w:val="231F20"/>
        </w:rPr>
        <w:t>the</w:t>
      </w:r>
      <w:r>
        <w:rPr>
          <w:color w:val="231F20"/>
          <w:spacing w:val="-6"/>
        </w:rPr>
        <w:t> </w:t>
      </w:r>
      <w:r>
        <w:rPr>
          <w:color w:val="231F20"/>
        </w:rPr>
        <w:t>regulation</w:t>
      </w:r>
      <w:r>
        <w:rPr>
          <w:color w:val="231F20"/>
          <w:spacing w:val="-6"/>
        </w:rPr>
        <w:t> </w:t>
      </w:r>
      <w:r>
        <w:rPr>
          <w:color w:val="231F20"/>
        </w:rPr>
        <w:t>which</w:t>
      </w:r>
      <w:r>
        <w:rPr>
          <w:color w:val="231F20"/>
          <w:spacing w:val="-6"/>
        </w:rPr>
        <w:t> </w:t>
      </w:r>
      <w:r>
        <w:rPr>
          <w:color w:val="231F20"/>
        </w:rPr>
        <w:t>are</w:t>
      </w:r>
      <w:r>
        <w:rPr>
          <w:color w:val="231F20"/>
          <w:spacing w:val="-6"/>
        </w:rPr>
        <w:t> </w:t>
      </w:r>
      <w:r>
        <w:rPr>
          <w:color w:val="231F20"/>
        </w:rPr>
        <w:t>the</w:t>
      </w:r>
      <w:r>
        <w:rPr>
          <w:color w:val="231F20"/>
          <w:spacing w:val="-6"/>
        </w:rPr>
        <w:t> </w:t>
      </w:r>
      <w:r>
        <w:rPr>
          <w:color w:val="231F20"/>
        </w:rPr>
        <w:t>subject</w:t>
      </w:r>
      <w:r>
        <w:rPr>
          <w:color w:val="231F20"/>
          <w:spacing w:val="-6"/>
        </w:rPr>
        <w:t> </w:t>
      </w:r>
      <w:r>
        <w:rPr>
          <w:color w:val="231F20"/>
        </w:rPr>
        <w:t>of the rulings examined above, there now exists a parallel series of important case-law rules created by the Court itself in the long and detailed state- ments of reasons of its own judgments,</w:t>
      </w:r>
      <w:r>
        <w:rPr>
          <w:color w:val="231F20"/>
          <w:spacing w:val="40"/>
        </w:rPr>
        <w:t> </w:t>
      </w:r>
      <w:r>
        <w:rPr>
          <w:color w:val="231F20"/>
        </w:rPr>
        <w:t>case-law rules which have largely completed and sometimes forcefully modified some important provisions adopted by the Union legislator. This was made possible since European Union</w:t>
      </w:r>
      <w:r>
        <w:rPr>
          <w:color w:val="231F20"/>
          <w:spacing w:val="-5"/>
        </w:rPr>
        <w:t> </w:t>
      </w:r>
      <w:r>
        <w:rPr>
          <w:color w:val="231F20"/>
        </w:rPr>
        <w:t>judges</w:t>
      </w:r>
      <w:r>
        <w:rPr>
          <w:color w:val="231F20"/>
          <w:spacing w:val="-5"/>
        </w:rPr>
        <w:t> </w:t>
      </w:r>
      <w:r>
        <w:rPr>
          <w:color w:val="231F20"/>
        </w:rPr>
        <w:t>superimposed</w:t>
      </w:r>
      <w:r>
        <w:rPr>
          <w:color w:val="231F20"/>
          <w:spacing w:val="-5"/>
        </w:rPr>
        <w:t> </w:t>
      </w:r>
      <w:r>
        <w:rPr>
          <w:color w:val="231F20"/>
        </w:rPr>
        <w:t>the</w:t>
      </w:r>
      <w:r>
        <w:rPr>
          <w:color w:val="231F20"/>
          <w:spacing w:val="-5"/>
        </w:rPr>
        <w:t> </w:t>
      </w:r>
      <w:r>
        <w:rPr>
          <w:color w:val="231F20"/>
        </w:rPr>
        <w:t>constitutional</w:t>
      </w:r>
      <w:r>
        <w:rPr>
          <w:color w:val="231F20"/>
          <w:spacing w:val="-5"/>
        </w:rPr>
        <w:t> </w:t>
      </w:r>
      <w:r>
        <w:rPr>
          <w:color w:val="231F20"/>
        </w:rPr>
        <w:t>principles</w:t>
      </w:r>
      <w:r>
        <w:rPr>
          <w:color w:val="231F20"/>
          <w:spacing w:val="-5"/>
        </w:rPr>
        <w:t> </w:t>
      </w:r>
      <w:r>
        <w:rPr>
          <w:color w:val="231F20"/>
        </w:rPr>
        <w:t>of</w:t>
      </w:r>
      <w:r>
        <w:rPr>
          <w:color w:val="231F20"/>
          <w:spacing w:val="-5"/>
        </w:rPr>
        <w:t> </w:t>
      </w:r>
      <w:r>
        <w:rPr>
          <w:color w:val="231F20"/>
        </w:rPr>
        <w:t>the</w:t>
      </w:r>
      <w:r>
        <w:rPr>
          <w:color w:val="231F20"/>
          <w:spacing w:val="-5"/>
        </w:rPr>
        <w:t> </w:t>
      </w:r>
      <w:r>
        <w:rPr>
          <w:color w:val="231F20"/>
        </w:rPr>
        <w:t>Charter</w:t>
      </w:r>
      <w:r>
        <w:rPr>
          <w:color w:val="231F20"/>
          <w:spacing w:val="-5"/>
        </w:rPr>
        <w:t> </w:t>
      </w:r>
      <w:r>
        <w:rPr>
          <w:color w:val="231F20"/>
        </w:rPr>
        <w:t>of fundamental</w:t>
      </w:r>
      <w:r>
        <w:rPr>
          <w:color w:val="231F20"/>
          <w:spacing w:val="-12"/>
        </w:rPr>
        <w:t> </w:t>
      </w:r>
      <w:r>
        <w:rPr>
          <w:color w:val="231F20"/>
        </w:rPr>
        <w:t>Rights,</w:t>
      </w:r>
      <w:r>
        <w:rPr>
          <w:color w:val="231F20"/>
          <w:spacing w:val="-12"/>
        </w:rPr>
        <w:t> </w:t>
      </w:r>
      <w:r>
        <w:rPr>
          <w:color w:val="231F20"/>
        </w:rPr>
        <w:t>and</w:t>
      </w:r>
      <w:r>
        <w:rPr>
          <w:color w:val="231F20"/>
          <w:spacing w:val="-12"/>
        </w:rPr>
        <w:t> </w:t>
      </w:r>
      <w:r>
        <w:rPr>
          <w:color w:val="231F20"/>
        </w:rPr>
        <w:t>in</w:t>
      </w:r>
      <w:r>
        <w:rPr>
          <w:color w:val="231F20"/>
          <w:spacing w:val="-12"/>
        </w:rPr>
        <w:t> </w:t>
      </w:r>
      <w:r>
        <w:rPr>
          <w:color w:val="231F20"/>
        </w:rPr>
        <w:t>particular</w:t>
      </w:r>
      <w:r>
        <w:rPr>
          <w:color w:val="231F20"/>
          <w:spacing w:val="-12"/>
        </w:rPr>
        <w:t> </w:t>
      </w:r>
      <w:r>
        <w:rPr>
          <w:color w:val="231F20"/>
        </w:rPr>
        <w:t>those</w:t>
      </w:r>
      <w:r>
        <w:rPr>
          <w:color w:val="231F20"/>
          <w:spacing w:val="-12"/>
        </w:rPr>
        <w:t> </w:t>
      </w:r>
      <w:r>
        <w:rPr>
          <w:color w:val="231F20"/>
        </w:rPr>
        <w:t>of</w:t>
      </w:r>
      <w:r>
        <w:rPr>
          <w:color w:val="231F20"/>
          <w:spacing w:val="-12"/>
        </w:rPr>
        <w:t> </w:t>
      </w:r>
      <w:r>
        <w:rPr>
          <w:color w:val="231F20"/>
        </w:rPr>
        <w:t>articles</w:t>
      </w:r>
      <w:r>
        <w:rPr>
          <w:color w:val="231F20"/>
          <w:spacing w:val="-12"/>
        </w:rPr>
        <w:t> </w:t>
      </w:r>
      <w:r>
        <w:rPr>
          <w:color w:val="231F20"/>
        </w:rPr>
        <w:t>7</w:t>
      </w:r>
      <w:r>
        <w:rPr>
          <w:color w:val="231F20"/>
          <w:spacing w:val="-12"/>
        </w:rPr>
        <w:t> </w:t>
      </w:r>
      <w:r>
        <w:rPr>
          <w:color w:val="231F20"/>
        </w:rPr>
        <w:t>(right</w:t>
      </w:r>
      <w:r>
        <w:rPr>
          <w:color w:val="231F20"/>
          <w:spacing w:val="-12"/>
        </w:rPr>
        <w:t> </w:t>
      </w:r>
      <w:r>
        <w:rPr>
          <w:color w:val="231F20"/>
        </w:rPr>
        <w:t>to</w:t>
      </w:r>
      <w:r>
        <w:rPr>
          <w:color w:val="231F20"/>
          <w:spacing w:val="-12"/>
        </w:rPr>
        <w:t> </w:t>
      </w:r>
      <w:r>
        <w:rPr>
          <w:color w:val="231F20"/>
        </w:rPr>
        <w:t>confiden- tiality of communications) and 47 (right to an effective judicial remedy), on the provisions of secondary legislation governing administrative coop- eration</w:t>
      </w:r>
      <w:r>
        <w:rPr>
          <w:color w:val="231F20"/>
          <w:spacing w:val="-3"/>
        </w:rPr>
        <w:t> </w:t>
      </w:r>
      <w:r>
        <w:rPr>
          <w:color w:val="231F20"/>
        </w:rPr>
        <w:t>in</w:t>
      </w:r>
      <w:r>
        <w:rPr>
          <w:color w:val="231F20"/>
          <w:spacing w:val="-3"/>
        </w:rPr>
        <w:t> </w:t>
      </w:r>
      <w:r>
        <w:rPr>
          <w:color w:val="231F20"/>
        </w:rPr>
        <w:t>the</w:t>
      </w:r>
      <w:r>
        <w:rPr>
          <w:color w:val="231F20"/>
          <w:spacing w:val="-3"/>
        </w:rPr>
        <w:t> </w:t>
      </w:r>
      <w:r>
        <w:rPr>
          <w:color w:val="231F20"/>
        </w:rPr>
        <w:t>tax</w:t>
      </w:r>
      <w:r>
        <w:rPr>
          <w:color w:val="231F20"/>
          <w:spacing w:val="-3"/>
        </w:rPr>
        <w:t> </w:t>
      </w:r>
      <w:r>
        <w:rPr>
          <w:color w:val="231F20"/>
        </w:rPr>
        <w:t>sector.</w:t>
      </w:r>
      <w:r>
        <w:rPr>
          <w:color w:val="231F20"/>
          <w:spacing w:val="-3"/>
        </w:rPr>
        <w:t> </w:t>
      </w:r>
      <w:r>
        <w:rPr>
          <w:color w:val="231F20"/>
        </w:rPr>
        <w:t>It</w:t>
      </w:r>
      <w:r>
        <w:rPr>
          <w:color w:val="231F20"/>
          <w:spacing w:val="-3"/>
        </w:rPr>
        <w:t> </w:t>
      </w:r>
      <w:r>
        <w:rPr>
          <w:color w:val="231F20"/>
        </w:rPr>
        <w:t>can</w:t>
      </w:r>
      <w:r>
        <w:rPr>
          <w:color w:val="231F20"/>
          <w:spacing w:val="-3"/>
        </w:rPr>
        <w:t> </w:t>
      </w:r>
      <w:r>
        <w:rPr>
          <w:color w:val="231F20"/>
        </w:rPr>
        <w:t>also</w:t>
      </w:r>
      <w:r>
        <w:rPr>
          <w:color w:val="231F20"/>
          <w:spacing w:val="-3"/>
        </w:rPr>
        <w:t> </w:t>
      </w:r>
      <w:r>
        <w:rPr>
          <w:color w:val="231F20"/>
        </w:rPr>
        <w:t>be</w:t>
      </w:r>
      <w:r>
        <w:rPr>
          <w:color w:val="231F20"/>
          <w:spacing w:val="-3"/>
        </w:rPr>
        <w:t> </w:t>
      </w:r>
      <w:r>
        <w:rPr>
          <w:color w:val="231F20"/>
        </w:rPr>
        <w:t>said</w:t>
      </w:r>
      <w:r>
        <w:rPr>
          <w:color w:val="231F20"/>
          <w:spacing w:val="-3"/>
        </w:rPr>
        <w:t> </w:t>
      </w:r>
      <w:r>
        <w:rPr>
          <w:color w:val="231F20"/>
        </w:rPr>
        <w:t>that</w:t>
      </w:r>
      <w:r>
        <w:rPr>
          <w:color w:val="231F20"/>
          <w:spacing w:val="-3"/>
        </w:rPr>
        <w:t> </w:t>
      </w:r>
      <w:r>
        <w:rPr>
          <w:color w:val="231F20"/>
        </w:rPr>
        <w:t>this</w:t>
      </w:r>
      <w:r>
        <w:rPr>
          <w:color w:val="231F20"/>
          <w:spacing w:val="-3"/>
        </w:rPr>
        <w:t> </w:t>
      </w:r>
      <w:r>
        <w:rPr>
          <w:color w:val="231F20"/>
        </w:rPr>
        <w:t>work</w:t>
      </w:r>
      <w:r>
        <w:rPr>
          <w:color w:val="231F20"/>
          <w:spacing w:val="-3"/>
        </w:rPr>
        <w:t> </w:t>
      </w:r>
      <w:r>
        <w:rPr>
          <w:color w:val="231F20"/>
        </w:rPr>
        <w:t>of</w:t>
      </w:r>
      <w:r>
        <w:rPr>
          <w:color w:val="231F20"/>
          <w:spacing w:val="-3"/>
        </w:rPr>
        <w:t> </w:t>
      </w:r>
      <w:r>
        <w:rPr>
          <w:color w:val="231F20"/>
        </w:rPr>
        <w:t>integration</w:t>
      </w:r>
      <w:r>
        <w:rPr>
          <w:color w:val="231F20"/>
          <w:spacing w:val="-3"/>
        </w:rPr>
        <w:t> </w:t>
      </w:r>
      <w:r>
        <w:rPr>
          <w:color w:val="231F20"/>
        </w:rPr>
        <w:t>of the</w:t>
      </w:r>
      <w:r>
        <w:rPr>
          <w:color w:val="231F20"/>
          <w:spacing w:val="-17"/>
        </w:rPr>
        <w:t> </w:t>
      </w:r>
      <w:r>
        <w:rPr>
          <w:color w:val="231F20"/>
        </w:rPr>
        <w:t>directives</w:t>
      </w:r>
      <w:r>
        <w:rPr>
          <w:color w:val="231F20"/>
          <w:spacing w:val="-15"/>
        </w:rPr>
        <w:t> </w:t>
      </w:r>
      <w:r>
        <w:rPr>
          <w:color w:val="231F20"/>
        </w:rPr>
        <w:t>and</w:t>
      </w:r>
      <w:r>
        <w:rPr>
          <w:color w:val="231F20"/>
          <w:spacing w:val="-15"/>
        </w:rPr>
        <w:t> </w:t>
      </w:r>
      <w:r>
        <w:rPr>
          <w:color w:val="231F20"/>
        </w:rPr>
        <w:t>regulations</w:t>
      </w:r>
      <w:r>
        <w:rPr>
          <w:color w:val="231F20"/>
          <w:spacing w:val="-15"/>
        </w:rPr>
        <w:t> </w:t>
      </w:r>
      <w:r>
        <w:rPr>
          <w:color w:val="231F20"/>
        </w:rPr>
        <w:t>currently</w:t>
      </w:r>
      <w:r>
        <w:rPr>
          <w:color w:val="231F20"/>
          <w:spacing w:val="-15"/>
        </w:rPr>
        <w:t> </w:t>
      </w:r>
      <w:r>
        <w:rPr>
          <w:color w:val="231F20"/>
        </w:rPr>
        <w:t>in</w:t>
      </w:r>
      <w:r>
        <w:rPr>
          <w:color w:val="231F20"/>
          <w:spacing w:val="-15"/>
        </w:rPr>
        <w:t> </w:t>
      </w:r>
      <w:r>
        <w:rPr>
          <w:color w:val="231F20"/>
        </w:rPr>
        <w:t>force</w:t>
      </w:r>
      <w:r>
        <w:rPr>
          <w:color w:val="231F20"/>
          <w:spacing w:val="-15"/>
        </w:rPr>
        <w:t> </w:t>
      </w:r>
      <w:r>
        <w:rPr>
          <w:color w:val="231F20"/>
        </w:rPr>
        <w:t>in</w:t>
      </w:r>
      <w:r>
        <w:rPr>
          <w:color w:val="231F20"/>
          <w:spacing w:val="-15"/>
        </w:rPr>
        <w:t> </w:t>
      </w:r>
      <w:r>
        <w:rPr>
          <w:color w:val="231F20"/>
        </w:rPr>
        <w:t>this</w:t>
      </w:r>
      <w:r>
        <w:rPr>
          <w:color w:val="231F20"/>
          <w:spacing w:val="-15"/>
        </w:rPr>
        <w:t> </w:t>
      </w:r>
      <w:r>
        <w:rPr>
          <w:color w:val="231F20"/>
        </w:rPr>
        <w:t>area</w:t>
      </w:r>
      <w:r>
        <w:rPr>
          <w:color w:val="231F20"/>
          <w:spacing w:val="-15"/>
        </w:rPr>
        <w:t> </w:t>
      </w:r>
      <w:r>
        <w:rPr>
          <w:color w:val="231F20"/>
        </w:rPr>
        <w:t>was</w:t>
      </w:r>
      <w:r>
        <w:rPr>
          <w:color w:val="231F20"/>
          <w:spacing w:val="-15"/>
        </w:rPr>
        <w:t> </w:t>
      </w:r>
      <w:r>
        <w:rPr>
          <w:color w:val="231F20"/>
        </w:rPr>
        <w:t>providential and</w:t>
      </w:r>
      <w:r>
        <w:rPr>
          <w:color w:val="231F20"/>
          <w:spacing w:val="-14"/>
        </w:rPr>
        <w:t> </w:t>
      </w:r>
      <w:r>
        <w:rPr>
          <w:color w:val="231F20"/>
        </w:rPr>
        <w:t>absolutely</w:t>
      </w:r>
      <w:r>
        <w:rPr>
          <w:color w:val="231F20"/>
          <w:spacing w:val="-14"/>
        </w:rPr>
        <w:t> </w:t>
      </w:r>
      <w:r>
        <w:rPr>
          <w:color w:val="231F20"/>
        </w:rPr>
        <w:t>justified</w:t>
      </w:r>
      <w:r>
        <w:rPr>
          <w:color w:val="231F20"/>
          <w:spacing w:val="-14"/>
        </w:rPr>
        <w:t> </w:t>
      </w:r>
      <w:r>
        <w:rPr>
          <w:color w:val="231F20"/>
        </w:rPr>
        <w:t>as</w:t>
      </w:r>
      <w:r>
        <w:rPr>
          <w:color w:val="231F20"/>
          <w:spacing w:val="-14"/>
        </w:rPr>
        <w:t> </w:t>
      </w:r>
      <w:r>
        <w:rPr>
          <w:color w:val="231F20"/>
        </w:rPr>
        <w:t>it</w:t>
      </w:r>
      <w:r>
        <w:rPr>
          <w:color w:val="231F20"/>
          <w:spacing w:val="-14"/>
        </w:rPr>
        <w:t> </w:t>
      </w:r>
      <w:r>
        <w:rPr>
          <w:color w:val="231F20"/>
        </w:rPr>
        <w:t>emerges</w:t>
      </w:r>
      <w:r>
        <w:rPr>
          <w:color w:val="231F20"/>
          <w:spacing w:val="-14"/>
        </w:rPr>
        <w:t> </w:t>
      </w:r>
      <w:r>
        <w:rPr>
          <w:color w:val="231F20"/>
        </w:rPr>
        <w:t>from</w:t>
      </w:r>
      <w:r>
        <w:rPr>
          <w:color w:val="231F20"/>
          <w:spacing w:val="-14"/>
        </w:rPr>
        <w:t> </w:t>
      </w:r>
      <w:r>
        <w:rPr>
          <w:color w:val="231F20"/>
        </w:rPr>
        <w:t>the</w:t>
      </w:r>
      <w:r>
        <w:rPr>
          <w:color w:val="231F20"/>
          <w:spacing w:val="-14"/>
        </w:rPr>
        <w:t> </w:t>
      </w:r>
      <w:r>
        <w:rPr>
          <w:color w:val="231F20"/>
        </w:rPr>
        <w:t>main</w:t>
      </w:r>
      <w:r>
        <w:rPr>
          <w:color w:val="231F20"/>
          <w:spacing w:val="-14"/>
        </w:rPr>
        <w:t> </w:t>
      </w:r>
      <w:r>
        <w:rPr>
          <w:color w:val="231F20"/>
        </w:rPr>
        <w:t>proceedings</w:t>
      </w:r>
      <w:r>
        <w:rPr>
          <w:color w:val="231F20"/>
          <w:spacing w:val="-14"/>
        </w:rPr>
        <w:t> </w:t>
      </w:r>
      <w:r>
        <w:rPr>
          <w:color w:val="231F20"/>
        </w:rPr>
        <w:t>brought</w:t>
      </w:r>
      <w:r>
        <w:rPr>
          <w:color w:val="231F20"/>
          <w:spacing w:val="-14"/>
        </w:rPr>
        <w:t> </w:t>
      </w:r>
      <w:r>
        <w:rPr>
          <w:color w:val="231F20"/>
        </w:rPr>
        <w:t>to the</w:t>
      </w:r>
      <w:r>
        <w:rPr>
          <w:color w:val="231F20"/>
          <w:spacing w:val="-8"/>
        </w:rPr>
        <w:t> </w:t>
      </w:r>
      <w:r>
        <w:rPr>
          <w:color w:val="231F20"/>
        </w:rPr>
        <w:t>attention</w:t>
      </w:r>
      <w:r>
        <w:rPr>
          <w:color w:val="231F20"/>
          <w:spacing w:val="-8"/>
        </w:rPr>
        <w:t> </w:t>
      </w:r>
      <w:r>
        <w:rPr>
          <w:color w:val="231F20"/>
        </w:rPr>
        <w:t>of</w:t>
      </w:r>
      <w:r>
        <w:rPr>
          <w:color w:val="231F20"/>
          <w:spacing w:val="-8"/>
        </w:rPr>
        <w:t> </w:t>
      </w:r>
      <w:r>
        <w:rPr>
          <w:color w:val="231F20"/>
        </w:rPr>
        <w:t>the</w:t>
      </w:r>
      <w:r>
        <w:rPr>
          <w:color w:val="231F20"/>
          <w:spacing w:val="-8"/>
        </w:rPr>
        <w:t> </w:t>
      </w:r>
      <w:r>
        <w:rPr>
          <w:color w:val="231F20"/>
        </w:rPr>
        <w:t>Court</w:t>
      </w:r>
      <w:r>
        <w:rPr>
          <w:color w:val="231F20"/>
          <w:spacing w:val="-8"/>
        </w:rPr>
        <w:t> </w:t>
      </w:r>
      <w:r>
        <w:rPr>
          <w:color w:val="231F20"/>
        </w:rPr>
        <w:t>by</w:t>
      </w:r>
      <w:r>
        <w:rPr>
          <w:color w:val="231F20"/>
          <w:spacing w:val="-8"/>
        </w:rPr>
        <w:t> </w:t>
      </w:r>
      <w:r>
        <w:rPr>
          <w:color w:val="231F20"/>
        </w:rPr>
        <w:t>the</w:t>
      </w:r>
      <w:r>
        <w:rPr>
          <w:color w:val="231F20"/>
          <w:spacing w:val="-8"/>
        </w:rPr>
        <w:t> </w:t>
      </w:r>
      <w:r>
        <w:rPr>
          <w:color w:val="231F20"/>
        </w:rPr>
        <w:t>requests</w:t>
      </w:r>
      <w:r>
        <w:rPr>
          <w:color w:val="231F20"/>
          <w:spacing w:val="-8"/>
        </w:rPr>
        <w:t> </w:t>
      </w:r>
      <w:r>
        <w:rPr>
          <w:color w:val="231F20"/>
        </w:rPr>
        <w:t>for</w:t>
      </w:r>
      <w:r>
        <w:rPr>
          <w:color w:val="231F20"/>
          <w:spacing w:val="-8"/>
        </w:rPr>
        <w:t> </w:t>
      </w:r>
      <w:r>
        <w:rPr>
          <w:color w:val="231F20"/>
        </w:rPr>
        <w:t>preliminary</w:t>
      </w:r>
      <w:r>
        <w:rPr>
          <w:color w:val="231F20"/>
          <w:spacing w:val="-8"/>
        </w:rPr>
        <w:t> </w:t>
      </w:r>
      <w:r>
        <w:rPr>
          <w:color w:val="231F20"/>
        </w:rPr>
        <w:t>rulings</w:t>
      </w:r>
      <w:r>
        <w:rPr>
          <w:color w:val="231F20"/>
          <w:spacing w:val="-8"/>
        </w:rPr>
        <w:t> </w:t>
      </w:r>
      <w:r>
        <w:rPr>
          <w:color w:val="231F20"/>
        </w:rPr>
        <w:t>of</w:t>
      </w:r>
      <w:r>
        <w:rPr>
          <w:color w:val="231F20"/>
          <w:spacing w:val="-8"/>
        </w:rPr>
        <w:t> </w:t>
      </w:r>
      <w:r>
        <w:rPr>
          <w:color w:val="231F20"/>
        </w:rPr>
        <w:t>the</w:t>
      </w:r>
      <w:r>
        <w:rPr>
          <w:color w:val="231F20"/>
          <w:spacing w:val="-8"/>
        </w:rPr>
        <w:t> </w:t>
      </w:r>
      <w:r>
        <w:rPr>
          <w:color w:val="231F20"/>
        </w:rPr>
        <w:t>re- ferring</w:t>
      </w:r>
      <w:r>
        <w:rPr>
          <w:color w:val="231F20"/>
          <w:spacing w:val="-15"/>
        </w:rPr>
        <w:t> </w:t>
      </w:r>
      <w:r>
        <w:rPr>
          <w:color w:val="231F20"/>
        </w:rPr>
        <w:t>judges.</w:t>
      </w:r>
      <w:r>
        <w:rPr>
          <w:color w:val="231F20"/>
          <w:spacing w:val="-15"/>
        </w:rPr>
        <w:t> </w:t>
      </w:r>
      <w:r>
        <w:rPr>
          <w:color w:val="231F20"/>
        </w:rPr>
        <w:t>Indeed</w:t>
      </w:r>
      <w:r>
        <w:rPr>
          <w:color w:val="231F20"/>
          <w:spacing w:val="-15"/>
        </w:rPr>
        <w:t> </w:t>
      </w:r>
      <w:r>
        <w:rPr>
          <w:color w:val="231F20"/>
        </w:rPr>
        <w:t>it</w:t>
      </w:r>
      <w:r>
        <w:rPr>
          <w:color w:val="231F20"/>
          <w:spacing w:val="-15"/>
        </w:rPr>
        <w:t> </w:t>
      </w:r>
      <w:r>
        <w:rPr>
          <w:color w:val="231F20"/>
        </w:rPr>
        <w:t>has</w:t>
      </w:r>
      <w:r>
        <w:rPr>
          <w:color w:val="231F20"/>
          <w:spacing w:val="-15"/>
        </w:rPr>
        <w:t> </w:t>
      </w:r>
      <w:r>
        <w:rPr>
          <w:color w:val="231F20"/>
        </w:rPr>
        <w:t>appeared</w:t>
      </w:r>
      <w:r>
        <w:rPr>
          <w:color w:val="231F20"/>
          <w:spacing w:val="-15"/>
        </w:rPr>
        <w:t> </w:t>
      </w:r>
      <w:r>
        <w:rPr>
          <w:color w:val="231F20"/>
        </w:rPr>
        <w:t>that</w:t>
      </w:r>
      <w:r>
        <w:rPr>
          <w:color w:val="231F20"/>
          <w:spacing w:val="-15"/>
        </w:rPr>
        <w:t> </w:t>
      </w:r>
      <w:r>
        <w:rPr>
          <w:color w:val="231F20"/>
        </w:rPr>
        <w:t>in</w:t>
      </w:r>
      <w:r>
        <w:rPr>
          <w:color w:val="231F20"/>
          <w:spacing w:val="-15"/>
        </w:rPr>
        <w:t> </w:t>
      </w:r>
      <w:r>
        <w:rPr>
          <w:color w:val="231F20"/>
        </w:rPr>
        <w:t>regulating</w:t>
      </w:r>
      <w:r>
        <w:rPr>
          <w:color w:val="231F20"/>
          <w:spacing w:val="-15"/>
        </w:rPr>
        <w:t> </w:t>
      </w:r>
      <w:r>
        <w:rPr>
          <w:color w:val="231F20"/>
        </w:rPr>
        <w:t>the</w:t>
      </w:r>
      <w:r>
        <w:rPr>
          <w:color w:val="231F20"/>
          <w:spacing w:val="-15"/>
        </w:rPr>
        <w:t> </w:t>
      </w:r>
      <w:r>
        <w:rPr>
          <w:color w:val="231F20"/>
        </w:rPr>
        <w:t>cooperation</w:t>
      </w:r>
      <w:r>
        <w:rPr>
          <w:color w:val="231F20"/>
          <w:spacing w:val="-15"/>
        </w:rPr>
        <w:t> </w:t>
      </w:r>
      <w:r>
        <w:rPr>
          <w:color w:val="231F20"/>
        </w:rPr>
        <w:t>be- tween Member States tax administrations the Union tax legislator has not at</w:t>
      </w:r>
      <w:r>
        <w:rPr>
          <w:color w:val="231F20"/>
          <w:spacing w:val="-3"/>
        </w:rPr>
        <w:t> </w:t>
      </w:r>
      <w:r>
        <w:rPr>
          <w:color w:val="231F20"/>
        </w:rPr>
        <w:t>all</w:t>
      </w:r>
      <w:r>
        <w:rPr>
          <w:color w:val="231F20"/>
          <w:spacing w:val="-3"/>
        </w:rPr>
        <w:t> </w:t>
      </w:r>
      <w:r>
        <w:rPr>
          <w:color w:val="231F20"/>
        </w:rPr>
        <w:t>taken</w:t>
      </w:r>
      <w:r>
        <w:rPr>
          <w:color w:val="231F20"/>
          <w:spacing w:val="-3"/>
        </w:rPr>
        <w:t> </w:t>
      </w:r>
      <w:r>
        <w:rPr>
          <w:color w:val="231F20"/>
        </w:rPr>
        <w:t>into</w:t>
      </w:r>
      <w:r>
        <w:rPr>
          <w:color w:val="231F20"/>
          <w:spacing w:val="-3"/>
        </w:rPr>
        <w:t> </w:t>
      </w:r>
      <w:r>
        <w:rPr>
          <w:color w:val="231F20"/>
        </w:rPr>
        <w:t>consideration</w:t>
      </w:r>
      <w:r>
        <w:rPr>
          <w:color w:val="231F20"/>
          <w:spacing w:val="-3"/>
        </w:rPr>
        <w:t> </w:t>
      </w:r>
      <w:r>
        <w:rPr>
          <w:color w:val="231F20"/>
        </w:rPr>
        <w:t>the</w:t>
      </w:r>
      <w:r>
        <w:rPr>
          <w:color w:val="231F20"/>
          <w:spacing w:val="-3"/>
        </w:rPr>
        <w:t> </w:t>
      </w:r>
      <w:r>
        <w:rPr>
          <w:color w:val="231F20"/>
        </w:rPr>
        <w:t>need</w:t>
      </w:r>
      <w:r>
        <w:rPr>
          <w:color w:val="231F20"/>
          <w:spacing w:val="-3"/>
        </w:rPr>
        <w:t> </w:t>
      </w:r>
      <w:r>
        <w:rPr>
          <w:color w:val="231F20"/>
        </w:rPr>
        <w:t>to</w:t>
      </w:r>
      <w:r>
        <w:rPr>
          <w:color w:val="231F20"/>
          <w:spacing w:val="-3"/>
        </w:rPr>
        <w:t> </w:t>
      </w:r>
      <w:r>
        <w:rPr>
          <w:color w:val="231F20"/>
        </w:rPr>
        <w:t>also</w:t>
      </w:r>
      <w:r>
        <w:rPr>
          <w:color w:val="231F20"/>
          <w:spacing w:val="-3"/>
        </w:rPr>
        <w:t> </w:t>
      </w:r>
      <w:r>
        <w:rPr>
          <w:color w:val="231F20"/>
        </w:rPr>
        <w:t>protect</w:t>
      </w:r>
      <w:r>
        <w:rPr>
          <w:color w:val="231F20"/>
          <w:spacing w:val="-3"/>
        </w:rPr>
        <w:t> </w:t>
      </w:r>
      <w:r>
        <w:rPr>
          <w:color w:val="231F20"/>
        </w:rPr>
        <w:t>the</w:t>
      </w:r>
      <w:r>
        <w:rPr>
          <w:color w:val="231F20"/>
          <w:spacing w:val="-3"/>
        </w:rPr>
        <w:t> </w:t>
      </w:r>
      <w:r>
        <w:rPr>
          <w:color w:val="231F20"/>
        </w:rPr>
        <w:t>rights</w:t>
      </w:r>
      <w:r>
        <w:rPr>
          <w:color w:val="231F20"/>
          <w:spacing w:val="-3"/>
        </w:rPr>
        <w:t> </w:t>
      </w:r>
      <w:r>
        <w:rPr>
          <w:color w:val="231F20"/>
        </w:rPr>
        <w:t>of</w:t>
      </w:r>
      <w:r>
        <w:rPr>
          <w:color w:val="231F20"/>
          <w:spacing w:val="-3"/>
        </w:rPr>
        <w:t> </w:t>
      </w:r>
      <w:r>
        <w:rPr>
          <w:color w:val="231F20"/>
        </w:rPr>
        <w:t>private subjects involved in information exchange procedures and more generally the need to subject such procedures to clear and detailed rules governing the limits that Member States tax administrations must respect</w:t>
      </w:r>
      <w:r>
        <w:rPr>
          <w:color w:val="231F20"/>
          <w:position w:val="8"/>
          <w:sz w:val="14"/>
        </w:rPr>
        <w:t>47</w:t>
      </w:r>
      <w:r>
        <w:rPr>
          <w:color w:val="231F20"/>
        </w:rPr>
        <w:t>.</w:t>
      </w:r>
    </w:p>
    <w:p>
      <w:pPr>
        <w:pStyle w:val="BodyText"/>
        <w:spacing w:line="225" w:lineRule="auto" w:before="29"/>
        <w:ind w:left="157" w:right="117" w:firstLine="340"/>
        <w:jc w:val="both"/>
      </w:pPr>
      <w:r>
        <w:rPr>
          <w:color w:val="231F20"/>
        </w:rPr>
        <w:t>There</w:t>
      </w:r>
      <w:r>
        <w:rPr>
          <w:color w:val="231F20"/>
          <w:spacing w:val="-6"/>
        </w:rPr>
        <w:t> </w:t>
      </w:r>
      <w:r>
        <w:rPr>
          <w:color w:val="231F20"/>
        </w:rPr>
        <w:t>is</w:t>
      </w:r>
      <w:r>
        <w:rPr>
          <w:color w:val="231F20"/>
          <w:spacing w:val="-5"/>
        </w:rPr>
        <w:t> </w:t>
      </w:r>
      <w:r>
        <w:rPr>
          <w:color w:val="231F20"/>
        </w:rPr>
        <w:t>no</w:t>
      </w:r>
      <w:r>
        <w:rPr>
          <w:color w:val="231F20"/>
          <w:spacing w:val="-6"/>
        </w:rPr>
        <w:t> </w:t>
      </w:r>
      <w:r>
        <w:rPr>
          <w:color w:val="231F20"/>
        </w:rPr>
        <w:t>doubt</w:t>
      </w:r>
      <w:r>
        <w:rPr>
          <w:color w:val="231F20"/>
          <w:spacing w:val="-5"/>
        </w:rPr>
        <w:t> </w:t>
      </w:r>
      <w:r>
        <w:rPr>
          <w:color w:val="231F20"/>
        </w:rPr>
        <w:t>that</w:t>
      </w:r>
      <w:r>
        <w:rPr>
          <w:color w:val="231F20"/>
          <w:spacing w:val="-6"/>
        </w:rPr>
        <w:t> </w:t>
      </w:r>
      <w:r>
        <w:rPr>
          <w:color w:val="231F20"/>
        </w:rPr>
        <w:t>the</w:t>
      </w:r>
      <w:r>
        <w:rPr>
          <w:color w:val="231F20"/>
          <w:spacing w:val="-6"/>
        </w:rPr>
        <w:t> </w:t>
      </w:r>
      <w:r>
        <w:rPr>
          <w:color w:val="231F20"/>
        </w:rPr>
        <w:t>starting</w:t>
      </w:r>
      <w:r>
        <w:rPr>
          <w:color w:val="231F20"/>
          <w:spacing w:val="-5"/>
        </w:rPr>
        <w:t> </w:t>
      </w:r>
      <w:r>
        <w:rPr>
          <w:color w:val="231F20"/>
        </w:rPr>
        <w:t>point</w:t>
      </w:r>
      <w:r>
        <w:rPr>
          <w:color w:val="231F20"/>
          <w:spacing w:val="-6"/>
        </w:rPr>
        <w:t> </w:t>
      </w:r>
      <w:r>
        <w:rPr>
          <w:color w:val="231F20"/>
        </w:rPr>
        <w:t>of</w:t>
      </w:r>
      <w:r>
        <w:rPr>
          <w:color w:val="231F20"/>
          <w:spacing w:val="-6"/>
        </w:rPr>
        <w:t> </w:t>
      </w:r>
      <w:r>
        <w:rPr>
          <w:color w:val="231F20"/>
        </w:rPr>
        <w:t>this</w:t>
      </w:r>
      <w:r>
        <w:rPr>
          <w:color w:val="231F20"/>
          <w:spacing w:val="-5"/>
        </w:rPr>
        <w:t> </w:t>
      </w:r>
      <w:r>
        <w:rPr>
          <w:color w:val="231F20"/>
        </w:rPr>
        <w:t>commendable</w:t>
      </w:r>
      <w:r>
        <w:rPr>
          <w:color w:val="231F20"/>
          <w:spacing w:val="-6"/>
        </w:rPr>
        <w:t> </w:t>
      </w:r>
      <w:r>
        <w:rPr>
          <w:color w:val="231F20"/>
        </w:rPr>
        <w:t>work</w:t>
      </w:r>
      <w:r>
        <w:rPr>
          <w:color w:val="231F20"/>
          <w:spacing w:val="-5"/>
        </w:rPr>
        <w:t> </w:t>
      </w:r>
      <w:r>
        <w:rPr>
          <w:color w:val="231F20"/>
        </w:rPr>
        <w:t>of integration of the Union legislation concerning cooperation between </w:t>
      </w:r>
      <w:r>
        <w:rPr>
          <w:color w:val="231F20"/>
        </w:rPr>
        <w:t>tax administrations</w:t>
      </w:r>
      <w:r>
        <w:rPr>
          <w:color w:val="231F20"/>
          <w:spacing w:val="-5"/>
        </w:rPr>
        <w:t> </w:t>
      </w:r>
      <w:r>
        <w:rPr>
          <w:color w:val="231F20"/>
        </w:rPr>
        <w:t>was</w:t>
      </w:r>
      <w:r>
        <w:rPr>
          <w:color w:val="231F20"/>
          <w:spacing w:val="-5"/>
        </w:rPr>
        <w:t> </w:t>
      </w:r>
      <w:r>
        <w:rPr>
          <w:color w:val="231F20"/>
        </w:rPr>
        <w:t>the</w:t>
      </w:r>
      <w:r>
        <w:rPr>
          <w:color w:val="231F20"/>
          <w:spacing w:val="-5"/>
        </w:rPr>
        <w:t> </w:t>
      </w:r>
      <w:r>
        <w:rPr>
          <w:color w:val="231F20"/>
        </w:rPr>
        <w:t>affirmation,</w:t>
      </w:r>
      <w:r>
        <w:rPr>
          <w:color w:val="231F20"/>
          <w:spacing w:val="-5"/>
        </w:rPr>
        <w:t> </w:t>
      </w:r>
      <w:r>
        <w:rPr>
          <w:color w:val="231F20"/>
        </w:rPr>
        <w:t>stated</w:t>
      </w:r>
      <w:r>
        <w:rPr>
          <w:color w:val="231F20"/>
          <w:spacing w:val="-5"/>
        </w:rPr>
        <w:t> </w:t>
      </w:r>
      <w:r>
        <w:rPr>
          <w:color w:val="231F20"/>
        </w:rPr>
        <w:t>in</w:t>
      </w:r>
      <w:r>
        <w:rPr>
          <w:color w:val="231F20"/>
          <w:spacing w:val="-5"/>
        </w:rPr>
        <w:t> </w:t>
      </w:r>
      <w:r>
        <w:rPr>
          <w:color w:val="231F20"/>
        </w:rPr>
        <w:t>the</w:t>
      </w:r>
      <w:r>
        <w:rPr>
          <w:color w:val="231F20"/>
          <w:spacing w:val="-5"/>
        </w:rPr>
        <w:t> </w:t>
      </w:r>
      <w:r>
        <w:rPr>
          <w:i/>
          <w:color w:val="231F20"/>
        </w:rPr>
        <w:t>Berlioz</w:t>
      </w:r>
      <w:r>
        <w:rPr>
          <w:i/>
          <w:color w:val="231F20"/>
          <w:spacing w:val="-5"/>
        </w:rPr>
        <w:t> </w:t>
      </w:r>
      <w:r>
        <w:rPr>
          <w:color w:val="231F20"/>
        </w:rPr>
        <w:t>ruling,</w:t>
      </w:r>
      <w:r>
        <w:rPr>
          <w:color w:val="231F20"/>
          <w:spacing w:val="-5"/>
        </w:rPr>
        <w:t> </w:t>
      </w:r>
      <w:r>
        <w:rPr>
          <w:color w:val="231F20"/>
        </w:rPr>
        <w:t>of</w:t>
      </w:r>
      <w:r>
        <w:rPr>
          <w:color w:val="231F20"/>
          <w:spacing w:val="-5"/>
        </w:rPr>
        <w:t> </w:t>
      </w:r>
      <w:r>
        <w:rPr>
          <w:color w:val="231F20"/>
        </w:rPr>
        <w:t>the</w:t>
      </w:r>
      <w:r>
        <w:rPr>
          <w:color w:val="231F20"/>
          <w:spacing w:val="-5"/>
        </w:rPr>
        <w:t> </w:t>
      </w:r>
      <w:r>
        <w:rPr>
          <w:color w:val="231F20"/>
        </w:rPr>
        <w:t>full applicability of the CFR not only to the legislative acts of the Union, but also</w:t>
      </w:r>
      <w:r>
        <w:rPr>
          <w:color w:val="231F20"/>
          <w:spacing w:val="-8"/>
        </w:rPr>
        <w:t> </w:t>
      </w:r>
      <w:r>
        <w:rPr>
          <w:color w:val="231F20"/>
        </w:rPr>
        <w:t>to</w:t>
      </w:r>
      <w:r>
        <w:rPr>
          <w:color w:val="231F20"/>
          <w:spacing w:val="-8"/>
        </w:rPr>
        <w:t> </w:t>
      </w:r>
      <w:r>
        <w:rPr>
          <w:color w:val="231F20"/>
        </w:rPr>
        <w:t>the</w:t>
      </w:r>
      <w:r>
        <w:rPr>
          <w:color w:val="231F20"/>
          <w:spacing w:val="-8"/>
        </w:rPr>
        <w:t> </w:t>
      </w:r>
      <w:r>
        <w:rPr>
          <w:color w:val="231F20"/>
        </w:rPr>
        <w:t>implementing</w:t>
      </w:r>
      <w:r>
        <w:rPr>
          <w:color w:val="231F20"/>
          <w:spacing w:val="-8"/>
        </w:rPr>
        <w:t> </w:t>
      </w:r>
      <w:r>
        <w:rPr>
          <w:color w:val="231F20"/>
        </w:rPr>
        <w:t>legislation</w:t>
      </w:r>
      <w:r>
        <w:rPr>
          <w:color w:val="231F20"/>
          <w:spacing w:val="-8"/>
        </w:rPr>
        <w:t> </w:t>
      </w:r>
      <w:r>
        <w:rPr>
          <w:color w:val="231F20"/>
        </w:rPr>
        <w:t>which</w:t>
      </w:r>
      <w:r>
        <w:rPr>
          <w:color w:val="231F20"/>
          <w:spacing w:val="-8"/>
        </w:rPr>
        <w:t> </w:t>
      </w:r>
      <w:r>
        <w:rPr>
          <w:color w:val="231F20"/>
        </w:rPr>
        <w:t>in</w:t>
      </w:r>
      <w:r>
        <w:rPr>
          <w:color w:val="231F20"/>
          <w:spacing w:val="-8"/>
        </w:rPr>
        <w:t> </w:t>
      </w:r>
      <w:r>
        <w:rPr>
          <w:color w:val="231F20"/>
        </w:rPr>
        <w:t>each</w:t>
      </w:r>
      <w:r>
        <w:rPr>
          <w:color w:val="231F20"/>
          <w:spacing w:val="-8"/>
        </w:rPr>
        <w:t> </w:t>
      </w:r>
      <w:r>
        <w:rPr>
          <w:color w:val="231F20"/>
        </w:rPr>
        <w:t>Member</w:t>
      </w:r>
      <w:r>
        <w:rPr>
          <w:color w:val="231F20"/>
          <w:spacing w:val="-8"/>
        </w:rPr>
        <w:t> </w:t>
      </w:r>
      <w:r>
        <w:rPr>
          <w:color w:val="231F20"/>
        </w:rPr>
        <w:t>State</w:t>
      </w:r>
      <w:r>
        <w:rPr>
          <w:color w:val="231F20"/>
          <w:spacing w:val="-8"/>
        </w:rPr>
        <w:t> </w:t>
      </w:r>
      <w:r>
        <w:rPr>
          <w:color w:val="231F20"/>
        </w:rPr>
        <w:t>regulates the</w:t>
      </w:r>
      <w:r>
        <w:rPr>
          <w:color w:val="231F20"/>
          <w:spacing w:val="-12"/>
        </w:rPr>
        <w:t> </w:t>
      </w:r>
      <w:r>
        <w:rPr>
          <w:color w:val="231F20"/>
        </w:rPr>
        <w:t>exchange</w:t>
      </w:r>
      <w:r>
        <w:rPr>
          <w:color w:val="231F20"/>
          <w:spacing w:val="-12"/>
        </w:rPr>
        <w:t> </w:t>
      </w:r>
      <w:r>
        <w:rPr>
          <w:color w:val="231F20"/>
        </w:rPr>
        <w:t>of</w:t>
      </w:r>
      <w:r>
        <w:rPr>
          <w:color w:val="231F20"/>
          <w:spacing w:val="-12"/>
        </w:rPr>
        <w:t> </w:t>
      </w:r>
      <w:r>
        <w:rPr>
          <w:color w:val="231F20"/>
        </w:rPr>
        <w:t>information</w:t>
      </w:r>
      <w:r>
        <w:rPr>
          <w:color w:val="231F20"/>
          <w:spacing w:val="-12"/>
        </w:rPr>
        <w:t> </w:t>
      </w:r>
      <w:r>
        <w:rPr>
          <w:color w:val="231F20"/>
        </w:rPr>
        <w:t>with</w:t>
      </w:r>
      <w:r>
        <w:rPr>
          <w:color w:val="231F20"/>
          <w:spacing w:val="-12"/>
        </w:rPr>
        <w:t> </w:t>
      </w:r>
      <w:r>
        <w:rPr>
          <w:color w:val="231F20"/>
        </w:rPr>
        <w:t>the</w:t>
      </w:r>
      <w:r>
        <w:rPr>
          <w:color w:val="231F20"/>
          <w:spacing w:val="-12"/>
        </w:rPr>
        <w:t> </w:t>
      </w:r>
      <w:r>
        <w:rPr>
          <w:color w:val="231F20"/>
        </w:rPr>
        <w:t>tax</w:t>
      </w:r>
      <w:r>
        <w:rPr>
          <w:color w:val="231F20"/>
          <w:spacing w:val="-12"/>
        </w:rPr>
        <w:t> </w:t>
      </w:r>
      <w:r>
        <w:rPr>
          <w:color w:val="231F20"/>
        </w:rPr>
        <w:t>administrations</w:t>
      </w:r>
      <w:r>
        <w:rPr>
          <w:color w:val="231F20"/>
          <w:spacing w:val="-12"/>
        </w:rPr>
        <w:t> </w:t>
      </w:r>
      <w:r>
        <w:rPr>
          <w:color w:val="231F20"/>
        </w:rPr>
        <w:t>of</w:t>
      </w:r>
      <w:r>
        <w:rPr>
          <w:color w:val="231F20"/>
          <w:spacing w:val="-12"/>
        </w:rPr>
        <w:t> </w:t>
      </w:r>
      <w:r>
        <w:rPr>
          <w:color w:val="231F20"/>
        </w:rPr>
        <w:t>other</w:t>
      </w:r>
      <w:r>
        <w:rPr>
          <w:color w:val="231F20"/>
          <w:spacing w:val="-12"/>
        </w:rPr>
        <w:t> </w:t>
      </w:r>
      <w:r>
        <w:rPr>
          <w:color w:val="231F20"/>
        </w:rPr>
        <w:t>Member States. From this</w:t>
      </w:r>
      <w:r>
        <w:rPr>
          <w:color w:val="231F20"/>
          <w:spacing w:val="-1"/>
        </w:rPr>
        <w:t> </w:t>
      </w:r>
      <w:r>
        <w:rPr>
          <w:color w:val="231F20"/>
        </w:rPr>
        <w:t>very important interpretative</w:t>
      </w:r>
      <w:r>
        <w:rPr>
          <w:color w:val="231F20"/>
          <w:spacing w:val="-1"/>
        </w:rPr>
        <w:t> </w:t>
      </w:r>
      <w:r>
        <w:rPr>
          <w:color w:val="231F20"/>
        </w:rPr>
        <w:t>principle the Court</w:t>
      </w:r>
      <w:r>
        <w:rPr>
          <w:color w:val="231F20"/>
          <w:spacing w:val="-1"/>
        </w:rPr>
        <w:t> </w:t>
      </w:r>
      <w:r>
        <w:rPr>
          <w:color w:val="231F20"/>
        </w:rPr>
        <w:t>of Jus- tice has inferred both the right, pursuant to art. 47 CFR, of the informa- tion</w:t>
      </w:r>
      <w:r>
        <w:rPr>
          <w:color w:val="231F20"/>
          <w:spacing w:val="-3"/>
        </w:rPr>
        <w:t> </w:t>
      </w:r>
      <w:r>
        <w:rPr>
          <w:color w:val="231F20"/>
        </w:rPr>
        <w:t>holder</w:t>
      </w:r>
      <w:r>
        <w:rPr>
          <w:color w:val="231F20"/>
          <w:spacing w:val="-3"/>
        </w:rPr>
        <w:t> </w:t>
      </w:r>
      <w:r>
        <w:rPr>
          <w:color w:val="231F20"/>
        </w:rPr>
        <w:t>to</w:t>
      </w:r>
      <w:r>
        <w:rPr>
          <w:color w:val="231F20"/>
          <w:spacing w:val="-3"/>
        </w:rPr>
        <w:t> </w:t>
      </w:r>
      <w:r>
        <w:rPr>
          <w:color w:val="231F20"/>
        </w:rPr>
        <w:t>challenge</w:t>
      </w:r>
      <w:r>
        <w:rPr>
          <w:color w:val="231F20"/>
          <w:spacing w:val="-3"/>
        </w:rPr>
        <w:t> </w:t>
      </w:r>
      <w:r>
        <w:rPr>
          <w:color w:val="231F20"/>
        </w:rPr>
        <w:t>the</w:t>
      </w:r>
      <w:r>
        <w:rPr>
          <w:color w:val="231F20"/>
          <w:spacing w:val="-3"/>
        </w:rPr>
        <w:t> </w:t>
      </w:r>
      <w:r>
        <w:rPr>
          <w:color w:val="231F20"/>
        </w:rPr>
        <w:t>injunction</w:t>
      </w:r>
      <w:r>
        <w:rPr>
          <w:color w:val="231F20"/>
          <w:spacing w:val="-3"/>
        </w:rPr>
        <w:t> </w:t>
      </w:r>
      <w:r>
        <w:rPr>
          <w:color w:val="231F20"/>
        </w:rPr>
        <w:t>of</w:t>
      </w:r>
      <w:r>
        <w:rPr>
          <w:color w:val="231F20"/>
          <w:spacing w:val="-3"/>
        </w:rPr>
        <w:t> </w:t>
      </w:r>
      <w:r>
        <w:rPr>
          <w:color w:val="231F20"/>
        </w:rPr>
        <w:t>the</w:t>
      </w:r>
      <w:r>
        <w:rPr>
          <w:color w:val="231F20"/>
          <w:spacing w:val="-3"/>
        </w:rPr>
        <w:t> </w:t>
      </w:r>
      <w:r>
        <w:rPr>
          <w:color w:val="231F20"/>
        </w:rPr>
        <w:t>requested</w:t>
      </w:r>
      <w:r>
        <w:rPr>
          <w:color w:val="231F20"/>
          <w:spacing w:val="-3"/>
        </w:rPr>
        <w:t> </w:t>
      </w:r>
      <w:r>
        <w:rPr>
          <w:color w:val="231F20"/>
        </w:rPr>
        <w:t>authority</w:t>
      </w:r>
      <w:r>
        <w:rPr>
          <w:color w:val="231F20"/>
          <w:spacing w:val="-3"/>
        </w:rPr>
        <w:t> </w:t>
      </w:r>
      <w:r>
        <w:rPr>
          <w:color w:val="231F20"/>
        </w:rPr>
        <w:t>and</w:t>
      </w:r>
      <w:r>
        <w:rPr>
          <w:color w:val="231F20"/>
          <w:spacing w:val="40"/>
        </w:rPr>
        <w:t> </w:t>
      </w:r>
      <w:r>
        <w:rPr>
          <w:color w:val="231F20"/>
        </w:rPr>
        <w:t>the identification</w:t>
      </w:r>
      <w:r>
        <w:rPr>
          <w:color w:val="231F20"/>
          <w:spacing w:val="-10"/>
        </w:rPr>
        <w:t> </w:t>
      </w:r>
      <w:r>
        <w:rPr>
          <w:color w:val="231F20"/>
        </w:rPr>
        <w:t>of</w:t>
      </w:r>
      <w:r>
        <w:rPr>
          <w:color w:val="231F20"/>
          <w:spacing w:val="-10"/>
        </w:rPr>
        <w:t> </w:t>
      </w:r>
      <w:r>
        <w:rPr>
          <w:color w:val="231F20"/>
        </w:rPr>
        <w:t>the</w:t>
      </w:r>
      <w:r>
        <w:rPr>
          <w:color w:val="231F20"/>
          <w:spacing w:val="-10"/>
        </w:rPr>
        <w:t> </w:t>
      </w:r>
      <w:r>
        <w:rPr>
          <w:color w:val="231F20"/>
        </w:rPr>
        <w:t>only</w:t>
      </w:r>
      <w:r>
        <w:rPr>
          <w:color w:val="231F20"/>
          <w:spacing w:val="-10"/>
        </w:rPr>
        <w:t> </w:t>
      </w:r>
      <w:r>
        <w:rPr>
          <w:color w:val="231F20"/>
        </w:rPr>
        <w:t>ground</w:t>
      </w:r>
      <w:r>
        <w:rPr>
          <w:color w:val="231F20"/>
          <w:spacing w:val="-10"/>
        </w:rPr>
        <w:t> </w:t>
      </w:r>
      <w:r>
        <w:rPr>
          <w:color w:val="231F20"/>
        </w:rPr>
        <w:t>of</w:t>
      </w:r>
      <w:r>
        <w:rPr>
          <w:color w:val="231F20"/>
          <w:spacing w:val="-10"/>
        </w:rPr>
        <w:t> </w:t>
      </w:r>
      <w:r>
        <w:rPr>
          <w:color w:val="231F20"/>
        </w:rPr>
        <w:t>appeal</w:t>
      </w:r>
      <w:r>
        <w:rPr>
          <w:color w:val="231F20"/>
          <w:spacing w:val="-10"/>
        </w:rPr>
        <w:t> </w:t>
      </w:r>
      <w:r>
        <w:rPr>
          <w:color w:val="231F20"/>
        </w:rPr>
        <w:t>that</w:t>
      </w:r>
      <w:r>
        <w:rPr>
          <w:color w:val="231F20"/>
          <w:spacing w:val="-10"/>
        </w:rPr>
        <w:t> </w:t>
      </w:r>
      <w:r>
        <w:rPr>
          <w:color w:val="231F20"/>
        </w:rPr>
        <w:t>the</w:t>
      </w:r>
      <w:r>
        <w:rPr>
          <w:color w:val="231F20"/>
          <w:spacing w:val="-10"/>
        </w:rPr>
        <w:t> </w:t>
      </w:r>
      <w:r>
        <w:rPr>
          <w:color w:val="231F20"/>
        </w:rPr>
        <w:t>information</w:t>
      </w:r>
      <w:r>
        <w:rPr>
          <w:color w:val="231F20"/>
          <w:spacing w:val="-10"/>
        </w:rPr>
        <w:t> </w:t>
      </w:r>
      <w:r>
        <w:rPr>
          <w:color w:val="231F20"/>
        </w:rPr>
        <w:t>holder</w:t>
      </w:r>
      <w:r>
        <w:rPr>
          <w:color w:val="231F20"/>
          <w:spacing w:val="-10"/>
        </w:rPr>
        <w:t> </w:t>
      </w:r>
      <w:r>
        <w:rPr>
          <w:color w:val="231F20"/>
        </w:rPr>
        <w:t>can invoke</w:t>
      </w:r>
      <w:r>
        <w:rPr>
          <w:color w:val="231F20"/>
          <w:spacing w:val="15"/>
        </w:rPr>
        <w:t> </w:t>
      </w:r>
      <w:r>
        <w:rPr>
          <w:color w:val="231F20"/>
        </w:rPr>
        <w:t>before</w:t>
      </w:r>
      <w:r>
        <w:rPr>
          <w:color w:val="231F20"/>
          <w:spacing w:val="16"/>
        </w:rPr>
        <w:t> </w:t>
      </w:r>
      <w:r>
        <w:rPr>
          <w:color w:val="231F20"/>
        </w:rPr>
        <w:t>the</w:t>
      </w:r>
      <w:r>
        <w:rPr>
          <w:color w:val="231F20"/>
          <w:spacing w:val="16"/>
        </w:rPr>
        <w:t> </w:t>
      </w:r>
      <w:r>
        <w:rPr>
          <w:color w:val="231F20"/>
        </w:rPr>
        <w:t>judge,</w:t>
      </w:r>
      <w:r>
        <w:rPr>
          <w:color w:val="231F20"/>
          <w:spacing w:val="16"/>
        </w:rPr>
        <w:t> </w:t>
      </w:r>
      <w:r>
        <w:rPr>
          <w:color w:val="231F20"/>
        </w:rPr>
        <w:t>i.e.</w:t>
      </w:r>
      <w:r>
        <w:rPr>
          <w:color w:val="231F20"/>
          <w:spacing w:val="16"/>
        </w:rPr>
        <w:t> </w:t>
      </w:r>
      <w:r>
        <w:rPr>
          <w:color w:val="231F20"/>
        </w:rPr>
        <w:t>the</w:t>
      </w:r>
      <w:r>
        <w:rPr>
          <w:color w:val="231F20"/>
          <w:spacing w:val="15"/>
        </w:rPr>
        <w:t> </w:t>
      </w:r>
      <w:r>
        <w:rPr>
          <w:color w:val="231F20"/>
        </w:rPr>
        <w:t>absence</w:t>
      </w:r>
      <w:r>
        <w:rPr>
          <w:color w:val="231F20"/>
          <w:spacing w:val="16"/>
        </w:rPr>
        <w:t> </w:t>
      </w:r>
      <w:r>
        <w:rPr>
          <w:color w:val="231F20"/>
        </w:rPr>
        <w:t>of</w:t>
      </w:r>
      <w:r>
        <w:rPr>
          <w:color w:val="231F20"/>
          <w:spacing w:val="16"/>
        </w:rPr>
        <w:t> </w:t>
      </w:r>
      <w:r>
        <w:rPr>
          <w:color w:val="231F20"/>
        </w:rPr>
        <w:t>«foreseeable</w:t>
      </w:r>
      <w:r>
        <w:rPr>
          <w:color w:val="231F20"/>
          <w:spacing w:val="16"/>
        </w:rPr>
        <w:t> </w:t>
      </w:r>
      <w:r>
        <w:rPr>
          <w:color w:val="231F20"/>
        </w:rPr>
        <w:t>relevance»</w:t>
      </w:r>
      <w:r>
        <w:rPr>
          <w:color w:val="231F20"/>
          <w:spacing w:val="16"/>
        </w:rPr>
        <w:t> </w:t>
      </w:r>
      <w:r>
        <w:rPr>
          <w:color w:val="231F20"/>
        </w:rPr>
        <w:t>of</w:t>
      </w:r>
      <w:r>
        <w:rPr>
          <w:color w:val="231F20"/>
          <w:spacing w:val="16"/>
        </w:rPr>
        <w:t> </w:t>
      </w:r>
      <w:r>
        <w:rPr>
          <w:color w:val="231F20"/>
          <w:spacing w:val="-5"/>
        </w:rPr>
        <w:t>the</w:t>
      </w:r>
    </w:p>
    <w:p>
      <w:pPr>
        <w:pStyle w:val="BodyText"/>
        <w:spacing w:before="5"/>
        <w:rPr>
          <w:sz w:val="9"/>
        </w:rPr>
      </w:pPr>
      <w:r>
        <w:rPr/>
        <mc:AlternateContent>
          <mc:Choice Requires="wps">
            <w:drawing>
              <wp:anchor distT="0" distB="0" distL="0" distR="0" allowOverlap="1" layoutInCell="1" locked="0" behindDoc="1" simplePos="0" relativeHeight="487603712">
                <wp:simplePos x="0" y="0"/>
                <wp:positionH relativeFrom="page">
                  <wp:posOffset>899999</wp:posOffset>
                </wp:positionH>
                <wp:positionV relativeFrom="paragraph">
                  <wp:posOffset>91061</wp:posOffset>
                </wp:positionV>
                <wp:extent cx="792480" cy="1270"/>
                <wp:effectExtent l="0" t="0" r="0" b="0"/>
                <wp:wrapTopAndBottom/>
                <wp:docPr id="64" name="Graphic 64"/>
                <wp:cNvGraphicFramePr>
                  <a:graphicFrameLocks/>
                </wp:cNvGraphicFramePr>
                <a:graphic>
                  <a:graphicData uri="http://schemas.microsoft.com/office/word/2010/wordprocessingShape">
                    <wps:wsp>
                      <wps:cNvPr id="64" name="Graphic 64"/>
                      <wps:cNvSpPr/>
                      <wps:spPr>
                        <a:xfrm>
                          <a:off x="0" y="0"/>
                          <a:ext cx="792480" cy="1270"/>
                        </a:xfrm>
                        <a:custGeom>
                          <a:avLst/>
                          <a:gdLst/>
                          <a:ahLst/>
                          <a:cxnLst/>
                          <a:rect l="l" t="t" r="r" b="b"/>
                          <a:pathLst>
                            <a:path w="792480" h="0">
                              <a:moveTo>
                                <a:pt x="0" y="0"/>
                              </a:moveTo>
                              <a:lnTo>
                                <a:pt x="791997"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shape style="position:absolute;margin-left:70.866096pt;margin-top:7.17018pt;width:62.4pt;height:.1pt;mso-position-horizontal-relative:page;mso-position-vertical-relative:paragraph;z-index:-15712768;mso-wrap-distance-left:0;mso-wrap-distance-right:0" id="docshape53" coordorigin="1417,143" coordsize="1248,0" path="m1417,143l2665,143e" filled="false" stroked="true" strokeweight=".5pt" strokecolor="#231f20">
                <v:path arrowok="t"/>
                <v:stroke dashstyle="solid"/>
                <w10:wrap type="topAndBottom"/>
              </v:shape>
            </w:pict>
          </mc:Fallback>
        </mc:AlternateContent>
      </w:r>
    </w:p>
    <w:p>
      <w:pPr>
        <w:spacing w:line="225" w:lineRule="auto" w:before="201"/>
        <w:ind w:left="157" w:right="118" w:firstLine="0"/>
        <w:jc w:val="both"/>
        <w:rPr>
          <w:sz w:val="19"/>
        </w:rPr>
      </w:pPr>
      <w:r>
        <w:rPr>
          <w:color w:val="231F20"/>
          <w:position w:val="6"/>
          <w:sz w:val="11"/>
        </w:rPr>
        <w:t>47</w:t>
      </w:r>
      <w:r>
        <w:rPr>
          <w:color w:val="231F20"/>
          <w:spacing w:val="80"/>
          <w:position w:val="6"/>
          <w:sz w:val="11"/>
        </w:rPr>
        <w:t> </w:t>
      </w:r>
      <w:r>
        <w:rPr>
          <w:color w:val="231F20"/>
          <w:sz w:val="19"/>
        </w:rPr>
        <w:t>On such a «Right to be heard» also provided by article 41(2)(a) of the EU Charter of Fundamental</w:t>
      </w:r>
      <w:r>
        <w:rPr>
          <w:color w:val="231F20"/>
          <w:spacing w:val="-12"/>
          <w:sz w:val="19"/>
        </w:rPr>
        <w:t> </w:t>
      </w:r>
      <w:r>
        <w:rPr>
          <w:color w:val="231F20"/>
          <w:sz w:val="19"/>
        </w:rPr>
        <w:t>Rights</w:t>
      </w:r>
      <w:r>
        <w:rPr>
          <w:color w:val="231F20"/>
          <w:spacing w:val="-12"/>
          <w:sz w:val="19"/>
        </w:rPr>
        <w:t> </w:t>
      </w:r>
      <w:r>
        <w:rPr>
          <w:color w:val="231F20"/>
          <w:sz w:val="19"/>
        </w:rPr>
        <w:t>(«Right</w:t>
      </w:r>
      <w:r>
        <w:rPr>
          <w:color w:val="231F20"/>
          <w:spacing w:val="-12"/>
          <w:sz w:val="19"/>
        </w:rPr>
        <w:t> </w:t>
      </w:r>
      <w:r>
        <w:rPr>
          <w:color w:val="231F20"/>
          <w:sz w:val="19"/>
        </w:rPr>
        <w:t>to</w:t>
      </w:r>
      <w:r>
        <w:rPr>
          <w:color w:val="231F20"/>
          <w:spacing w:val="-12"/>
          <w:sz w:val="19"/>
        </w:rPr>
        <w:t> </w:t>
      </w:r>
      <w:r>
        <w:rPr>
          <w:color w:val="231F20"/>
          <w:sz w:val="19"/>
        </w:rPr>
        <w:t>good</w:t>
      </w:r>
      <w:r>
        <w:rPr>
          <w:color w:val="231F20"/>
          <w:spacing w:val="-12"/>
          <w:sz w:val="19"/>
        </w:rPr>
        <w:t> </w:t>
      </w:r>
      <w:r>
        <w:rPr>
          <w:color w:val="231F20"/>
          <w:sz w:val="19"/>
        </w:rPr>
        <w:t>administration»),</w:t>
      </w:r>
      <w:r>
        <w:rPr>
          <w:color w:val="231F20"/>
          <w:spacing w:val="-12"/>
          <w:sz w:val="19"/>
        </w:rPr>
        <w:t> </w:t>
      </w:r>
      <w:r>
        <w:rPr>
          <w:color w:val="231F20"/>
          <w:sz w:val="19"/>
        </w:rPr>
        <w:t>see</w:t>
      </w:r>
      <w:r>
        <w:rPr>
          <w:color w:val="231F20"/>
          <w:spacing w:val="-12"/>
          <w:sz w:val="19"/>
        </w:rPr>
        <w:t> </w:t>
      </w:r>
      <w:r>
        <w:rPr>
          <w:color w:val="231F20"/>
          <w:sz w:val="19"/>
        </w:rPr>
        <w:t>P.</w:t>
      </w:r>
      <w:r>
        <w:rPr>
          <w:color w:val="231F20"/>
          <w:spacing w:val="-11"/>
          <w:sz w:val="19"/>
        </w:rPr>
        <w:t> </w:t>
      </w:r>
      <w:r>
        <w:rPr>
          <w:color w:val="231F20"/>
          <w:sz w:val="19"/>
        </w:rPr>
        <w:t>Selicato,</w:t>
      </w:r>
      <w:r>
        <w:rPr>
          <w:color w:val="231F20"/>
          <w:spacing w:val="-12"/>
          <w:sz w:val="19"/>
        </w:rPr>
        <w:t> </w:t>
      </w:r>
      <w:r>
        <w:rPr>
          <w:i/>
          <w:color w:val="231F20"/>
          <w:sz w:val="19"/>
        </w:rPr>
        <w:t>Scambio</w:t>
      </w:r>
      <w:r>
        <w:rPr>
          <w:i/>
          <w:color w:val="231F20"/>
          <w:spacing w:val="-12"/>
          <w:sz w:val="19"/>
        </w:rPr>
        <w:t> </w:t>
      </w:r>
      <w:r>
        <w:rPr>
          <w:i/>
          <w:color w:val="231F20"/>
          <w:sz w:val="19"/>
        </w:rPr>
        <w:t>di</w:t>
      </w:r>
      <w:r>
        <w:rPr>
          <w:i/>
          <w:color w:val="231F20"/>
          <w:spacing w:val="-12"/>
          <w:sz w:val="19"/>
        </w:rPr>
        <w:t> </w:t>
      </w:r>
      <w:r>
        <w:rPr>
          <w:i/>
          <w:color w:val="231F20"/>
          <w:sz w:val="19"/>
        </w:rPr>
        <w:t>informazioni,</w:t>
      </w:r>
      <w:r>
        <w:rPr>
          <w:i/>
          <w:color w:val="231F20"/>
          <w:sz w:val="19"/>
        </w:rPr>
        <w:t> contraddittorio e Statuto del contribuente</w:t>
      </w:r>
      <w:r>
        <w:rPr>
          <w:color w:val="231F20"/>
          <w:sz w:val="19"/>
        </w:rPr>
        <w:t>, in </w:t>
      </w:r>
      <w:r>
        <w:rPr>
          <w:i/>
          <w:color w:val="231F20"/>
          <w:sz w:val="19"/>
        </w:rPr>
        <w:t>Consenso, equità e imparzialità nello Statuto del</w:t>
      </w:r>
      <w:r>
        <w:rPr>
          <w:i/>
          <w:color w:val="231F20"/>
          <w:sz w:val="19"/>
        </w:rPr>
        <w:t> contribuente, </w:t>
      </w:r>
      <w:r>
        <w:rPr>
          <w:color w:val="231F20"/>
          <w:sz w:val="19"/>
        </w:rPr>
        <w:t>by A. Bodrito, A. Contrino, A. Marcheselli (editors), Torino, 2012.</w:t>
      </w:r>
    </w:p>
    <w:p>
      <w:pPr>
        <w:spacing w:after="0" w:line="225" w:lineRule="auto"/>
        <w:jc w:val="both"/>
        <w:rPr>
          <w:sz w:val="19"/>
        </w:rPr>
        <w:sectPr>
          <w:pgSz w:w="9640" w:h="13610"/>
          <w:pgMar w:header="0" w:footer="625" w:top="1260" w:bottom="820" w:left="1260" w:right="1240"/>
        </w:sectPr>
      </w:pPr>
    </w:p>
    <w:p>
      <w:pPr>
        <w:pStyle w:val="BodyText"/>
        <w:spacing w:line="225" w:lineRule="auto" w:before="117"/>
        <w:ind w:left="100" w:right="174"/>
        <w:jc w:val="both"/>
      </w:pPr>
      <w:r>
        <w:rPr>
          <w:color w:val="231F20"/>
        </w:rPr>
        <w:t>information</w:t>
      </w:r>
      <w:r>
        <w:rPr>
          <w:color w:val="231F20"/>
          <w:spacing w:val="-10"/>
        </w:rPr>
        <w:t> </w:t>
      </w:r>
      <w:r>
        <w:rPr>
          <w:color w:val="231F20"/>
        </w:rPr>
        <w:t>requested</w:t>
      </w:r>
      <w:r>
        <w:rPr>
          <w:color w:val="231F20"/>
          <w:spacing w:val="-10"/>
        </w:rPr>
        <w:t> </w:t>
      </w:r>
      <w:r>
        <w:rPr>
          <w:color w:val="231F20"/>
        </w:rPr>
        <w:t>with</w:t>
      </w:r>
      <w:r>
        <w:rPr>
          <w:color w:val="231F20"/>
          <w:spacing w:val="-10"/>
        </w:rPr>
        <w:t> </w:t>
      </w:r>
      <w:r>
        <w:rPr>
          <w:color w:val="231F20"/>
        </w:rPr>
        <w:t>respect</w:t>
      </w:r>
      <w:r>
        <w:rPr>
          <w:color w:val="231F20"/>
          <w:spacing w:val="-10"/>
        </w:rPr>
        <w:t> </w:t>
      </w:r>
      <w:r>
        <w:rPr>
          <w:color w:val="231F20"/>
        </w:rPr>
        <w:t>to</w:t>
      </w:r>
      <w:r>
        <w:rPr>
          <w:color w:val="231F20"/>
          <w:spacing w:val="-10"/>
        </w:rPr>
        <w:t> </w:t>
      </w:r>
      <w:r>
        <w:rPr>
          <w:color w:val="231F20"/>
        </w:rPr>
        <w:t>the</w:t>
      </w:r>
      <w:r>
        <w:rPr>
          <w:color w:val="231F20"/>
          <w:spacing w:val="-10"/>
        </w:rPr>
        <w:t> </w:t>
      </w:r>
      <w:r>
        <w:rPr>
          <w:color w:val="231F20"/>
        </w:rPr>
        <w:t>purposes</w:t>
      </w:r>
      <w:r>
        <w:rPr>
          <w:color w:val="231F20"/>
          <w:spacing w:val="-10"/>
        </w:rPr>
        <w:t> </w:t>
      </w:r>
      <w:r>
        <w:rPr>
          <w:color w:val="231F20"/>
        </w:rPr>
        <w:t>of</w:t>
      </w:r>
      <w:r>
        <w:rPr>
          <w:color w:val="231F20"/>
          <w:spacing w:val="-10"/>
        </w:rPr>
        <w:t> </w:t>
      </w:r>
      <w:r>
        <w:rPr>
          <w:color w:val="231F20"/>
        </w:rPr>
        <w:t>the</w:t>
      </w:r>
      <w:r>
        <w:rPr>
          <w:color w:val="231F20"/>
          <w:spacing w:val="-10"/>
        </w:rPr>
        <w:t> </w:t>
      </w:r>
      <w:r>
        <w:rPr>
          <w:color w:val="231F20"/>
        </w:rPr>
        <w:t>tax</w:t>
      </w:r>
      <w:r>
        <w:rPr>
          <w:color w:val="231F20"/>
          <w:spacing w:val="-10"/>
        </w:rPr>
        <w:t> </w:t>
      </w:r>
      <w:r>
        <w:rPr>
          <w:color w:val="231F20"/>
        </w:rPr>
        <w:t>assessment</w:t>
      </w:r>
      <w:r>
        <w:rPr>
          <w:color w:val="231F20"/>
          <w:spacing w:val="-10"/>
        </w:rPr>
        <w:t> </w:t>
      </w:r>
      <w:r>
        <w:rPr>
          <w:color w:val="231F20"/>
        </w:rPr>
        <w:t>in progress. From its definition of «foreseeable relevance» of the information requested, the Court then pursued its work of integrating the </w:t>
      </w:r>
      <w:r>
        <w:rPr>
          <w:color w:val="231F20"/>
        </w:rPr>
        <w:t>provisions of Directive 2011/16/EU by identifying the powers to verify this manda- tory condition of the legality of the request for information. Such powers to check whether this condition exists have been conferred by the Union judges both upon the tax administration addressed by the requesting ad- ministration and upon the judge hearing the case related to the appeal of the holder of the information.</w:t>
      </w:r>
    </w:p>
    <w:p>
      <w:pPr>
        <w:pStyle w:val="BodyText"/>
        <w:spacing w:line="225" w:lineRule="auto" w:before="12"/>
        <w:ind w:left="100" w:right="174" w:firstLine="340"/>
        <w:jc w:val="both"/>
      </w:pPr>
      <w:r>
        <w:rPr>
          <w:color w:val="231F20"/>
        </w:rPr>
        <w:t>These control powers have been further strengthened by the Court of Justice</w:t>
      </w:r>
      <w:r>
        <w:rPr>
          <w:color w:val="231F20"/>
          <w:spacing w:val="-1"/>
        </w:rPr>
        <w:t> </w:t>
      </w:r>
      <w:r>
        <w:rPr>
          <w:color w:val="231F20"/>
        </w:rPr>
        <w:t>with</w:t>
      </w:r>
      <w:r>
        <w:rPr>
          <w:color w:val="231F20"/>
          <w:spacing w:val="-1"/>
        </w:rPr>
        <w:t> </w:t>
      </w:r>
      <w:r>
        <w:rPr>
          <w:color w:val="231F20"/>
        </w:rPr>
        <w:t>the</w:t>
      </w:r>
      <w:r>
        <w:rPr>
          <w:color w:val="231F20"/>
          <w:spacing w:val="-1"/>
        </w:rPr>
        <w:t> </w:t>
      </w:r>
      <w:r>
        <w:rPr>
          <w:color w:val="231F20"/>
        </w:rPr>
        <w:t>definition</w:t>
      </w:r>
      <w:r>
        <w:rPr>
          <w:color w:val="231F20"/>
          <w:spacing w:val="-1"/>
        </w:rPr>
        <w:t> </w:t>
      </w:r>
      <w:r>
        <w:rPr>
          <w:color w:val="231F20"/>
        </w:rPr>
        <w:t>of</w:t>
      </w:r>
      <w:r>
        <w:rPr>
          <w:color w:val="231F20"/>
          <w:spacing w:val="-1"/>
        </w:rPr>
        <w:t> </w:t>
      </w:r>
      <w:r>
        <w:rPr>
          <w:color w:val="231F20"/>
        </w:rPr>
        <w:t>the</w:t>
      </w:r>
      <w:r>
        <w:rPr>
          <w:color w:val="231F20"/>
          <w:spacing w:val="-1"/>
        </w:rPr>
        <w:t> </w:t>
      </w:r>
      <w:r>
        <w:rPr>
          <w:color w:val="231F20"/>
        </w:rPr>
        <w:t>level</w:t>
      </w:r>
      <w:r>
        <w:rPr>
          <w:color w:val="231F20"/>
          <w:spacing w:val="-1"/>
        </w:rPr>
        <w:t> </w:t>
      </w:r>
      <w:r>
        <w:rPr>
          <w:color w:val="231F20"/>
        </w:rPr>
        <w:t>of</w:t>
      </w:r>
      <w:r>
        <w:rPr>
          <w:color w:val="231F20"/>
          <w:spacing w:val="-1"/>
        </w:rPr>
        <w:t> </w:t>
      </w:r>
      <w:r>
        <w:rPr>
          <w:color w:val="231F20"/>
        </w:rPr>
        <w:t>precision</w:t>
      </w:r>
      <w:r>
        <w:rPr>
          <w:color w:val="231F20"/>
          <w:spacing w:val="-1"/>
        </w:rPr>
        <w:t> </w:t>
      </w:r>
      <w:r>
        <w:rPr>
          <w:color w:val="231F20"/>
        </w:rPr>
        <w:t>of</w:t>
      </w:r>
      <w:r>
        <w:rPr>
          <w:color w:val="231F20"/>
          <w:spacing w:val="-1"/>
        </w:rPr>
        <w:t> </w:t>
      </w:r>
      <w:r>
        <w:rPr>
          <w:color w:val="231F20"/>
        </w:rPr>
        <w:t>the</w:t>
      </w:r>
      <w:r>
        <w:rPr>
          <w:color w:val="231F20"/>
          <w:spacing w:val="-1"/>
        </w:rPr>
        <w:t> </w:t>
      </w:r>
      <w:r>
        <w:rPr>
          <w:color w:val="231F20"/>
        </w:rPr>
        <w:t>information</w:t>
      </w:r>
      <w:r>
        <w:rPr>
          <w:color w:val="231F20"/>
          <w:spacing w:val="-1"/>
        </w:rPr>
        <w:t> </w:t>
      </w:r>
      <w:r>
        <w:rPr>
          <w:color w:val="231F20"/>
        </w:rPr>
        <w:t>that can</w:t>
      </w:r>
      <w:r>
        <w:rPr>
          <w:color w:val="231F20"/>
          <w:spacing w:val="-2"/>
        </w:rPr>
        <w:t> </w:t>
      </w:r>
      <w:r>
        <w:rPr>
          <w:color w:val="231F20"/>
        </w:rPr>
        <w:t>be</w:t>
      </w:r>
      <w:r>
        <w:rPr>
          <w:color w:val="231F20"/>
          <w:spacing w:val="-2"/>
        </w:rPr>
        <w:t> </w:t>
      </w:r>
      <w:r>
        <w:rPr>
          <w:color w:val="231F20"/>
        </w:rPr>
        <w:t>legally</w:t>
      </w:r>
      <w:r>
        <w:rPr>
          <w:color w:val="231F20"/>
          <w:spacing w:val="-2"/>
        </w:rPr>
        <w:t> </w:t>
      </w:r>
      <w:r>
        <w:rPr>
          <w:color w:val="231F20"/>
        </w:rPr>
        <w:t>requested,</w:t>
      </w:r>
      <w:r>
        <w:rPr>
          <w:color w:val="231F20"/>
          <w:spacing w:val="-2"/>
        </w:rPr>
        <w:t> </w:t>
      </w:r>
      <w:r>
        <w:rPr>
          <w:color w:val="231F20"/>
        </w:rPr>
        <w:t>both</w:t>
      </w:r>
      <w:r>
        <w:rPr>
          <w:color w:val="231F20"/>
          <w:spacing w:val="-2"/>
        </w:rPr>
        <w:t> </w:t>
      </w:r>
      <w:r>
        <w:rPr>
          <w:color w:val="231F20"/>
        </w:rPr>
        <w:t>by</w:t>
      </w:r>
      <w:r>
        <w:rPr>
          <w:color w:val="231F20"/>
          <w:spacing w:val="-2"/>
        </w:rPr>
        <w:t> </w:t>
      </w:r>
      <w:r>
        <w:rPr>
          <w:color w:val="231F20"/>
        </w:rPr>
        <w:t>the</w:t>
      </w:r>
      <w:r>
        <w:rPr>
          <w:color w:val="231F20"/>
          <w:spacing w:val="-2"/>
        </w:rPr>
        <w:t> </w:t>
      </w:r>
      <w:r>
        <w:rPr>
          <w:color w:val="231F20"/>
        </w:rPr>
        <w:t>requesting</w:t>
      </w:r>
      <w:r>
        <w:rPr>
          <w:color w:val="231F20"/>
          <w:spacing w:val="-2"/>
        </w:rPr>
        <w:t> </w:t>
      </w:r>
      <w:r>
        <w:rPr>
          <w:color w:val="231F20"/>
        </w:rPr>
        <w:t>authority</w:t>
      </w:r>
      <w:r>
        <w:rPr>
          <w:color w:val="231F20"/>
          <w:spacing w:val="-2"/>
        </w:rPr>
        <w:t> </w:t>
      </w:r>
      <w:r>
        <w:rPr>
          <w:color w:val="231F20"/>
        </w:rPr>
        <w:t>to</w:t>
      </w:r>
      <w:r>
        <w:rPr>
          <w:color w:val="231F20"/>
          <w:spacing w:val="-2"/>
        </w:rPr>
        <w:t> </w:t>
      </w:r>
      <w:r>
        <w:rPr>
          <w:color w:val="231F20"/>
        </w:rPr>
        <w:t>the</w:t>
      </w:r>
      <w:r>
        <w:rPr>
          <w:color w:val="231F20"/>
          <w:spacing w:val="-2"/>
        </w:rPr>
        <w:t> </w:t>
      </w:r>
      <w:r>
        <w:rPr>
          <w:color w:val="231F20"/>
        </w:rPr>
        <w:t>requested authority and by the requested authority to the person holding the infor- mation. Such a commendable work of integrating European Union leg- islative acts on the exchange of information, however, presents a serious weakness typical of all legal principles set out in case-law of any Supreme Court: the difficult accessibility by the persons interested in enforcing the such principles, which moreover are affirmed in judgments which are of- ten</w:t>
      </w:r>
      <w:r>
        <w:rPr>
          <w:color w:val="231F20"/>
          <w:spacing w:val="-2"/>
        </w:rPr>
        <w:t> </w:t>
      </w:r>
      <w:r>
        <w:rPr>
          <w:color w:val="231F20"/>
        </w:rPr>
        <w:t>extremely</w:t>
      </w:r>
      <w:r>
        <w:rPr>
          <w:color w:val="231F20"/>
          <w:spacing w:val="-2"/>
        </w:rPr>
        <w:t> </w:t>
      </w:r>
      <w:r>
        <w:rPr>
          <w:color w:val="231F20"/>
        </w:rPr>
        <w:t>complex</w:t>
      </w:r>
      <w:r>
        <w:rPr>
          <w:color w:val="231F20"/>
          <w:spacing w:val="-2"/>
        </w:rPr>
        <w:t> </w:t>
      </w:r>
      <w:r>
        <w:rPr>
          <w:color w:val="231F20"/>
        </w:rPr>
        <w:t>in</w:t>
      </w:r>
      <w:r>
        <w:rPr>
          <w:color w:val="231F20"/>
          <w:spacing w:val="-2"/>
        </w:rPr>
        <w:t> </w:t>
      </w:r>
      <w:r>
        <w:rPr>
          <w:color w:val="231F20"/>
        </w:rPr>
        <w:t>structure</w:t>
      </w:r>
      <w:r>
        <w:rPr>
          <w:color w:val="231F20"/>
          <w:spacing w:val="-2"/>
        </w:rPr>
        <w:t> </w:t>
      </w:r>
      <w:r>
        <w:rPr>
          <w:color w:val="231F20"/>
        </w:rPr>
        <w:t>and</w:t>
      </w:r>
      <w:r>
        <w:rPr>
          <w:color w:val="231F20"/>
          <w:spacing w:val="-2"/>
        </w:rPr>
        <w:t> </w:t>
      </w:r>
      <w:r>
        <w:rPr>
          <w:color w:val="231F20"/>
        </w:rPr>
        <w:t>reasoning.</w:t>
      </w:r>
      <w:r>
        <w:rPr>
          <w:color w:val="231F20"/>
          <w:spacing w:val="-2"/>
        </w:rPr>
        <w:t> </w:t>
      </w:r>
      <w:r>
        <w:rPr>
          <w:color w:val="231F20"/>
        </w:rPr>
        <w:t>It</w:t>
      </w:r>
      <w:r>
        <w:rPr>
          <w:color w:val="231F20"/>
          <w:spacing w:val="-2"/>
        </w:rPr>
        <w:t> </w:t>
      </w:r>
      <w:r>
        <w:rPr>
          <w:color w:val="231F20"/>
        </w:rPr>
        <w:t>is</w:t>
      </w:r>
      <w:r>
        <w:rPr>
          <w:color w:val="231F20"/>
          <w:spacing w:val="-2"/>
        </w:rPr>
        <w:t> </w:t>
      </w:r>
      <w:r>
        <w:rPr>
          <w:color w:val="231F20"/>
        </w:rPr>
        <w:t>therefore</w:t>
      </w:r>
      <w:r>
        <w:rPr>
          <w:color w:val="231F20"/>
          <w:spacing w:val="-2"/>
        </w:rPr>
        <w:t> </w:t>
      </w:r>
      <w:r>
        <w:rPr>
          <w:color w:val="231F20"/>
        </w:rPr>
        <w:t>necessary that</w:t>
      </w:r>
      <w:r>
        <w:rPr>
          <w:color w:val="231F20"/>
          <w:spacing w:val="-6"/>
        </w:rPr>
        <w:t> </w:t>
      </w:r>
      <w:r>
        <w:rPr>
          <w:color w:val="231F20"/>
        </w:rPr>
        <w:t>the</w:t>
      </w:r>
      <w:r>
        <w:rPr>
          <w:color w:val="231F20"/>
          <w:spacing w:val="-6"/>
        </w:rPr>
        <w:t> </w:t>
      </w:r>
      <w:r>
        <w:rPr>
          <w:color w:val="231F20"/>
        </w:rPr>
        <w:t>Union</w:t>
      </w:r>
      <w:r>
        <w:rPr>
          <w:color w:val="231F20"/>
          <w:spacing w:val="-6"/>
        </w:rPr>
        <w:t> </w:t>
      </w:r>
      <w:r>
        <w:rPr>
          <w:color w:val="231F20"/>
        </w:rPr>
        <w:t>legislator,</w:t>
      </w:r>
      <w:r>
        <w:rPr>
          <w:color w:val="231F20"/>
          <w:spacing w:val="-6"/>
        </w:rPr>
        <w:t> </w:t>
      </w:r>
      <w:r>
        <w:rPr>
          <w:color w:val="231F20"/>
        </w:rPr>
        <w:t>for</w:t>
      </w:r>
      <w:r>
        <w:rPr>
          <w:color w:val="231F20"/>
          <w:spacing w:val="-6"/>
        </w:rPr>
        <w:t> </w:t>
      </w:r>
      <w:r>
        <w:rPr>
          <w:color w:val="231F20"/>
        </w:rPr>
        <w:t>its</w:t>
      </w:r>
      <w:r>
        <w:rPr>
          <w:color w:val="231F20"/>
          <w:spacing w:val="-6"/>
        </w:rPr>
        <w:t> </w:t>
      </w:r>
      <w:r>
        <w:rPr>
          <w:color w:val="231F20"/>
        </w:rPr>
        <w:t>part,</w:t>
      </w:r>
      <w:r>
        <w:rPr>
          <w:color w:val="231F20"/>
          <w:spacing w:val="-6"/>
        </w:rPr>
        <w:t> </w:t>
      </w:r>
      <w:r>
        <w:rPr>
          <w:color w:val="231F20"/>
        </w:rPr>
        <w:t>completes</w:t>
      </w:r>
      <w:r>
        <w:rPr>
          <w:color w:val="231F20"/>
          <w:spacing w:val="-6"/>
        </w:rPr>
        <w:t> </w:t>
      </w:r>
      <w:r>
        <w:rPr>
          <w:color w:val="231F20"/>
        </w:rPr>
        <w:t>such</w:t>
      </w:r>
      <w:r>
        <w:rPr>
          <w:color w:val="231F20"/>
          <w:spacing w:val="-6"/>
        </w:rPr>
        <w:t> </w:t>
      </w:r>
      <w:r>
        <w:rPr>
          <w:color w:val="231F20"/>
        </w:rPr>
        <w:t>«integrative»</w:t>
      </w:r>
      <w:r>
        <w:rPr>
          <w:color w:val="231F20"/>
          <w:spacing w:val="-6"/>
        </w:rPr>
        <w:t> </w:t>
      </w:r>
      <w:r>
        <w:rPr>
          <w:color w:val="231F20"/>
        </w:rPr>
        <w:t>work</w:t>
      </w:r>
      <w:r>
        <w:rPr>
          <w:color w:val="231F20"/>
          <w:spacing w:val="-6"/>
        </w:rPr>
        <w:t> </w:t>
      </w:r>
      <w:r>
        <w:rPr>
          <w:color w:val="231F20"/>
        </w:rPr>
        <w:t>of the</w:t>
      </w:r>
      <w:r>
        <w:rPr>
          <w:color w:val="231F20"/>
          <w:spacing w:val="-2"/>
        </w:rPr>
        <w:t> </w:t>
      </w:r>
      <w:r>
        <w:rPr>
          <w:color w:val="231F20"/>
        </w:rPr>
        <w:t>Court</w:t>
      </w:r>
      <w:r>
        <w:rPr>
          <w:color w:val="231F20"/>
          <w:spacing w:val="-2"/>
        </w:rPr>
        <w:t> </w:t>
      </w:r>
      <w:r>
        <w:rPr>
          <w:color w:val="231F20"/>
        </w:rPr>
        <w:t>of</w:t>
      </w:r>
      <w:r>
        <w:rPr>
          <w:color w:val="231F20"/>
          <w:spacing w:val="-2"/>
        </w:rPr>
        <w:t> </w:t>
      </w:r>
      <w:r>
        <w:rPr>
          <w:color w:val="231F20"/>
        </w:rPr>
        <w:t>Justice</w:t>
      </w:r>
      <w:r>
        <w:rPr>
          <w:color w:val="231F20"/>
          <w:spacing w:val="-2"/>
        </w:rPr>
        <w:t> </w:t>
      </w:r>
      <w:r>
        <w:rPr>
          <w:color w:val="231F20"/>
        </w:rPr>
        <w:t>by</w:t>
      </w:r>
      <w:r>
        <w:rPr>
          <w:color w:val="231F20"/>
          <w:spacing w:val="-2"/>
        </w:rPr>
        <w:t> </w:t>
      </w:r>
      <w:r>
        <w:rPr>
          <w:color w:val="231F20"/>
        </w:rPr>
        <w:t>transposing</w:t>
      </w:r>
      <w:r>
        <w:rPr>
          <w:color w:val="231F20"/>
          <w:spacing w:val="-2"/>
        </w:rPr>
        <w:t> </w:t>
      </w:r>
      <w:r>
        <w:rPr>
          <w:color w:val="231F20"/>
        </w:rPr>
        <w:t>the</w:t>
      </w:r>
      <w:r>
        <w:rPr>
          <w:color w:val="231F20"/>
          <w:spacing w:val="-2"/>
        </w:rPr>
        <w:t> </w:t>
      </w:r>
      <w:r>
        <w:rPr>
          <w:color w:val="231F20"/>
        </w:rPr>
        <w:t>interpretative</w:t>
      </w:r>
      <w:r>
        <w:rPr>
          <w:color w:val="231F20"/>
          <w:spacing w:val="-2"/>
        </w:rPr>
        <w:t> </w:t>
      </w:r>
      <w:r>
        <w:rPr>
          <w:color w:val="231F20"/>
        </w:rPr>
        <w:t>principles</w:t>
      </w:r>
      <w:r>
        <w:rPr>
          <w:color w:val="231F20"/>
          <w:spacing w:val="-2"/>
        </w:rPr>
        <w:t> </w:t>
      </w:r>
      <w:r>
        <w:rPr>
          <w:color w:val="231F20"/>
        </w:rPr>
        <w:t>developed by the Union judges into legislative provisions easily accessible to private persons</w:t>
      </w:r>
      <w:r>
        <w:rPr>
          <w:color w:val="231F20"/>
          <w:position w:val="8"/>
          <w:sz w:val="14"/>
        </w:rPr>
        <w:t>48</w:t>
      </w:r>
      <w:r>
        <w:rPr>
          <w:color w:val="231F20"/>
        </w:rPr>
        <w:t>.</w:t>
      </w:r>
      <w:r>
        <w:rPr>
          <w:color w:val="231F20"/>
          <w:spacing w:val="-10"/>
        </w:rPr>
        <w:t> </w:t>
      </w:r>
      <w:r>
        <w:rPr>
          <w:color w:val="231F20"/>
        </w:rPr>
        <w:t>From</w:t>
      </w:r>
      <w:r>
        <w:rPr>
          <w:color w:val="231F20"/>
          <w:spacing w:val="-10"/>
        </w:rPr>
        <w:t> </w:t>
      </w:r>
      <w:r>
        <w:rPr>
          <w:color w:val="231F20"/>
        </w:rPr>
        <w:t>this</w:t>
      </w:r>
      <w:r>
        <w:rPr>
          <w:color w:val="231F20"/>
          <w:spacing w:val="-10"/>
        </w:rPr>
        <w:t> </w:t>
      </w:r>
      <w:r>
        <w:rPr>
          <w:color w:val="231F20"/>
        </w:rPr>
        <w:t>point</w:t>
      </w:r>
      <w:r>
        <w:rPr>
          <w:color w:val="231F20"/>
          <w:spacing w:val="-10"/>
        </w:rPr>
        <w:t> </w:t>
      </w:r>
      <w:r>
        <w:rPr>
          <w:color w:val="231F20"/>
        </w:rPr>
        <w:t>of</w:t>
      </w:r>
      <w:r>
        <w:rPr>
          <w:color w:val="231F20"/>
          <w:spacing w:val="-10"/>
        </w:rPr>
        <w:t> </w:t>
      </w:r>
      <w:r>
        <w:rPr>
          <w:color w:val="231F20"/>
        </w:rPr>
        <w:t>view,</w:t>
      </w:r>
      <w:r>
        <w:rPr>
          <w:color w:val="231F20"/>
          <w:spacing w:val="-10"/>
        </w:rPr>
        <w:t> </w:t>
      </w:r>
      <w:r>
        <w:rPr>
          <w:color w:val="231F20"/>
        </w:rPr>
        <w:t>the</w:t>
      </w:r>
      <w:r>
        <w:rPr>
          <w:color w:val="231F20"/>
          <w:spacing w:val="-10"/>
        </w:rPr>
        <w:t> </w:t>
      </w:r>
      <w:r>
        <w:rPr>
          <w:color w:val="231F20"/>
        </w:rPr>
        <w:t>two</w:t>
      </w:r>
      <w:r>
        <w:rPr>
          <w:color w:val="231F20"/>
          <w:spacing w:val="-10"/>
        </w:rPr>
        <w:t> </w:t>
      </w:r>
      <w:r>
        <w:rPr>
          <w:color w:val="231F20"/>
        </w:rPr>
        <w:t>amendments</w:t>
      </w:r>
      <w:r>
        <w:rPr>
          <w:color w:val="231F20"/>
          <w:spacing w:val="-10"/>
        </w:rPr>
        <w:t> </w:t>
      </w:r>
      <w:r>
        <w:rPr>
          <w:color w:val="231F20"/>
        </w:rPr>
        <w:t>introduced</w:t>
      </w:r>
      <w:r>
        <w:rPr>
          <w:color w:val="231F20"/>
          <w:spacing w:val="-10"/>
        </w:rPr>
        <w:t> </w:t>
      </w:r>
      <w:r>
        <w:rPr>
          <w:color w:val="231F20"/>
        </w:rPr>
        <w:t>by</w:t>
      </w:r>
      <w:r>
        <w:rPr>
          <w:color w:val="231F20"/>
          <w:spacing w:val="-10"/>
        </w:rPr>
        <w:t> </w:t>
      </w:r>
      <w:r>
        <w:rPr>
          <w:color w:val="231F20"/>
        </w:rPr>
        <w:t>the Council</w:t>
      </w:r>
      <w:r>
        <w:rPr>
          <w:color w:val="231F20"/>
          <w:spacing w:val="-7"/>
        </w:rPr>
        <w:t> </w:t>
      </w:r>
      <w:r>
        <w:rPr>
          <w:color w:val="231F20"/>
        </w:rPr>
        <w:t>of</w:t>
      </w:r>
      <w:r>
        <w:rPr>
          <w:color w:val="231F20"/>
          <w:spacing w:val="-7"/>
        </w:rPr>
        <w:t> </w:t>
      </w:r>
      <w:r>
        <w:rPr>
          <w:color w:val="231F20"/>
        </w:rPr>
        <w:t>the</w:t>
      </w:r>
      <w:r>
        <w:rPr>
          <w:color w:val="231F20"/>
          <w:spacing w:val="-6"/>
        </w:rPr>
        <w:t> </w:t>
      </w:r>
      <w:r>
        <w:rPr>
          <w:color w:val="231F20"/>
        </w:rPr>
        <w:t>Union</w:t>
      </w:r>
      <w:r>
        <w:rPr>
          <w:color w:val="231F20"/>
          <w:spacing w:val="-7"/>
        </w:rPr>
        <w:t> </w:t>
      </w:r>
      <w:r>
        <w:rPr>
          <w:color w:val="231F20"/>
        </w:rPr>
        <w:t>in</w:t>
      </w:r>
      <w:r>
        <w:rPr>
          <w:color w:val="231F20"/>
          <w:spacing w:val="-7"/>
        </w:rPr>
        <w:t> </w:t>
      </w:r>
      <w:r>
        <w:rPr>
          <w:color w:val="231F20"/>
        </w:rPr>
        <w:t>Directive</w:t>
      </w:r>
      <w:r>
        <w:rPr>
          <w:color w:val="231F20"/>
          <w:spacing w:val="-6"/>
        </w:rPr>
        <w:t> </w:t>
      </w:r>
      <w:r>
        <w:rPr>
          <w:color w:val="231F20"/>
        </w:rPr>
        <w:t>2011/16/EU</w:t>
      </w:r>
      <w:r>
        <w:rPr>
          <w:color w:val="231F20"/>
          <w:spacing w:val="-7"/>
        </w:rPr>
        <w:t> </w:t>
      </w:r>
      <w:r>
        <w:rPr>
          <w:color w:val="231F20"/>
        </w:rPr>
        <w:t>to</w:t>
      </w:r>
      <w:r>
        <w:rPr>
          <w:color w:val="231F20"/>
          <w:spacing w:val="-7"/>
        </w:rPr>
        <w:t> </w:t>
      </w:r>
      <w:r>
        <w:rPr>
          <w:color w:val="231F20"/>
        </w:rPr>
        <w:t>transpose</w:t>
      </w:r>
      <w:r>
        <w:rPr>
          <w:color w:val="231F20"/>
          <w:spacing w:val="-7"/>
        </w:rPr>
        <w:t> </w:t>
      </w:r>
      <w:r>
        <w:rPr>
          <w:color w:val="231F20"/>
        </w:rPr>
        <w:t>into</w:t>
      </w:r>
      <w:r>
        <w:rPr>
          <w:color w:val="231F20"/>
          <w:spacing w:val="-7"/>
        </w:rPr>
        <w:t> </w:t>
      </w:r>
      <w:r>
        <w:rPr>
          <w:color w:val="231F20"/>
        </w:rPr>
        <w:t>two</w:t>
      </w:r>
      <w:r>
        <w:rPr>
          <w:color w:val="231F20"/>
          <w:spacing w:val="-7"/>
        </w:rPr>
        <w:t> </w:t>
      </w:r>
      <w:r>
        <w:rPr>
          <w:color w:val="231F20"/>
        </w:rPr>
        <w:t>new provisions of this act, both the definition of «foreseeable relevance» of the information</w:t>
      </w:r>
      <w:r>
        <w:rPr>
          <w:color w:val="231F20"/>
          <w:spacing w:val="-4"/>
        </w:rPr>
        <w:t> </w:t>
      </w:r>
      <w:r>
        <w:rPr>
          <w:color w:val="231F20"/>
        </w:rPr>
        <w:t>requested</w:t>
      </w:r>
      <w:r>
        <w:rPr>
          <w:color w:val="231F20"/>
          <w:position w:val="8"/>
          <w:sz w:val="14"/>
        </w:rPr>
        <w:t>49</w:t>
      </w:r>
      <w:r>
        <w:rPr>
          <w:color w:val="231F20"/>
        </w:rPr>
        <w:t>,</w:t>
      </w:r>
      <w:r>
        <w:rPr>
          <w:color w:val="231F20"/>
          <w:spacing w:val="-4"/>
        </w:rPr>
        <w:t> </w:t>
      </w:r>
      <w:r>
        <w:rPr>
          <w:color w:val="231F20"/>
        </w:rPr>
        <w:t>and</w:t>
      </w:r>
      <w:r>
        <w:rPr>
          <w:color w:val="231F20"/>
          <w:spacing w:val="-3"/>
        </w:rPr>
        <w:t> </w:t>
      </w:r>
      <w:r>
        <w:rPr>
          <w:color w:val="231F20"/>
        </w:rPr>
        <w:t>the</w:t>
      </w:r>
      <w:r>
        <w:rPr>
          <w:color w:val="231F20"/>
          <w:spacing w:val="-4"/>
        </w:rPr>
        <w:t> </w:t>
      </w:r>
      <w:r>
        <w:rPr>
          <w:color w:val="231F20"/>
        </w:rPr>
        <w:t>exemption</w:t>
      </w:r>
      <w:r>
        <w:rPr>
          <w:color w:val="231F20"/>
          <w:spacing w:val="-3"/>
        </w:rPr>
        <w:t> </w:t>
      </w:r>
      <w:r>
        <w:rPr>
          <w:color w:val="231F20"/>
        </w:rPr>
        <w:t>for</w:t>
      </w:r>
      <w:r>
        <w:rPr>
          <w:color w:val="231F20"/>
          <w:spacing w:val="-4"/>
        </w:rPr>
        <w:t> </w:t>
      </w:r>
      <w:r>
        <w:rPr>
          <w:color w:val="231F20"/>
        </w:rPr>
        <w:t>the</w:t>
      </w:r>
      <w:r>
        <w:rPr>
          <w:color w:val="231F20"/>
          <w:spacing w:val="-3"/>
        </w:rPr>
        <w:t> </w:t>
      </w:r>
      <w:r>
        <w:rPr>
          <w:color w:val="231F20"/>
        </w:rPr>
        <w:t>intermediary</w:t>
      </w:r>
      <w:r>
        <w:rPr>
          <w:color w:val="231F20"/>
          <w:spacing w:val="-4"/>
        </w:rPr>
        <w:t> </w:t>
      </w:r>
      <w:r>
        <w:rPr>
          <w:color w:val="231F20"/>
        </w:rPr>
        <w:t>lawyer</w:t>
      </w:r>
      <w:r>
        <w:rPr>
          <w:color w:val="231F20"/>
          <w:spacing w:val="-3"/>
        </w:rPr>
        <w:t> </w:t>
      </w:r>
      <w:r>
        <w:rPr>
          <w:color w:val="231F20"/>
          <w:spacing w:val="-5"/>
        </w:rPr>
        <w:t>to</w:t>
      </w:r>
    </w:p>
    <w:p>
      <w:pPr>
        <w:pStyle w:val="BodyText"/>
        <w:spacing w:before="10"/>
        <w:rPr>
          <w:sz w:val="11"/>
        </w:rPr>
      </w:pPr>
      <w:r>
        <w:rPr/>
        <mc:AlternateContent>
          <mc:Choice Requires="wps">
            <w:drawing>
              <wp:anchor distT="0" distB="0" distL="0" distR="0" allowOverlap="1" layoutInCell="1" locked="0" behindDoc="1" simplePos="0" relativeHeight="487605248">
                <wp:simplePos x="0" y="0"/>
                <wp:positionH relativeFrom="page">
                  <wp:posOffset>864000</wp:posOffset>
                </wp:positionH>
                <wp:positionV relativeFrom="paragraph">
                  <wp:posOffset>110683</wp:posOffset>
                </wp:positionV>
                <wp:extent cx="792480" cy="1270"/>
                <wp:effectExtent l="0" t="0" r="0" b="0"/>
                <wp:wrapTopAndBottom/>
                <wp:docPr id="65" name="Graphic 65"/>
                <wp:cNvGraphicFramePr>
                  <a:graphicFrameLocks/>
                </wp:cNvGraphicFramePr>
                <a:graphic>
                  <a:graphicData uri="http://schemas.microsoft.com/office/word/2010/wordprocessingShape">
                    <wps:wsp>
                      <wps:cNvPr id="65" name="Graphic 65"/>
                      <wps:cNvSpPr/>
                      <wps:spPr>
                        <a:xfrm>
                          <a:off x="0" y="0"/>
                          <a:ext cx="792480" cy="1270"/>
                        </a:xfrm>
                        <a:custGeom>
                          <a:avLst/>
                          <a:gdLst/>
                          <a:ahLst/>
                          <a:cxnLst/>
                          <a:rect l="l" t="t" r="r" b="b"/>
                          <a:pathLst>
                            <a:path w="792480" h="0">
                              <a:moveTo>
                                <a:pt x="0" y="0"/>
                              </a:moveTo>
                              <a:lnTo>
                                <a:pt x="791997"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shape style="position:absolute;margin-left:68.031502pt;margin-top:8.71522pt;width:62.4pt;height:.1pt;mso-position-horizontal-relative:page;mso-position-vertical-relative:paragraph;z-index:-15711232;mso-wrap-distance-left:0;mso-wrap-distance-right:0" id="docshape54" coordorigin="1361,174" coordsize="1248,0" path="m1361,174l2608,174e" filled="false" stroked="true" strokeweight=".5pt" strokecolor="#231f20">
                <v:path arrowok="t"/>
                <v:stroke dashstyle="solid"/>
                <w10:wrap type="topAndBottom"/>
              </v:shape>
            </w:pict>
          </mc:Fallback>
        </mc:AlternateContent>
      </w:r>
    </w:p>
    <w:p>
      <w:pPr>
        <w:spacing w:line="225" w:lineRule="auto" w:before="201"/>
        <w:ind w:left="100" w:right="174" w:firstLine="0"/>
        <w:jc w:val="both"/>
        <w:rPr>
          <w:sz w:val="19"/>
        </w:rPr>
      </w:pPr>
      <w:r>
        <w:rPr>
          <w:color w:val="231F20"/>
          <w:position w:val="6"/>
          <w:sz w:val="11"/>
        </w:rPr>
        <w:t>48</w:t>
      </w:r>
      <w:r>
        <w:rPr>
          <w:color w:val="231F20"/>
          <w:spacing w:val="40"/>
          <w:position w:val="6"/>
          <w:sz w:val="11"/>
        </w:rPr>
        <w:t>  </w:t>
      </w:r>
      <w:r>
        <w:rPr>
          <w:color w:val="231F20"/>
          <w:sz w:val="19"/>
        </w:rPr>
        <w:t>This wish also applies to Directive 2010/24/EU with reference to the </w:t>
      </w:r>
      <w:r>
        <w:rPr>
          <w:i/>
          <w:color w:val="231F20"/>
          <w:sz w:val="19"/>
        </w:rPr>
        <w:t>Donnellan </w:t>
      </w:r>
      <w:r>
        <w:rPr>
          <w:color w:val="231F20"/>
          <w:sz w:val="19"/>
        </w:rPr>
        <w:t>ruling</w:t>
      </w:r>
      <w:r>
        <w:rPr>
          <w:color w:val="231F20"/>
          <w:spacing w:val="80"/>
          <w:sz w:val="19"/>
        </w:rPr>
        <w:t> </w:t>
      </w:r>
      <w:r>
        <w:rPr>
          <w:color w:val="231F20"/>
          <w:sz w:val="19"/>
        </w:rPr>
        <w:t>C-34/17,</w:t>
      </w:r>
      <w:r>
        <w:rPr>
          <w:color w:val="231F20"/>
          <w:spacing w:val="-1"/>
          <w:sz w:val="19"/>
        </w:rPr>
        <w:t> </w:t>
      </w:r>
      <w:r>
        <w:rPr>
          <w:color w:val="231F20"/>
          <w:sz w:val="19"/>
        </w:rPr>
        <w:t>where</w:t>
      </w:r>
      <w:r>
        <w:rPr>
          <w:color w:val="231F20"/>
          <w:spacing w:val="-1"/>
          <w:sz w:val="19"/>
        </w:rPr>
        <w:t> </w:t>
      </w:r>
      <w:r>
        <w:rPr>
          <w:color w:val="231F20"/>
          <w:sz w:val="19"/>
        </w:rPr>
        <w:t>the</w:t>
      </w:r>
      <w:r>
        <w:rPr>
          <w:color w:val="231F20"/>
          <w:spacing w:val="-1"/>
          <w:sz w:val="19"/>
        </w:rPr>
        <w:t> </w:t>
      </w:r>
      <w:r>
        <w:rPr>
          <w:color w:val="231F20"/>
          <w:sz w:val="19"/>
        </w:rPr>
        <w:t>Court</w:t>
      </w:r>
      <w:r>
        <w:rPr>
          <w:color w:val="231F20"/>
          <w:spacing w:val="-1"/>
          <w:sz w:val="19"/>
        </w:rPr>
        <w:t> </w:t>
      </w:r>
      <w:r>
        <w:rPr>
          <w:color w:val="231F20"/>
          <w:sz w:val="19"/>
        </w:rPr>
        <w:t>of</w:t>
      </w:r>
      <w:r>
        <w:rPr>
          <w:color w:val="231F20"/>
          <w:spacing w:val="-1"/>
          <w:sz w:val="19"/>
        </w:rPr>
        <w:t> </w:t>
      </w:r>
      <w:r>
        <w:rPr>
          <w:color w:val="231F20"/>
          <w:sz w:val="19"/>
        </w:rPr>
        <w:t>Justice</w:t>
      </w:r>
      <w:r>
        <w:rPr>
          <w:color w:val="231F20"/>
          <w:spacing w:val="-1"/>
          <w:sz w:val="19"/>
        </w:rPr>
        <w:t> </w:t>
      </w:r>
      <w:r>
        <w:rPr>
          <w:color w:val="231F20"/>
          <w:sz w:val="19"/>
        </w:rPr>
        <w:t>added</w:t>
      </w:r>
      <w:r>
        <w:rPr>
          <w:color w:val="231F20"/>
          <w:spacing w:val="-1"/>
          <w:sz w:val="19"/>
        </w:rPr>
        <w:t> </w:t>
      </w:r>
      <w:r>
        <w:rPr>
          <w:color w:val="231F20"/>
          <w:sz w:val="19"/>
        </w:rPr>
        <w:t>for</w:t>
      </w:r>
      <w:r>
        <w:rPr>
          <w:color w:val="231F20"/>
          <w:spacing w:val="-1"/>
          <w:sz w:val="19"/>
        </w:rPr>
        <w:t> </w:t>
      </w:r>
      <w:r>
        <w:rPr>
          <w:color w:val="231F20"/>
          <w:sz w:val="19"/>
        </w:rPr>
        <w:t>the</w:t>
      </w:r>
      <w:r>
        <w:rPr>
          <w:color w:val="231F20"/>
          <w:spacing w:val="-1"/>
          <w:sz w:val="19"/>
        </w:rPr>
        <w:t> </w:t>
      </w:r>
      <w:r>
        <w:rPr>
          <w:color w:val="231F20"/>
          <w:sz w:val="19"/>
        </w:rPr>
        <w:t>Member</w:t>
      </w:r>
      <w:r>
        <w:rPr>
          <w:color w:val="231F20"/>
          <w:spacing w:val="-1"/>
          <w:sz w:val="19"/>
        </w:rPr>
        <w:t> </w:t>
      </w:r>
      <w:r>
        <w:rPr>
          <w:color w:val="231F20"/>
          <w:sz w:val="19"/>
        </w:rPr>
        <w:t>State</w:t>
      </w:r>
      <w:r>
        <w:rPr>
          <w:color w:val="231F20"/>
          <w:spacing w:val="-1"/>
          <w:sz w:val="19"/>
        </w:rPr>
        <w:t> </w:t>
      </w:r>
      <w:r>
        <w:rPr>
          <w:color w:val="231F20"/>
          <w:sz w:val="19"/>
        </w:rPr>
        <w:t>of</w:t>
      </w:r>
      <w:r>
        <w:rPr>
          <w:color w:val="231F20"/>
          <w:spacing w:val="-1"/>
          <w:sz w:val="19"/>
        </w:rPr>
        <w:t> </w:t>
      </w:r>
      <w:r>
        <w:rPr>
          <w:color w:val="231F20"/>
          <w:sz w:val="19"/>
        </w:rPr>
        <w:t>the</w:t>
      </w:r>
      <w:r>
        <w:rPr>
          <w:color w:val="231F20"/>
          <w:spacing w:val="-1"/>
          <w:sz w:val="19"/>
        </w:rPr>
        <w:t> </w:t>
      </w:r>
      <w:r>
        <w:rPr>
          <w:color w:val="231F20"/>
          <w:sz w:val="19"/>
        </w:rPr>
        <w:t>requesting</w:t>
      </w:r>
      <w:r>
        <w:rPr>
          <w:color w:val="231F20"/>
          <w:spacing w:val="-1"/>
          <w:sz w:val="19"/>
        </w:rPr>
        <w:t> </w:t>
      </w:r>
      <w:r>
        <w:rPr>
          <w:color w:val="231F20"/>
          <w:sz w:val="19"/>
        </w:rPr>
        <w:t>authority, on the basis of art. 47 of the Charter of Fundamental Rights, the obligation to inform in advance the tax debtor of the very existence of the related tax claim, so to allow him, if he deems</w:t>
      </w:r>
      <w:r>
        <w:rPr>
          <w:color w:val="231F20"/>
          <w:spacing w:val="-3"/>
          <w:sz w:val="19"/>
        </w:rPr>
        <w:t> </w:t>
      </w:r>
      <w:r>
        <w:rPr>
          <w:color w:val="231F20"/>
          <w:sz w:val="19"/>
        </w:rPr>
        <w:t>it</w:t>
      </w:r>
      <w:r>
        <w:rPr>
          <w:color w:val="231F20"/>
          <w:spacing w:val="-3"/>
          <w:sz w:val="19"/>
        </w:rPr>
        <w:t> </w:t>
      </w:r>
      <w:r>
        <w:rPr>
          <w:color w:val="231F20"/>
          <w:sz w:val="19"/>
        </w:rPr>
        <w:t>appropriate,</w:t>
      </w:r>
      <w:r>
        <w:rPr>
          <w:color w:val="231F20"/>
          <w:spacing w:val="-3"/>
          <w:sz w:val="19"/>
        </w:rPr>
        <w:t> </w:t>
      </w:r>
      <w:r>
        <w:rPr>
          <w:color w:val="231F20"/>
          <w:sz w:val="19"/>
        </w:rPr>
        <w:t>to</w:t>
      </w:r>
      <w:r>
        <w:rPr>
          <w:color w:val="231F20"/>
          <w:spacing w:val="-3"/>
          <w:sz w:val="19"/>
        </w:rPr>
        <w:t> </w:t>
      </w:r>
      <w:r>
        <w:rPr>
          <w:color w:val="231F20"/>
          <w:sz w:val="19"/>
        </w:rPr>
        <w:t>challenge</w:t>
      </w:r>
      <w:r>
        <w:rPr>
          <w:color w:val="231F20"/>
          <w:spacing w:val="-3"/>
          <w:sz w:val="19"/>
        </w:rPr>
        <w:t> </w:t>
      </w:r>
      <w:r>
        <w:rPr>
          <w:color w:val="231F20"/>
          <w:sz w:val="19"/>
        </w:rPr>
        <w:t>such</w:t>
      </w:r>
      <w:r>
        <w:rPr>
          <w:color w:val="231F20"/>
          <w:spacing w:val="-3"/>
          <w:sz w:val="19"/>
        </w:rPr>
        <w:t> </w:t>
      </w:r>
      <w:r>
        <w:rPr>
          <w:color w:val="231F20"/>
          <w:sz w:val="19"/>
        </w:rPr>
        <w:t>tax</w:t>
      </w:r>
      <w:r>
        <w:rPr>
          <w:color w:val="231F20"/>
          <w:spacing w:val="-3"/>
          <w:sz w:val="19"/>
        </w:rPr>
        <w:t> </w:t>
      </w:r>
      <w:r>
        <w:rPr>
          <w:color w:val="231F20"/>
          <w:sz w:val="19"/>
        </w:rPr>
        <w:t>claim</w:t>
      </w:r>
      <w:r>
        <w:rPr>
          <w:color w:val="231F20"/>
          <w:spacing w:val="-3"/>
          <w:sz w:val="19"/>
        </w:rPr>
        <w:t> </w:t>
      </w:r>
      <w:r>
        <w:rPr>
          <w:color w:val="231F20"/>
          <w:sz w:val="19"/>
        </w:rPr>
        <w:t>before</w:t>
      </w:r>
      <w:r>
        <w:rPr>
          <w:color w:val="231F20"/>
          <w:spacing w:val="-3"/>
          <w:sz w:val="19"/>
        </w:rPr>
        <w:t> </w:t>
      </w:r>
      <w:r>
        <w:rPr>
          <w:color w:val="231F20"/>
          <w:sz w:val="19"/>
        </w:rPr>
        <w:t>a</w:t>
      </w:r>
      <w:r>
        <w:rPr>
          <w:color w:val="231F20"/>
          <w:spacing w:val="-3"/>
          <w:sz w:val="19"/>
        </w:rPr>
        <w:t> </w:t>
      </w:r>
      <w:r>
        <w:rPr>
          <w:color w:val="231F20"/>
          <w:sz w:val="19"/>
        </w:rPr>
        <w:t>judge</w:t>
      </w:r>
      <w:r>
        <w:rPr>
          <w:color w:val="231F20"/>
          <w:spacing w:val="-3"/>
          <w:sz w:val="19"/>
        </w:rPr>
        <w:t> </w:t>
      </w:r>
      <w:r>
        <w:rPr>
          <w:color w:val="231F20"/>
          <w:sz w:val="19"/>
        </w:rPr>
        <w:t>of</w:t>
      </w:r>
      <w:r>
        <w:rPr>
          <w:color w:val="231F20"/>
          <w:spacing w:val="-3"/>
          <w:sz w:val="19"/>
        </w:rPr>
        <w:t> </w:t>
      </w:r>
      <w:r>
        <w:rPr>
          <w:color w:val="231F20"/>
          <w:sz w:val="19"/>
        </w:rPr>
        <w:t>that</w:t>
      </w:r>
      <w:r>
        <w:rPr>
          <w:color w:val="231F20"/>
          <w:spacing w:val="-3"/>
          <w:sz w:val="19"/>
        </w:rPr>
        <w:t> </w:t>
      </w:r>
      <w:r>
        <w:rPr>
          <w:color w:val="231F20"/>
          <w:sz w:val="19"/>
        </w:rPr>
        <w:t>same</w:t>
      </w:r>
      <w:r>
        <w:rPr>
          <w:color w:val="231F20"/>
          <w:spacing w:val="-3"/>
          <w:sz w:val="19"/>
        </w:rPr>
        <w:t> </w:t>
      </w:r>
      <w:r>
        <w:rPr>
          <w:color w:val="231F20"/>
          <w:sz w:val="19"/>
        </w:rPr>
        <w:t>Member</w:t>
      </w:r>
      <w:r>
        <w:rPr>
          <w:color w:val="231F20"/>
          <w:spacing w:val="-3"/>
          <w:sz w:val="19"/>
        </w:rPr>
        <w:t> </w:t>
      </w:r>
      <w:r>
        <w:rPr>
          <w:color w:val="231F20"/>
          <w:sz w:val="19"/>
        </w:rPr>
        <w:t>State</w:t>
      </w:r>
      <w:r>
        <w:rPr>
          <w:color w:val="231F20"/>
          <w:spacing w:val="-3"/>
          <w:sz w:val="19"/>
        </w:rPr>
        <w:t> </w:t>
      </w:r>
      <w:r>
        <w:rPr>
          <w:color w:val="231F20"/>
          <w:sz w:val="19"/>
        </w:rPr>
        <w:t>in application of the art. 11 of the same directive.</w:t>
      </w:r>
    </w:p>
    <w:p>
      <w:pPr>
        <w:spacing w:line="225" w:lineRule="auto" w:before="6"/>
        <w:ind w:left="100" w:right="174" w:firstLine="0"/>
        <w:jc w:val="both"/>
        <w:rPr>
          <w:sz w:val="19"/>
        </w:rPr>
      </w:pPr>
      <w:r>
        <w:rPr>
          <w:color w:val="231F20"/>
          <w:position w:val="6"/>
          <w:sz w:val="11"/>
        </w:rPr>
        <w:t>49</w:t>
      </w:r>
      <w:r>
        <w:rPr>
          <w:color w:val="231F20"/>
          <w:spacing w:val="80"/>
          <w:position w:val="6"/>
          <w:sz w:val="11"/>
        </w:rPr>
        <w:t> </w:t>
      </w:r>
      <w:r>
        <w:rPr>
          <w:color w:val="231F20"/>
          <w:sz w:val="19"/>
        </w:rPr>
        <w:t>Definition provided in the </w:t>
      </w:r>
      <w:r>
        <w:rPr>
          <w:i/>
          <w:color w:val="231F20"/>
          <w:sz w:val="19"/>
        </w:rPr>
        <w:t>Berlioz </w:t>
      </w:r>
      <w:r>
        <w:rPr>
          <w:color w:val="231F20"/>
          <w:sz w:val="19"/>
        </w:rPr>
        <w:t>C-682/15 and C-245/19 «B» rulings examined above. The</w:t>
      </w:r>
      <w:r>
        <w:rPr>
          <w:color w:val="231F20"/>
          <w:spacing w:val="-6"/>
          <w:sz w:val="19"/>
        </w:rPr>
        <w:t> </w:t>
      </w:r>
      <w:r>
        <w:rPr>
          <w:color w:val="231F20"/>
          <w:sz w:val="19"/>
        </w:rPr>
        <w:t>provision</w:t>
      </w:r>
      <w:r>
        <w:rPr>
          <w:color w:val="231F20"/>
          <w:spacing w:val="-6"/>
          <w:sz w:val="19"/>
        </w:rPr>
        <w:t> </w:t>
      </w:r>
      <w:r>
        <w:rPr>
          <w:color w:val="231F20"/>
          <w:sz w:val="19"/>
        </w:rPr>
        <w:t>added</w:t>
      </w:r>
      <w:r>
        <w:rPr>
          <w:color w:val="231F20"/>
          <w:spacing w:val="-6"/>
          <w:sz w:val="19"/>
        </w:rPr>
        <w:t> </w:t>
      </w:r>
      <w:r>
        <w:rPr>
          <w:color w:val="231F20"/>
          <w:sz w:val="19"/>
        </w:rPr>
        <w:t>in</w:t>
      </w:r>
      <w:r>
        <w:rPr>
          <w:color w:val="231F20"/>
          <w:spacing w:val="-6"/>
          <w:sz w:val="19"/>
        </w:rPr>
        <w:t> </w:t>
      </w:r>
      <w:r>
        <w:rPr>
          <w:color w:val="231F20"/>
          <w:sz w:val="19"/>
        </w:rPr>
        <w:t>Directive</w:t>
      </w:r>
      <w:r>
        <w:rPr>
          <w:color w:val="231F20"/>
          <w:spacing w:val="-6"/>
          <w:sz w:val="19"/>
        </w:rPr>
        <w:t> </w:t>
      </w:r>
      <w:r>
        <w:rPr>
          <w:color w:val="231F20"/>
          <w:sz w:val="19"/>
        </w:rPr>
        <w:t>2011/16/EU</w:t>
      </w:r>
      <w:r>
        <w:rPr>
          <w:color w:val="231F20"/>
          <w:spacing w:val="-6"/>
          <w:sz w:val="19"/>
        </w:rPr>
        <w:t> </w:t>
      </w:r>
      <w:r>
        <w:rPr>
          <w:color w:val="231F20"/>
          <w:sz w:val="19"/>
        </w:rPr>
        <w:t>is</w:t>
      </w:r>
      <w:r>
        <w:rPr>
          <w:color w:val="231F20"/>
          <w:spacing w:val="-6"/>
          <w:sz w:val="19"/>
        </w:rPr>
        <w:t> </w:t>
      </w:r>
      <w:r>
        <w:rPr>
          <w:color w:val="231F20"/>
          <w:sz w:val="19"/>
        </w:rPr>
        <w:t>art.</w:t>
      </w:r>
      <w:r>
        <w:rPr>
          <w:color w:val="231F20"/>
          <w:spacing w:val="-6"/>
          <w:sz w:val="19"/>
        </w:rPr>
        <w:t> </w:t>
      </w:r>
      <w:r>
        <w:rPr>
          <w:color w:val="231F20"/>
          <w:sz w:val="19"/>
        </w:rPr>
        <w:t>5a</w:t>
      </w:r>
      <w:r>
        <w:rPr>
          <w:color w:val="231F20"/>
          <w:spacing w:val="-6"/>
          <w:sz w:val="19"/>
        </w:rPr>
        <w:t> </w:t>
      </w:r>
      <w:r>
        <w:rPr>
          <w:color w:val="231F20"/>
          <w:sz w:val="19"/>
        </w:rPr>
        <w:t>«Foreseeable</w:t>
      </w:r>
      <w:r>
        <w:rPr>
          <w:color w:val="231F20"/>
          <w:spacing w:val="-6"/>
          <w:sz w:val="19"/>
        </w:rPr>
        <w:t> </w:t>
      </w:r>
      <w:r>
        <w:rPr>
          <w:color w:val="231F20"/>
          <w:sz w:val="19"/>
        </w:rPr>
        <w:t>relevance»</w:t>
      </w:r>
      <w:r>
        <w:rPr>
          <w:color w:val="231F20"/>
          <w:spacing w:val="-6"/>
          <w:sz w:val="19"/>
        </w:rPr>
        <w:t> </w:t>
      </w:r>
      <w:r>
        <w:rPr>
          <w:color w:val="231F20"/>
          <w:sz w:val="19"/>
        </w:rPr>
        <w:t>(paragraphs</w:t>
      </w:r>
      <w:r>
        <w:rPr>
          <w:color w:val="231F20"/>
          <w:spacing w:val="-6"/>
          <w:sz w:val="19"/>
        </w:rPr>
        <w:t> </w:t>
      </w:r>
      <w:r>
        <w:rPr>
          <w:color w:val="231F20"/>
          <w:sz w:val="19"/>
        </w:rPr>
        <w:t>1 and</w:t>
      </w:r>
      <w:r>
        <w:rPr>
          <w:color w:val="231F20"/>
          <w:spacing w:val="1"/>
          <w:sz w:val="19"/>
        </w:rPr>
        <w:t> </w:t>
      </w:r>
      <w:r>
        <w:rPr>
          <w:color w:val="231F20"/>
          <w:sz w:val="19"/>
        </w:rPr>
        <w:t>2),</w:t>
      </w:r>
      <w:r>
        <w:rPr>
          <w:color w:val="231F20"/>
          <w:spacing w:val="1"/>
          <w:sz w:val="19"/>
        </w:rPr>
        <w:t> </w:t>
      </w:r>
      <w:r>
        <w:rPr>
          <w:color w:val="231F20"/>
          <w:sz w:val="19"/>
        </w:rPr>
        <w:t>which</w:t>
      </w:r>
      <w:r>
        <w:rPr>
          <w:color w:val="231F20"/>
          <w:spacing w:val="1"/>
          <w:sz w:val="19"/>
        </w:rPr>
        <w:t> </w:t>
      </w:r>
      <w:r>
        <w:rPr>
          <w:color w:val="231F20"/>
          <w:sz w:val="19"/>
        </w:rPr>
        <w:t>furthermore</w:t>
      </w:r>
      <w:r>
        <w:rPr>
          <w:color w:val="231F20"/>
          <w:spacing w:val="1"/>
          <w:sz w:val="19"/>
        </w:rPr>
        <w:t> </w:t>
      </w:r>
      <w:r>
        <w:rPr>
          <w:color w:val="231F20"/>
          <w:sz w:val="19"/>
        </w:rPr>
        <w:t>in</w:t>
      </w:r>
      <w:r>
        <w:rPr>
          <w:color w:val="231F20"/>
          <w:spacing w:val="1"/>
          <w:sz w:val="19"/>
        </w:rPr>
        <w:t> </w:t>
      </w:r>
      <w:r>
        <w:rPr>
          <w:color w:val="231F20"/>
          <w:sz w:val="19"/>
        </w:rPr>
        <w:t>its</w:t>
      </w:r>
      <w:r>
        <w:rPr>
          <w:color w:val="231F20"/>
          <w:spacing w:val="1"/>
          <w:sz w:val="19"/>
        </w:rPr>
        <w:t> </w:t>
      </w:r>
      <w:r>
        <w:rPr>
          <w:color w:val="231F20"/>
          <w:sz w:val="19"/>
        </w:rPr>
        <w:t>par.</w:t>
      </w:r>
      <w:r>
        <w:rPr>
          <w:color w:val="231F20"/>
          <w:spacing w:val="1"/>
          <w:sz w:val="19"/>
        </w:rPr>
        <w:t> </w:t>
      </w:r>
      <w:r>
        <w:rPr>
          <w:color w:val="231F20"/>
          <w:sz w:val="19"/>
        </w:rPr>
        <w:t>3</w:t>
      </w:r>
      <w:r>
        <w:rPr>
          <w:color w:val="231F20"/>
          <w:spacing w:val="1"/>
          <w:sz w:val="19"/>
        </w:rPr>
        <w:t> </w:t>
      </w:r>
      <w:r>
        <w:rPr>
          <w:color w:val="231F20"/>
          <w:sz w:val="19"/>
        </w:rPr>
        <w:t>transposes</w:t>
      </w:r>
      <w:r>
        <w:rPr>
          <w:color w:val="231F20"/>
          <w:spacing w:val="2"/>
          <w:sz w:val="19"/>
        </w:rPr>
        <w:t> </w:t>
      </w:r>
      <w:r>
        <w:rPr>
          <w:color w:val="231F20"/>
          <w:sz w:val="19"/>
        </w:rPr>
        <w:t>into</w:t>
      </w:r>
      <w:r>
        <w:rPr>
          <w:color w:val="231F20"/>
          <w:spacing w:val="1"/>
          <w:sz w:val="19"/>
        </w:rPr>
        <w:t> </w:t>
      </w:r>
      <w:r>
        <w:rPr>
          <w:color w:val="231F20"/>
          <w:sz w:val="19"/>
        </w:rPr>
        <w:t>a</w:t>
      </w:r>
      <w:r>
        <w:rPr>
          <w:color w:val="231F20"/>
          <w:spacing w:val="1"/>
          <w:sz w:val="19"/>
        </w:rPr>
        <w:t> </w:t>
      </w:r>
      <w:r>
        <w:rPr>
          <w:color w:val="231F20"/>
          <w:sz w:val="19"/>
        </w:rPr>
        <w:t>legislative</w:t>
      </w:r>
      <w:r>
        <w:rPr>
          <w:color w:val="231F20"/>
          <w:spacing w:val="1"/>
          <w:sz w:val="19"/>
        </w:rPr>
        <w:t> </w:t>
      </w:r>
      <w:r>
        <w:rPr>
          <w:color w:val="231F20"/>
          <w:sz w:val="19"/>
        </w:rPr>
        <w:t>provision</w:t>
      </w:r>
      <w:r>
        <w:rPr>
          <w:color w:val="231F20"/>
          <w:spacing w:val="1"/>
          <w:sz w:val="19"/>
        </w:rPr>
        <w:t> </w:t>
      </w:r>
      <w:r>
        <w:rPr>
          <w:color w:val="231F20"/>
          <w:sz w:val="19"/>
        </w:rPr>
        <w:t>the</w:t>
      </w:r>
      <w:r>
        <w:rPr>
          <w:color w:val="231F20"/>
          <w:spacing w:val="1"/>
          <w:sz w:val="19"/>
        </w:rPr>
        <w:t> </w:t>
      </w:r>
      <w:r>
        <w:rPr>
          <w:color w:val="231F20"/>
          <w:sz w:val="19"/>
        </w:rPr>
        <w:t>definition</w:t>
      </w:r>
      <w:r>
        <w:rPr>
          <w:color w:val="231F20"/>
          <w:spacing w:val="1"/>
          <w:sz w:val="19"/>
        </w:rPr>
        <w:t> </w:t>
      </w:r>
      <w:r>
        <w:rPr>
          <w:color w:val="231F20"/>
          <w:spacing w:val="-5"/>
          <w:sz w:val="19"/>
        </w:rPr>
        <w:t>of</w:t>
      </w:r>
    </w:p>
    <w:p>
      <w:pPr>
        <w:spacing w:line="225" w:lineRule="auto" w:before="3"/>
        <w:ind w:left="100" w:right="174" w:firstLine="0"/>
        <w:jc w:val="both"/>
        <w:rPr>
          <w:sz w:val="19"/>
        </w:rPr>
      </w:pPr>
      <w:r>
        <w:rPr>
          <w:color w:val="231F20"/>
          <w:sz w:val="19"/>
        </w:rPr>
        <w:t>«group</w:t>
      </w:r>
      <w:r>
        <w:rPr>
          <w:color w:val="231F20"/>
          <w:spacing w:val="-12"/>
          <w:sz w:val="19"/>
        </w:rPr>
        <w:t> </w:t>
      </w:r>
      <w:r>
        <w:rPr>
          <w:color w:val="231F20"/>
          <w:sz w:val="19"/>
        </w:rPr>
        <w:t>of</w:t>
      </w:r>
      <w:r>
        <w:rPr>
          <w:color w:val="231F20"/>
          <w:spacing w:val="-12"/>
          <w:sz w:val="19"/>
        </w:rPr>
        <w:t> </w:t>
      </w:r>
      <w:r>
        <w:rPr>
          <w:color w:val="231F20"/>
          <w:sz w:val="19"/>
        </w:rPr>
        <w:t>taxpayers</w:t>
      </w:r>
      <w:r>
        <w:rPr>
          <w:color w:val="231F20"/>
          <w:spacing w:val="-12"/>
          <w:sz w:val="19"/>
        </w:rPr>
        <w:t> </w:t>
      </w:r>
      <w:r>
        <w:rPr>
          <w:color w:val="231F20"/>
          <w:sz w:val="19"/>
        </w:rPr>
        <w:t>who</w:t>
      </w:r>
      <w:r>
        <w:rPr>
          <w:color w:val="231F20"/>
          <w:spacing w:val="-12"/>
          <w:sz w:val="19"/>
        </w:rPr>
        <w:t> </w:t>
      </w:r>
      <w:r>
        <w:rPr>
          <w:color w:val="231F20"/>
          <w:sz w:val="19"/>
        </w:rPr>
        <w:t>cannot</w:t>
      </w:r>
      <w:r>
        <w:rPr>
          <w:color w:val="231F20"/>
          <w:spacing w:val="-12"/>
          <w:sz w:val="19"/>
        </w:rPr>
        <w:t> </w:t>
      </w:r>
      <w:r>
        <w:rPr>
          <w:color w:val="231F20"/>
          <w:sz w:val="19"/>
        </w:rPr>
        <w:t>be</w:t>
      </w:r>
      <w:r>
        <w:rPr>
          <w:color w:val="231F20"/>
          <w:spacing w:val="-12"/>
          <w:sz w:val="19"/>
        </w:rPr>
        <w:t> </w:t>
      </w:r>
      <w:r>
        <w:rPr>
          <w:color w:val="231F20"/>
          <w:sz w:val="19"/>
        </w:rPr>
        <w:t>identified</w:t>
      </w:r>
      <w:r>
        <w:rPr>
          <w:color w:val="231F20"/>
          <w:spacing w:val="-12"/>
          <w:sz w:val="19"/>
        </w:rPr>
        <w:t> </w:t>
      </w:r>
      <w:r>
        <w:rPr>
          <w:color w:val="231F20"/>
          <w:sz w:val="19"/>
        </w:rPr>
        <w:t>individually»</w:t>
      </w:r>
      <w:r>
        <w:rPr>
          <w:color w:val="231F20"/>
          <w:spacing w:val="-11"/>
          <w:sz w:val="19"/>
        </w:rPr>
        <w:t> </w:t>
      </w:r>
      <w:r>
        <w:rPr>
          <w:color w:val="231F20"/>
          <w:sz w:val="19"/>
        </w:rPr>
        <w:t>developed</w:t>
      </w:r>
      <w:r>
        <w:rPr>
          <w:color w:val="231F20"/>
          <w:spacing w:val="-12"/>
          <w:sz w:val="19"/>
        </w:rPr>
        <w:t> </w:t>
      </w:r>
      <w:r>
        <w:rPr>
          <w:color w:val="231F20"/>
          <w:sz w:val="19"/>
        </w:rPr>
        <w:t>by</w:t>
      </w:r>
      <w:r>
        <w:rPr>
          <w:color w:val="231F20"/>
          <w:spacing w:val="-12"/>
          <w:sz w:val="19"/>
        </w:rPr>
        <w:t> </w:t>
      </w:r>
      <w:r>
        <w:rPr>
          <w:color w:val="231F20"/>
          <w:sz w:val="19"/>
        </w:rPr>
        <w:t>the</w:t>
      </w:r>
      <w:r>
        <w:rPr>
          <w:color w:val="231F20"/>
          <w:spacing w:val="-12"/>
          <w:sz w:val="19"/>
        </w:rPr>
        <w:t> </w:t>
      </w:r>
      <w:r>
        <w:rPr>
          <w:color w:val="231F20"/>
          <w:sz w:val="19"/>
        </w:rPr>
        <w:t>Court</w:t>
      </w:r>
      <w:r>
        <w:rPr>
          <w:color w:val="231F20"/>
          <w:spacing w:val="-12"/>
          <w:sz w:val="19"/>
        </w:rPr>
        <w:t> </w:t>
      </w:r>
      <w:r>
        <w:rPr>
          <w:color w:val="231F20"/>
          <w:sz w:val="19"/>
        </w:rPr>
        <w:t>of</w:t>
      </w:r>
      <w:r>
        <w:rPr>
          <w:color w:val="231F20"/>
          <w:spacing w:val="-12"/>
          <w:sz w:val="19"/>
        </w:rPr>
        <w:t> </w:t>
      </w:r>
      <w:r>
        <w:rPr>
          <w:color w:val="231F20"/>
          <w:sz w:val="19"/>
        </w:rPr>
        <w:t>Justice</w:t>
      </w:r>
      <w:r>
        <w:rPr>
          <w:color w:val="231F20"/>
          <w:spacing w:val="-12"/>
          <w:sz w:val="19"/>
        </w:rPr>
        <w:t> </w:t>
      </w:r>
      <w:r>
        <w:rPr>
          <w:color w:val="231F20"/>
          <w:sz w:val="19"/>
        </w:rPr>
        <w:t>in the</w:t>
      </w:r>
      <w:r>
        <w:rPr>
          <w:color w:val="231F20"/>
          <w:spacing w:val="-5"/>
          <w:sz w:val="19"/>
        </w:rPr>
        <w:t> </w:t>
      </w:r>
      <w:r>
        <w:rPr>
          <w:color w:val="231F20"/>
          <w:sz w:val="19"/>
        </w:rPr>
        <w:t>judgments</w:t>
      </w:r>
      <w:r>
        <w:rPr>
          <w:color w:val="231F20"/>
          <w:spacing w:val="-5"/>
          <w:sz w:val="19"/>
        </w:rPr>
        <w:t> </w:t>
      </w:r>
      <w:r>
        <w:rPr>
          <w:color w:val="231F20"/>
          <w:sz w:val="19"/>
        </w:rPr>
        <w:t>C-245/19</w:t>
      </w:r>
      <w:r>
        <w:rPr>
          <w:color w:val="231F20"/>
          <w:spacing w:val="-5"/>
          <w:sz w:val="19"/>
        </w:rPr>
        <w:t> </w:t>
      </w:r>
      <w:r>
        <w:rPr>
          <w:color w:val="231F20"/>
          <w:sz w:val="19"/>
        </w:rPr>
        <w:t>and</w:t>
      </w:r>
      <w:r>
        <w:rPr>
          <w:color w:val="231F20"/>
          <w:spacing w:val="-5"/>
          <w:sz w:val="19"/>
        </w:rPr>
        <w:t> </w:t>
      </w:r>
      <w:r>
        <w:rPr>
          <w:color w:val="231F20"/>
          <w:sz w:val="19"/>
        </w:rPr>
        <w:t>C-437/19</w:t>
      </w:r>
      <w:r>
        <w:rPr>
          <w:color w:val="231F20"/>
          <w:spacing w:val="-5"/>
          <w:sz w:val="19"/>
        </w:rPr>
        <w:t> </w:t>
      </w:r>
      <w:r>
        <w:rPr>
          <w:color w:val="231F20"/>
          <w:sz w:val="19"/>
        </w:rPr>
        <w:t>examined</w:t>
      </w:r>
      <w:r>
        <w:rPr>
          <w:color w:val="231F20"/>
          <w:spacing w:val="-5"/>
          <w:sz w:val="19"/>
        </w:rPr>
        <w:t> </w:t>
      </w:r>
      <w:r>
        <w:rPr>
          <w:color w:val="231F20"/>
          <w:sz w:val="19"/>
        </w:rPr>
        <w:t>above.</w:t>
      </w:r>
      <w:r>
        <w:rPr>
          <w:color w:val="231F20"/>
          <w:spacing w:val="-5"/>
          <w:sz w:val="19"/>
        </w:rPr>
        <w:t> </w:t>
      </w:r>
      <w:r>
        <w:rPr>
          <w:color w:val="231F20"/>
          <w:sz w:val="19"/>
        </w:rPr>
        <w:t>It</w:t>
      </w:r>
      <w:r>
        <w:rPr>
          <w:color w:val="231F20"/>
          <w:spacing w:val="-5"/>
          <w:sz w:val="19"/>
        </w:rPr>
        <w:t> </w:t>
      </w:r>
      <w:r>
        <w:rPr>
          <w:color w:val="231F20"/>
          <w:sz w:val="19"/>
        </w:rPr>
        <w:t>appears</w:t>
      </w:r>
      <w:r>
        <w:rPr>
          <w:color w:val="231F20"/>
          <w:spacing w:val="-5"/>
          <w:sz w:val="19"/>
        </w:rPr>
        <w:t> </w:t>
      </w:r>
      <w:r>
        <w:rPr>
          <w:color w:val="231F20"/>
          <w:sz w:val="19"/>
        </w:rPr>
        <w:t>extremely</w:t>
      </w:r>
      <w:r>
        <w:rPr>
          <w:color w:val="231F20"/>
          <w:spacing w:val="-5"/>
          <w:sz w:val="19"/>
        </w:rPr>
        <w:t> </w:t>
      </w:r>
      <w:r>
        <w:rPr>
          <w:color w:val="231F20"/>
          <w:sz w:val="19"/>
        </w:rPr>
        <w:t>regrettable</w:t>
      </w:r>
      <w:r>
        <w:rPr>
          <w:color w:val="231F20"/>
          <w:spacing w:val="-5"/>
          <w:sz w:val="19"/>
        </w:rPr>
        <w:t> </w:t>
      </w:r>
      <w:r>
        <w:rPr>
          <w:color w:val="231F20"/>
          <w:sz w:val="19"/>
        </w:rPr>
        <w:t>that directive</w:t>
      </w:r>
      <w:r>
        <w:rPr>
          <w:color w:val="231F20"/>
          <w:spacing w:val="-1"/>
          <w:sz w:val="19"/>
        </w:rPr>
        <w:t> </w:t>
      </w:r>
      <w:r>
        <w:rPr>
          <w:color w:val="231F20"/>
          <w:sz w:val="19"/>
        </w:rPr>
        <w:t>DAC</w:t>
      </w:r>
      <w:r>
        <w:rPr>
          <w:color w:val="231F20"/>
          <w:spacing w:val="-1"/>
          <w:sz w:val="19"/>
        </w:rPr>
        <w:t> </w:t>
      </w:r>
      <w:r>
        <w:rPr>
          <w:color w:val="231F20"/>
          <w:sz w:val="19"/>
        </w:rPr>
        <w:t>7</w:t>
      </w:r>
      <w:r>
        <w:rPr>
          <w:color w:val="231F20"/>
          <w:spacing w:val="-1"/>
          <w:sz w:val="19"/>
        </w:rPr>
        <w:t> </w:t>
      </w:r>
      <w:r>
        <w:rPr>
          <w:color w:val="231F20"/>
          <w:sz w:val="19"/>
        </w:rPr>
        <w:t>2021/514/EU</w:t>
      </w:r>
      <w:r>
        <w:rPr>
          <w:color w:val="231F20"/>
          <w:spacing w:val="-1"/>
          <w:sz w:val="19"/>
        </w:rPr>
        <w:t> </w:t>
      </w:r>
      <w:r>
        <w:rPr>
          <w:color w:val="231F20"/>
          <w:sz w:val="19"/>
        </w:rPr>
        <w:t>which</w:t>
      </w:r>
      <w:r>
        <w:rPr>
          <w:color w:val="231F20"/>
          <w:spacing w:val="-1"/>
          <w:sz w:val="19"/>
        </w:rPr>
        <w:t> </w:t>
      </w:r>
      <w:r>
        <w:rPr>
          <w:color w:val="231F20"/>
          <w:sz w:val="19"/>
        </w:rPr>
        <w:t>added</w:t>
      </w:r>
      <w:r>
        <w:rPr>
          <w:color w:val="231F20"/>
          <w:spacing w:val="-1"/>
          <w:sz w:val="19"/>
        </w:rPr>
        <w:t> </w:t>
      </w:r>
      <w:r>
        <w:rPr>
          <w:color w:val="231F20"/>
          <w:sz w:val="19"/>
        </w:rPr>
        <w:t>the</w:t>
      </w:r>
      <w:r>
        <w:rPr>
          <w:color w:val="231F20"/>
          <w:spacing w:val="-1"/>
          <w:sz w:val="19"/>
        </w:rPr>
        <w:t> </w:t>
      </w:r>
      <w:r>
        <w:rPr>
          <w:color w:val="231F20"/>
          <w:sz w:val="19"/>
        </w:rPr>
        <w:t>aforementioned</w:t>
      </w:r>
      <w:r>
        <w:rPr>
          <w:color w:val="231F20"/>
          <w:spacing w:val="-1"/>
          <w:sz w:val="19"/>
        </w:rPr>
        <w:t> </w:t>
      </w:r>
      <w:r>
        <w:rPr>
          <w:color w:val="231F20"/>
          <w:sz w:val="19"/>
        </w:rPr>
        <w:t>art.</w:t>
      </w:r>
      <w:r>
        <w:rPr>
          <w:color w:val="231F20"/>
          <w:spacing w:val="-1"/>
          <w:sz w:val="19"/>
        </w:rPr>
        <w:t> </w:t>
      </w:r>
      <w:r>
        <w:rPr>
          <w:color w:val="231F20"/>
          <w:sz w:val="19"/>
        </w:rPr>
        <w:t>5a</w:t>
      </w:r>
      <w:r>
        <w:rPr>
          <w:color w:val="231F20"/>
          <w:spacing w:val="-1"/>
          <w:sz w:val="19"/>
        </w:rPr>
        <w:t> </w:t>
      </w:r>
      <w:r>
        <w:rPr>
          <w:color w:val="231F20"/>
          <w:sz w:val="19"/>
        </w:rPr>
        <w:t>to</w:t>
      </w:r>
      <w:r>
        <w:rPr>
          <w:color w:val="231F20"/>
          <w:spacing w:val="-1"/>
          <w:sz w:val="19"/>
        </w:rPr>
        <w:t> </w:t>
      </w:r>
      <w:r>
        <w:rPr>
          <w:color w:val="231F20"/>
          <w:sz w:val="19"/>
        </w:rPr>
        <w:t>the</w:t>
      </w:r>
      <w:r>
        <w:rPr>
          <w:color w:val="231F20"/>
          <w:spacing w:val="-1"/>
          <w:sz w:val="19"/>
        </w:rPr>
        <w:t> </w:t>
      </w:r>
      <w:r>
        <w:rPr>
          <w:color w:val="231F20"/>
          <w:sz w:val="19"/>
        </w:rPr>
        <w:t>basic</w:t>
      </w:r>
      <w:r>
        <w:rPr>
          <w:color w:val="231F20"/>
          <w:spacing w:val="-1"/>
          <w:sz w:val="19"/>
        </w:rPr>
        <w:t> </w:t>
      </w:r>
      <w:r>
        <w:rPr>
          <w:color w:val="231F20"/>
          <w:sz w:val="19"/>
        </w:rPr>
        <w:t>directive DAC 1 2011/16/EU, does not make the slightest mention, in points 3 and 4 of its grounds, of</w:t>
      </w:r>
      <w:r>
        <w:rPr>
          <w:color w:val="231F20"/>
          <w:spacing w:val="3"/>
          <w:sz w:val="19"/>
        </w:rPr>
        <w:t> </w:t>
      </w:r>
      <w:r>
        <w:rPr>
          <w:color w:val="231F20"/>
          <w:sz w:val="19"/>
        </w:rPr>
        <w:t>the</w:t>
      </w:r>
      <w:r>
        <w:rPr>
          <w:color w:val="231F20"/>
          <w:spacing w:val="3"/>
          <w:sz w:val="19"/>
        </w:rPr>
        <w:t> </w:t>
      </w:r>
      <w:r>
        <w:rPr>
          <w:color w:val="231F20"/>
          <w:sz w:val="19"/>
        </w:rPr>
        <w:t>Court</w:t>
      </w:r>
      <w:r>
        <w:rPr>
          <w:color w:val="231F20"/>
          <w:spacing w:val="3"/>
          <w:sz w:val="19"/>
        </w:rPr>
        <w:t> </w:t>
      </w:r>
      <w:r>
        <w:rPr>
          <w:color w:val="231F20"/>
          <w:sz w:val="19"/>
        </w:rPr>
        <w:t>judgement</w:t>
      </w:r>
      <w:r>
        <w:rPr>
          <w:color w:val="231F20"/>
          <w:spacing w:val="3"/>
          <w:sz w:val="19"/>
        </w:rPr>
        <w:t> </w:t>
      </w:r>
      <w:r>
        <w:rPr>
          <w:color w:val="231F20"/>
          <w:sz w:val="19"/>
        </w:rPr>
        <w:t>that</w:t>
      </w:r>
      <w:r>
        <w:rPr>
          <w:color w:val="231F20"/>
          <w:spacing w:val="3"/>
          <w:sz w:val="19"/>
        </w:rPr>
        <w:t> </w:t>
      </w:r>
      <w:r>
        <w:rPr>
          <w:color w:val="231F20"/>
          <w:sz w:val="19"/>
        </w:rPr>
        <w:t>the</w:t>
      </w:r>
      <w:r>
        <w:rPr>
          <w:color w:val="231F20"/>
          <w:spacing w:val="3"/>
          <w:sz w:val="19"/>
        </w:rPr>
        <w:t> </w:t>
      </w:r>
      <w:r>
        <w:rPr>
          <w:color w:val="231F20"/>
          <w:sz w:val="19"/>
        </w:rPr>
        <w:t>afore-mentioned</w:t>
      </w:r>
      <w:r>
        <w:rPr>
          <w:color w:val="231F20"/>
          <w:spacing w:val="3"/>
          <w:sz w:val="19"/>
        </w:rPr>
        <w:t> </w:t>
      </w:r>
      <w:r>
        <w:rPr>
          <w:color w:val="231F20"/>
          <w:sz w:val="19"/>
        </w:rPr>
        <w:t>new</w:t>
      </w:r>
      <w:r>
        <w:rPr>
          <w:color w:val="231F20"/>
          <w:spacing w:val="3"/>
          <w:sz w:val="19"/>
        </w:rPr>
        <w:t> </w:t>
      </w:r>
      <w:r>
        <w:rPr>
          <w:color w:val="231F20"/>
          <w:sz w:val="19"/>
        </w:rPr>
        <w:t>article</w:t>
      </w:r>
      <w:r>
        <w:rPr>
          <w:color w:val="231F20"/>
          <w:spacing w:val="3"/>
          <w:sz w:val="19"/>
        </w:rPr>
        <w:t> </w:t>
      </w:r>
      <w:r>
        <w:rPr>
          <w:color w:val="231F20"/>
          <w:sz w:val="19"/>
        </w:rPr>
        <w:t>5a</w:t>
      </w:r>
      <w:r>
        <w:rPr>
          <w:color w:val="231F20"/>
          <w:spacing w:val="3"/>
          <w:sz w:val="19"/>
        </w:rPr>
        <w:t> </w:t>
      </w:r>
      <w:r>
        <w:rPr>
          <w:color w:val="231F20"/>
          <w:sz w:val="19"/>
        </w:rPr>
        <w:t>has</w:t>
      </w:r>
      <w:r>
        <w:rPr>
          <w:color w:val="231F20"/>
          <w:spacing w:val="3"/>
          <w:sz w:val="19"/>
        </w:rPr>
        <w:t> </w:t>
      </w:r>
      <w:r>
        <w:rPr>
          <w:color w:val="231F20"/>
          <w:sz w:val="19"/>
        </w:rPr>
        <w:t>simply</w:t>
      </w:r>
      <w:r>
        <w:rPr>
          <w:color w:val="231F20"/>
          <w:spacing w:val="3"/>
          <w:sz w:val="19"/>
        </w:rPr>
        <w:t> </w:t>
      </w:r>
      <w:r>
        <w:rPr>
          <w:color w:val="231F20"/>
          <w:sz w:val="19"/>
        </w:rPr>
        <w:t>transposed</w:t>
      </w:r>
      <w:r>
        <w:rPr>
          <w:color w:val="231F20"/>
          <w:spacing w:val="3"/>
          <w:sz w:val="19"/>
        </w:rPr>
        <w:t> </w:t>
      </w:r>
      <w:r>
        <w:rPr>
          <w:color w:val="231F20"/>
          <w:sz w:val="19"/>
        </w:rPr>
        <w:t>into</w:t>
      </w:r>
      <w:r>
        <w:rPr>
          <w:color w:val="231F20"/>
          <w:spacing w:val="4"/>
          <w:sz w:val="19"/>
        </w:rPr>
        <w:t> </w:t>
      </w:r>
      <w:r>
        <w:rPr>
          <w:color w:val="231F20"/>
          <w:spacing w:val="-10"/>
          <w:sz w:val="19"/>
        </w:rPr>
        <w:t>a</w:t>
      </w:r>
    </w:p>
    <w:p>
      <w:pPr>
        <w:spacing w:after="0" w:line="225" w:lineRule="auto"/>
        <w:jc w:val="both"/>
        <w:rPr>
          <w:sz w:val="19"/>
        </w:rPr>
        <w:sectPr>
          <w:pgSz w:w="9640" w:h="13610"/>
          <w:pgMar w:header="0" w:footer="625" w:top="1260" w:bottom="820" w:left="1260" w:right="1240"/>
        </w:sectPr>
      </w:pPr>
    </w:p>
    <w:p>
      <w:pPr>
        <w:pStyle w:val="BodyText"/>
        <w:spacing w:line="225" w:lineRule="auto" w:before="117"/>
        <w:ind w:left="157" w:right="118"/>
        <w:jc w:val="both"/>
      </w:pPr>
      <w:r>
        <w:rPr/>
        <mc:AlternateContent>
          <mc:Choice Requires="wps">
            <w:drawing>
              <wp:anchor distT="0" distB="0" distL="0" distR="0" allowOverlap="1" layoutInCell="1" locked="0" behindDoc="0" simplePos="0" relativeHeight="15747072">
                <wp:simplePos x="0" y="0"/>
                <wp:positionH relativeFrom="page">
                  <wp:posOffset>5608609</wp:posOffset>
                </wp:positionH>
                <wp:positionV relativeFrom="page">
                  <wp:posOffset>2376001</wp:posOffset>
                </wp:positionV>
                <wp:extent cx="511809" cy="2412365"/>
                <wp:effectExtent l="0" t="0" r="0" b="0"/>
                <wp:wrapNone/>
                <wp:docPr id="66" name="Group 66"/>
                <wp:cNvGraphicFramePr>
                  <a:graphicFrameLocks/>
                </wp:cNvGraphicFramePr>
                <a:graphic>
                  <a:graphicData uri="http://schemas.microsoft.com/office/word/2010/wordprocessingGroup">
                    <wpg:wgp>
                      <wpg:cNvPr id="66" name="Group 66"/>
                      <wpg:cNvGrpSpPr/>
                      <wpg:grpSpPr>
                        <a:xfrm>
                          <a:off x="0" y="0"/>
                          <a:ext cx="511809" cy="2412365"/>
                          <a:chExt cx="511809" cy="2412365"/>
                        </a:xfrm>
                      </wpg:grpSpPr>
                      <wps:wsp>
                        <wps:cNvPr id="67" name="Graphic 67"/>
                        <wps:cNvSpPr/>
                        <wps:spPr>
                          <a:xfrm>
                            <a:off x="7393" y="3"/>
                            <a:ext cx="504190" cy="360045"/>
                          </a:xfrm>
                          <a:custGeom>
                            <a:avLst/>
                            <a:gdLst/>
                            <a:ahLst/>
                            <a:cxnLst/>
                            <a:rect l="l" t="t" r="r" b="b"/>
                            <a:pathLst>
                              <a:path w="504190" h="360045">
                                <a:moveTo>
                                  <a:pt x="503999" y="0"/>
                                </a:moveTo>
                                <a:lnTo>
                                  <a:pt x="0" y="0"/>
                                </a:lnTo>
                                <a:lnTo>
                                  <a:pt x="0" y="359994"/>
                                </a:lnTo>
                                <a:lnTo>
                                  <a:pt x="503999" y="359994"/>
                                </a:lnTo>
                                <a:lnTo>
                                  <a:pt x="503999" y="0"/>
                                </a:lnTo>
                                <a:close/>
                              </a:path>
                            </a:pathLst>
                          </a:custGeom>
                          <a:solidFill>
                            <a:srgbClr val="939598"/>
                          </a:solidFill>
                        </wps:spPr>
                        <wps:bodyPr wrap="square" lIns="0" tIns="0" rIns="0" bIns="0" rtlCol="0">
                          <a:prstTxWarp prst="textNoShape">
                            <a:avLst/>
                          </a:prstTxWarp>
                          <a:noAutofit/>
                        </wps:bodyPr>
                      </wps:wsp>
                      <wps:wsp>
                        <wps:cNvPr id="68" name="Graphic 68"/>
                        <wps:cNvSpPr/>
                        <wps:spPr>
                          <a:xfrm>
                            <a:off x="6350" y="0"/>
                            <a:ext cx="1270" cy="2412365"/>
                          </a:xfrm>
                          <a:custGeom>
                            <a:avLst/>
                            <a:gdLst/>
                            <a:ahLst/>
                            <a:cxnLst/>
                            <a:rect l="l" t="t" r="r" b="b"/>
                            <a:pathLst>
                              <a:path w="0" h="2412365">
                                <a:moveTo>
                                  <a:pt x="0" y="0"/>
                                </a:moveTo>
                                <a:lnTo>
                                  <a:pt x="0" y="2411996"/>
                                </a:lnTo>
                              </a:path>
                            </a:pathLst>
                          </a:custGeom>
                          <a:ln w="12700">
                            <a:solidFill>
                              <a:srgbClr val="939598"/>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441.622803pt;margin-top:187.0867pt;width:40.3pt;height:189.95pt;mso-position-horizontal-relative:page;mso-position-vertical-relative:page;z-index:15747072" id="docshapegroup55" coordorigin="8832,3742" coordsize="806,3799">
                <v:rect style="position:absolute;left:8844;top:3741;width:794;height:567" id="docshape56" filled="true" fillcolor="#939598" stroked="false">
                  <v:fill type="solid"/>
                </v:rect>
                <v:line style="position:absolute" from="8842,3742" to="8842,7540" stroked="true" strokeweight="1pt" strokecolor="#939598">
                  <v:stroke dashstyle="solid"/>
                </v:line>
                <w10:wrap type="none"/>
              </v:group>
            </w:pict>
          </mc:Fallback>
        </mc:AlternateContent>
      </w:r>
      <w:r>
        <w:rPr/>
        <mc:AlternateContent>
          <mc:Choice Requires="wps">
            <w:drawing>
              <wp:anchor distT="0" distB="0" distL="0" distR="0" allowOverlap="1" layoutInCell="1" locked="0" behindDoc="0" simplePos="0" relativeHeight="15747584">
                <wp:simplePos x="0" y="0"/>
                <wp:positionH relativeFrom="page">
                  <wp:posOffset>5635147</wp:posOffset>
                </wp:positionH>
                <wp:positionV relativeFrom="page">
                  <wp:posOffset>2795300</wp:posOffset>
                </wp:positionV>
                <wp:extent cx="299720" cy="1995805"/>
                <wp:effectExtent l="0" t="0" r="0" b="0"/>
                <wp:wrapNone/>
                <wp:docPr id="69" name="Textbox 69"/>
                <wp:cNvGraphicFramePr>
                  <a:graphicFrameLocks/>
                </wp:cNvGraphicFramePr>
                <a:graphic>
                  <a:graphicData uri="http://schemas.microsoft.com/office/word/2010/wordprocessingShape">
                    <wps:wsp>
                      <wps:cNvPr id="69" name="Textbox 69"/>
                      <wps:cNvSpPr txBox="1"/>
                      <wps:spPr>
                        <a:xfrm>
                          <a:off x="0" y="0"/>
                          <a:ext cx="299720" cy="1995805"/>
                        </a:xfrm>
                        <a:prstGeom prst="rect">
                          <a:avLst/>
                        </a:prstGeom>
                      </wps:spPr>
                      <wps:txbx>
                        <w:txbxContent>
                          <w:p>
                            <w:pPr>
                              <w:spacing w:before="20"/>
                              <w:ind w:left="20" w:right="0" w:firstLine="0"/>
                              <w:jc w:val="left"/>
                              <w:rPr>
                                <w:rFonts w:ascii="Minion Pro"/>
                                <w:sz w:val="32"/>
                              </w:rPr>
                            </w:pPr>
                            <w:r>
                              <w:rPr>
                                <w:rFonts w:ascii="Minion Pro"/>
                                <w:color w:val="231F20"/>
                                <w:sz w:val="32"/>
                              </w:rPr>
                              <w:t>Commented</w:t>
                            </w:r>
                            <w:r>
                              <w:rPr>
                                <w:rFonts w:ascii="Minion Pro"/>
                                <w:color w:val="231F20"/>
                                <w:spacing w:val="-10"/>
                                <w:sz w:val="32"/>
                              </w:rPr>
                              <w:t> </w:t>
                            </w:r>
                            <w:r>
                              <w:rPr>
                                <w:rFonts w:ascii="Minion Pro"/>
                                <w:color w:val="231F20"/>
                                <w:spacing w:val="-2"/>
                                <w:sz w:val="32"/>
                              </w:rPr>
                              <w:t>documents</w:t>
                            </w:r>
                          </w:p>
                        </w:txbxContent>
                      </wps:txbx>
                      <wps:bodyPr wrap="square" lIns="0" tIns="0" rIns="0" bIns="0" rtlCol="0" vert="vert">
                        <a:noAutofit/>
                      </wps:bodyPr>
                    </wps:wsp>
                  </a:graphicData>
                </a:graphic>
              </wp:anchor>
            </w:drawing>
          </mc:Choice>
          <mc:Fallback>
            <w:pict>
              <v:shape style="position:absolute;margin-left:443.712402pt;margin-top:220.102402pt;width:23.6pt;height:157.15pt;mso-position-horizontal-relative:page;mso-position-vertical-relative:page;z-index:15747584" type="#_x0000_t202" id="docshape57" filled="false" stroked="false">
                <v:textbox inset="0,0,0,0" style="layout-flow:vertical">
                  <w:txbxContent>
                    <w:p>
                      <w:pPr>
                        <w:spacing w:before="20"/>
                        <w:ind w:left="20" w:right="0" w:firstLine="0"/>
                        <w:jc w:val="left"/>
                        <w:rPr>
                          <w:rFonts w:ascii="Minion Pro"/>
                          <w:sz w:val="32"/>
                        </w:rPr>
                      </w:pPr>
                      <w:r>
                        <w:rPr>
                          <w:rFonts w:ascii="Minion Pro"/>
                          <w:color w:val="231F20"/>
                          <w:sz w:val="32"/>
                        </w:rPr>
                        <w:t>Commented</w:t>
                      </w:r>
                      <w:r>
                        <w:rPr>
                          <w:rFonts w:ascii="Minion Pro"/>
                          <w:color w:val="231F20"/>
                          <w:spacing w:val="-10"/>
                          <w:sz w:val="32"/>
                        </w:rPr>
                        <w:t> </w:t>
                      </w:r>
                      <w:r>
                        <w:rPr>
                          <w:rFonts w:ascii="Minion Pro"/>
                          <w:color w:val="231F20"/>
                          <w:spacing w:val="-2"/>
                          <w:sz w:val="32"/>
                        </w:rPr>
                        <w:t>documents</w:t>
                      </w:r>
                    </w:p>
                  </w:txbxContent>
                </v:textbox>
                <w10:wrap type="none"/>
              </v:shape>
            </w:pict>
          </mc:Fallback>
        </mc:AlternateContent>
      </w:r>
      <w:r>
        <w:rPr>
          <w:color w:val="231F20"/>
        </w:rPr>
        <w:t>notify to another intermediary its obligation to communicate the </w:t>
      </w:r>
      <w:r>
        <w:rPr>
          <w:color w:val="231F20"/>
        </w:rPr>
        <w:t>«cross- border arrangement» to the tax administration</w:t>
      </w:r>
      <w:r>
        <w:rPr>
          <w:color w:val="231F20"/>
          <w:position w:val="8"/>
          <w:sz w:val="14"/>
        </w:rPr>
        <w:t>50</w:t>
      </w:r>
      <w:r>
        <w:rPr>
          <w:color w:val="231F20"/>
        </w:rPr>
        <w:t>, represent a very positive </w:t>
      </w:r>
      <w:r>
        <w:rPr>
          <w:color w:val="231F20"/>
          <w:spacing w:val="-2"/>
        </w:rPr>
        <w:t>precedent.</w:t>
      </w:r>
    </w:p>
    <w:p>
      <w:pPr>
        <w:pStyle w:val="BodyText"/>
        <w:spacing w:before="145"/>
      </w:pPr>
    </w:p>
    <w:p>
      <w:pPr>
        <w:pStyle w:val="ListParagraph"/>
        <w:numPr>
          <w:ilvl w:val="1"/>
          <w:numId w:val="1"/>
        </w:numPr>
        <w:tabs>
          <w:tab w:pos="583" w:val="left" w:leader="none"/>
        </w:tabs>
        <w:spacing w:line="244" w:lineRule="auto" w:before="0" w:after="0"/>
        <w:ind w:left="157" w:right="288" w:firstLine="0"/>
        <w:jc w:val="left"/>
        <w:rPr>
          <w:b/>
          <w:sz w:val="24"/>
        </w:rPr>
      </w:pPr>
      <w:r>
        <w:rPr>
          <w:b/>
          <w:color w:val="231F20"/>
          <w:sz w:val="24"/>
        </w:rPr>
        <w:t>The</w:t>
      </w:r>
      <w:r>
        <w:rPr>
          <w:b/>
          <w:color w:val="231F20"/>
          <w:spacing w:val="-8"/>
          <w:sz w:val="24"/>
        </w:rPr>
        <w:t> </w:t>
      </w:r>
      <w:r>
        <w:rPr>
          <w:b/>
          <w:color w:val="231F20"/>
          <w:sz w:val="24"/>
        </w:rPr>
        <w:t>Court</w:t>
      </w:r>
      <w:r>
        <w:rPr>
          <w:b/>
          <w:color w:val="231F20"/>
          <w:spacing w:val="-8"/>
          <w:sz w:val="24"/>
        </w:rPr>
        <w:t> </w:t>
      </w:r>
      <w:r>
        <w:rPr>
          <w:b/>
          <w:color w:val="231F20"/>
          <w:sz w:val="24"/>
        </w:rPr>
        <w:t>of</w:t>
      </w:r>
      <w:r>
        <w:rPr>
          <w:b/>
          <w:color w:val="231F20"/>
          <w:spacing w:val="-8"/>
          <w:sz w:val="24"/>
        </w:rPr>
        <w:t> </w:t>
      </w:r>
      <w:r>
        <w:rPr>
          <w:b/>
          <w:color w:val="231F20"/>
          <w:sz w:val="24"/>
        </w:rPr>
        <w:t>Justice</w:t>
      </w:r>
      <w:r>
        <w:rPr>
          <w:b/>
          <w:color w:val="231F20"/>
          <w:spacing w:val="-8"/>
          <w:sz w:val="24"/>
        </w:rPr>
        <w:t> </w:t>
      </w:r>
      <w:r>
        <w:rPr>
          <w:b/>
          <w:color w:val="231F20"/>
          <w:sz w:val="24"/>
        </w:rPr>
        <w:t>has</w:t>
      </w:r>
      <w:r>
        <w:rPr>
          <w:b/>
          <w:color w:val="231F20"/>
          <w:spacing w:val="-8"/>
          <w:sz w:val="24"/>
        </w:rPr>
        <w:t> </w:t>
      </w:r>
      <w:r>
        <w:rPr>
          <w:b/>
          <w:color w:val="231F20"/>
          <w:sz w:val="24"/>
        </w:rPr>
        <w:t>highlighted</w:t>
      </w:r>
      <w:r>
        <w:rPr>
          <w:b/>
          <w:color w:val="231F20"/>
          <w:spacing w:val="-8"/>
          <w:sz w:val="24"/>
        </w:rPr>
        <w:t> </w:t>
      </w:r>
      <w:r>
        <w:rPr>
          <w:b/>
          <w:color w:val="231F20"/>
          <w:sz w:val="24"/>
        </w:rPr>
        <w:t>unacceptable</w:t>
      </w:r>
      <w:r>
        <w:rPr>
          <w:b/>
          <w:color w:val="231F20"/>
          <w:spacing w:val="-8"/>
          <w:sz w:val="24"/>
        </w:rPr>
        <w:t> </w:t>
      </w:r>
      <w:r>
        <w:rPr>
          <w:b/>
          <w:color w:val="231F20"/>
          <w:sz w:val="24"/>
        </w:rPr>
        <w:t>Cases</w:t>
      </w:r>
      <w:r>
        <w:rPr>
          <w:b/>
          <w:color w:val="231F20"/>
          <w:spacing w:val="-8"/>
          <w:sz w:val="24"/>
        </w:rPr>
        <w:t> </w:t>
      </w:r>
      <w:r>
        <w:rPr>
          <w:b/>
          <w:color w:val="231F20"/>
          <w:sz w:val="24"/>
        </w:rPr>
        <w:t>of</w:t>
      </w:r>
      <w:r>
        <w:rPr>
          <w:b/>
          <w:color w:val="231F20"/>
          <w:spacing w:val="-8"/>
          <w:sz w:val="24"/>
        </w:rPr>
        <w:t> </w:t>
      </w:r>
      <w:r>
        <w:rPr>
          <w:b/>
          <w:color w:val="231F20"/>
          <w:sz w:val="24"/>
        </w:rPr>
        <w:t>double Taxation in the Field of harmonized</w:t>
      </w:r>
      <w:r>
        <w:rPr>
          <w:b/>
          <w:color w:val="231F20"/>
          <w:spacing w:val="-2"/>
          <w:sz w:val="24"/>
        </w:rPr>
        <w:t> </w:t>
      </w:r>
      <w:r>
        <w:rPr>
          <w:b/>
          <w:color w:val="231F20"/>
          <w:sz w:val="24"/>
        </w:rPr>
        <w:t>VAT and Excise Duties</w:t>
      </w:r>
    </w:p>
    <w:p>
      <w:pPr>
        <w:pStyle w:val="BodyText"/>
        <w:spacing w:line="225" w:lineRule="auto" w:before="263"/>
        <w:ind w:left="157" w:right="117"/>
        <w:jc w:val="both"/>
      </w:pPr>
      <w:r>
        <w:rPr>
          <w:color w:val="231F20"/>
        </w:rPr>
        <w:t>The Court’s rulings regarding Regulation 904/2010/EU and Directive 2010/24/EU</w:t>
      </w:r>
      <w:r>
        <w:rPr>
          <w:color w:val="231F20"/>
          <w:spacing w:val="-13"/>
        </w:rPr>
        <w:t> </w:t>
      </w:r>
      <w:r>
        <w:rPr>
          <w:color w:val="231F20"/>
        </w:rPr>
        <w:t>respectively</w:t>
      </w:r>
      <w:r>
        <w:rPr>
          <w:color w:val="231F20"/>
          <w:spacing w:val="-13"/>
        </w:rPr>
        <w:t> </w:t>
      </w:r>
      <w:r>
        <w:rPr>
          <w:color w:val="231F20"/>
        </w:rPr>
        <w:t>governing</w:t>
      </w:r>
      <w:r>
        <w:rPr>
          <w:color w:val="231F20"/>
          <w:spacing w:val="-13"/>
        </w:rPr>
        <w:t> </w:t>
      </w:r>
      <w:r>
        <w:rPr>
          <w:color w:val="231F20"/>
        </w:rPr>
        <w:t>administrative</w:t>
      </w:r>
      <w:r>
        <w:rPr>
          <w:color w:val="231F20"/>
          <w:spacing w:val="-13"/>
        </w:rPr>
        <w:t> </w:t>
      </w:r>
      <w:r>
        <w:rPr>
          <w:color w:val="231F20"/>
        </w:rPr>
        <w:t>cooperation</w:t>
      </w:r>
      <w:r>
        <w:rPr>
          <w:color w:val="231F20"/>
          <w:spacing w:val="-13"/>
        </w:rPr>
        <w:t> </w:t>
      </w:r>
      <w:r>
        <w:rPr>
          <w:color w:val="231F20"/>
        </w:rPr>
        <w:t>in</w:t>
      </w:r>
      <w:r>
        <w:rPr>
          <w:color w:val="231F20"/>
          <w:spacing w:val="-13"/>
        </w:rPr>
        <w:t> </w:t>
      </w:r>
      <w:r>
        <w:rPr>
          <w:color w:val="231F20"/>
        </w:rPr>
        <w:t>the</w:t>
      </w:r>
      <w:r>
        <w:rPr>
          <w:color w:val="231F20"/>
          <w:spacing w:val="-13"/>
        </w:rPr>
        <w:t> </w:t>
      </w:r>
      <w:r>
        <w:rPr>
          <w:color w:val="231F20"/>
        </w:rPr>
        <w:t>field of</w:t>
      </w:r>
      <w:r>
        <w:rPr>
          <w:color w:val="231F20"/>
          <w:spacing w:val="-15"/>
        </w:rPr>
        <w:t> </w:t>
      </w:r>
      <w:r>
        <w:rPr>
          <w:color w:val="231F20"/>
        </w:rPr>
        <w:t>VAT</w:t>
      </w:r>
      <w:r>
        <w:rPr>
          <w:color w:val="231F20"/>
          <w:spacing w:val="-15"/>
        </w:rPr>
        <w:t> </w:t>
      </w:r>
      <w:r>
        <w:rPr>
          <w:color w:val="231F20"/>
        </w:rPr>
        <w:t>and</w:t>
      </w:r>
      <w:r>
        <w:rPr>
          <w:color w:val="231F20"/>
          <w:spacing w:val="-15"/>
        </w:rPr>
        <w:t> </w:t>
      </w:r>
      <w:r>
        <w:rPr>
          <w:color w:val="231F20"/>
        </w:rPr>
        <w:t>mutual</w:t>
      </w:r>
      <w:r>
        <w:rPr>
          <w:color w:val="231F20"/>
          <w:spacing w:val="-15"/>
        </w:rPr>
        <w:t> </w:t>
      </w:r>
      <w:r>
        <w:rPr>
          <w:color w:val="231F20"/>
        </w:rPr>
        <w:t>assistance</w:t>
      </w:r>
      <w:r>
        <w:rPr>
          <w:color w:val="231F20"/>
          <w:spacing w:val="-15"/>
        </w:rPr>
        <w:t> </w:t>
      </w:r>
      <w:r>
        <w:rPr>
          <w:color w:val="231F20"/>
        </w:rPr>
        <w:t>in</w:t>
      </w:r>
      <w:r>
        <w:rPr>
          <w:color w:val="231F20"/>
          <w:spacing w:val="-15"/>
        </w:rPr>
        <w:t> </w:t>
      </w:r>
      <w:r>
        <w:rPr>
          <w:color w:val="231F20"/>
        </w:rPr>
        <w:t>the</w:t>
      </w:r>
      <w:r>
        <w:rPr>
          <w:color w:val="231F20"/>
          <w:spacing w:val="-15"/>
        </w:rPr>
        <w:t> </w:t>
      </w:r>
      <w:r>
        <w:rPr>
          <w:color w:val="231F20"/>
        </w:rPr>
        <w:t>recovery</w:t>
      </w:r>
      <w:r>
        <w:rPr>
          <w:color w:val="231F20"/>
          <w:spacing w:val="-15"/>
        </w:rPr>
        <w:t> </w:t>
      </w:r>
      <w:r>
        <w:rPr>
          <w:color w:val="231F20"/>
        </w:rPr>
        <w:t>of</w:t>
      </w:r>
      <w:r>
        <w:rPr>
          <w:color w:val="231F20"/>
          <w:spacing w:val="-15"/>
        </w:rPr>
        <w:t> </w:t>
      </w:r>
      <w:r>
        <w:rPr>
          <w:color w:val="231F20"/>
        </w:rPr>
        <w:t>tax</w:t>
      </w:r>
      <w:r>
        <w:rPr>
          <w:color w:val="231F20"/>
          <w:spacing w:val="-15"/>
        </w:rPr>
        <w:t> </w:t>
      </w:r>
      <w:r>
        <w:rPr>
          <w:color w:val="231F20"/>
        </w:rPr>
        <w:t>claims</w:t>
      </w:r>
      <w:r>
        <w:rPr>
          <w:color w:val="231F20"/>
          <w:spacing w:val="-15"/>
        </w:rPr>
        <w:t> </w:t>
      </w:r>
      <w:r>
        <w:rPr>
          <w:color w:val="231F20"/>
        </w:rPr>
        <w:t>have</w:t>
      </w:r>
      <w:r>
        <w:rPr>
          <w:color w:val="231F20"/>
          <w:spacing w:val="-15"/>
        </w:rPr>
        <w:t> </w:t>
      </w:r>
      <w:r>
        <w:rPr>
          <w:color w:val="231F20"/>
        </w:rPr>
        <w:t>highlighted another</w:t>
      </w:r>
      <w:r>
        <w:rPr>
          <w:color w:val="231F20"/>
          <w:spacing w:val="-12"/>
        </w:rPr>
        <w:t> </w:t>
      </w:r>
      <w:r>
        <w:rPr>
          <w:color w:val="231F20"/>
        </w:rPr>
        <w:t>problem</w:t>
      </w:r>
      <w:r>
        <w:rPr>
          <w:color w:val="231F20"/>
          <w:spacing w:val="-12"/>
        </w:rPr>
        <w:t> </w:t>
      </w:r>
      <w:r>
        <w:rPr>
          <w:color w:val="231F20"/>
        </w:rPr>
        <w:t>unexpected</w:t>
      </w:r>
      <w:r>
        <w:rPr>
          <w:color w:val="231F20"/>
          <w:spacing w:val="-12"/>
        </w:rPr>
        <w:t> </w:t>
      </w:r>
      <w:r>
        <w:rPr>
          <w:color w:val="231F20"/>
        </w:rPr>
        <w:t>in</w:t>
      </w:r>
      <w:r>
        <w:rPr>
          <w:color w:val="231F20"/>
          <w:spacing w:val="-12"/>
        </w:rPr>
        <w:t> </w:t>
      </w:r>
      <w:r>
        <w:rPr>
          <w:color w:val="231F20"/>
        </w:rPr>
        <w:t>the</w:t>
      </w:r>
      <w:r>
        <w:rPr>
          <w:color w:val="231F20"/>
          <w:spacing w:val="-12"/>
        </w:rPr>
        <w:t> </w:t>
      </w:r>
      <w:r>
        <w:rPr>
          <w:color w:val="231F20"/>
        </w:rPr>
        <w:t>field</w:t>
      </w:r>
      <w:r>
        <w:rPr>
          <w:color w:val="231F20"/>
          <w:spacing w:val="-12"/>
        </w:rPr>
        <w:t> </w:t>
      </w:r>
      <w:r>
        <w:rPr>
          <w:color w:val="231F20"/>
        </w:rPr>
        <w:t>of</w:t>
      </w:r>
      <w:r>
        <w:rPr>
          <w:color w:val="231F20"/>
          <w:spacing w:val="-12"/>
        </w:rPr>
        <w:t> </w:t>
      </w:r>
      <w:r>
        <w:rPr>
          <w:color w:val="231F20"/>
        </w:rPr>
        <w:t>harmonized</w:t>
      </w:r>
      <w:r>
        <w:rPr>
          <w:color w:val="231F20"/>
          <w:spacing w:val="-12"/>
        </w:rPr>
        <w:t> </w:t>
      </w:r>
      <w:r>
        <w:rPr>
          <w:color w:val="231F20"/>
        </w:rPr>
        <w:t>taxes:</w:t>
      </w:r>
      <w:r>
        <w:rPr>
          <w:color w:val="231F20"/>
          <w:spacing w:val="-12"/>
        </w:rPr>
        <w:t> </w:t>
      </w:r>
      <w:r>
        <w:rPr>
          <w:color w:val="231F20"/>
        </w:rPr>
        <w:t>the</w:t>
      </w:r>
      <w:r>
        <w:rPr>
          <w:color w:val="231F20"/>
          <w:spacing w:val="-12"/>
        </w:rPr>
        <w:t> </w:t>
      </w:r>
      <w:r>
        <w:rPr>
          <w:color w:val="231F20"/>
        </w:rPr>
        <w:t>existence of cases of double taxation, both in the field of value added tax</w:t>
      </w:r>
      <w:r>
        <w:rPr>
          <w:color w:val="231F20"/>
          <w:position w:val="8"/>
          <w:sz w:val="14"/>
        </w:rPr>
        <w:t>51</w:t>
      </w:r>
      <w:r>
        <w:rPr>
          <w:color w:val="231F20"/>
          <w:spacing w:val="35"/>
          <w:position w:val="8"/>
          <w:sz w:val="14"/>
        </w:rPr>
        <w:t> </w:t>
      </w:r>
      <w:r>
        <w:rPr>
          <w:color w:val="231F20"/>
        </w:rPr>
        <w:t>and ex- cise</w:t>
      </w:r>
      <w:r>
        <w:rPr>
          <w:color w:val="231F20"/>
          <w:spacing w:val="-7"/>
        </w:rPr>
        <w:t> </w:t>
      </w:r>
      <w:r>
        <w:rPr>
          <w:color w:val="231F20"/>
        </w:rPr>
        <w:t>duties</w:t>
      </w:r>
      <w:r>
        <w:rPr>
          <w:color w:val="231F20"/>
          <w:position w:val="8"/>
          <w:sz w:val="14"/>
        </w:rPr>
        <w:t>52</w:t>
      </w:r>
      <w:r>
        <w:rPr>
          <w:color w:val="231F20"/>
          <w:spacing w:val="18"/>
          <w:position w:val="8"/>
          <w:sz w:val="14"/>
        </w:rPr>
        <w:t> </w:t>
      </w:r>
      <w:r>
        <w:rPr>
          <w:color w:val="231F20"/>
        </w:rPr>
        <w:t>despite</w:t>
      </w:r>
      <w:r>
        <w:rPr>
          <w:color w:val="231F20"/>
          <w:spacing w:val="-7"/>
        </w:rPr>
        <w:t> </w:t>
      </w:r>
      <w:r>
        <w:rPr>
          <w:color w:val="231F20"/>
        </w:rPr>
        <w:t>the</w:t>
      </w:r>
      <w:r>
        <w:rPr>
          <w:color w:val="231F20"/>
          <w:spacing w:val="-7"/>
        </w:rPr>
        <w:t> </w:t>
      </w:r>
      <w:r>
        <w:rPr>
          <w:color w:val="231F20"/>
        </w:rPr>
        <w:t>fact</w:t>
      </w:r>
      <w:r>
        <w:rPr>
          <w:color w:val="231F20"/>
          <w:spacing w:val="-7"/>
        </w:rPr>
        <w:t> </w:t>
      </w:r>
      <w:r>
        <w:rPr>
          <w:color w:val="231F20"/>
        </w:rPr>
        <w:t>that</w:t>
      </w:r>
      <w:r>
        <w:rPr>
          <w:color w:val="231F20"/>
          <w:spacing w:val="-7"/>
        </w:rPr>
        <w:t> </w:t>
      </w:r>
      <w:r>
        <w:rPr>
          <w:color w:val="231F20"/>
        </w:rPr>
        <w:t>the</w:t>
      </w:r>
      <w:r>
        <w:rPr>
          <w:color w:val="231F20"/>
          <w:spacing w:val="-9"/>
        </w:rPr>
        <w:t> </w:t>
      </w:r>
      <w:r>
        <w:rPr>
          <w:color w:val="231F20"/>
        </w:rPr>
        <w:t>VAT</w:t>
      </w:r>
      <w:r>
        <w:rPr>
          <w:color w:val="231F20"/>
          <w:spacing w:val="-7"/>
        </w:rPr>
        <w:t> </w:t>
      </w:r>
      <w:r>
        <w:rPr>
          <w:color w:val="231F20"/>
        </w:rPr>
        <w:t>Directive</w:t>
      </w:r>
      <w:r>
        <w:rPr>
          <w:color w:val="231F20"/>
          <w:spacing w:val="-7"/>
        </w:rPr>
        <w:t> </w:t>
      </w:r>
      <w:r>
        <w:rPr>
          <w:color w:val="231F20"/>
        </w:rPr>
        <w:t>2006/112/EU</w:t>
      </w:r>
      <w:r>
        <w:rPr>
          <w:color w:val="231F20"/>
          <w:spacing w:val="-7"/>
        </w:rPr>
        <w:t> </w:t>
      </w:r>
      <w:r>
        <w:rPr>
          <w:color w:val="231F20"/>
        </w:rPr>
        <w:t>and</w:t>
      </w:r>
      <w:r>
        <w:rPr>
          <w:color w:val="231F20"/>
          <w:spacing w:val="-7"/>
        </w:rPr>
        <w:t> </w:t>
      </w:r>
      <w:r>
        <w:rPr>
          <w:color w:val="231F20"/>
        </w:rPr>
        <w:t>the General Excise Directive 2020/262/EU provides for clear rules governing the</w:t>
      </w:r>
      <w:r>
        <w:rPr>
          <w:color w:val="231F20"/>
          <w:spacing w:val="-11"/>
        </w:rPr>
        <w:t> </w:t>
      </w:r>
      <w:r>
        <w:rPr>
          <w:color w:val="231F20"/>
        </w:rPr>
        <w:t>place</w:t>
      </w:r>
      <w:r>
        <w:rPr>
          <w:color w:val="231F20"/>
          <w:spacing w:val="-11"/>
        </w:rPr>
        <w:t> </w:t>
      </w:r>
      <w:r>
        <w:rPr>
          <w:color w:val="231F20"/>
        </w:rPr>
        <w:t>of</w:t>
      </w:r>
      <w:r>
        <w:rPr>
          <w:color w:val="231F20"/>
          <w:spacing w:val="-11"/>
        </w:rPr>
        <w:t> </w:t>
      </w:r>
      <w:r>
        <w:rPr>
          <w:color w:val="231F20"/>
        </w:rPr>
        <w:t>taxable</w:t>
      </w:r>
      <w:r>
        <w:rPr>
          <w:color w:val="231F20"/>
          <w:spacing w:val="-11"/>
        </w:rPr>
        <w:t> </w:t>
      </w:r>
      <w:r>
        <w:rPr>
          <w:color w:val="231F20"/>
        </w:rPr>
        <w:t>transactions.</w:t>
      </w:r>
      <w:r>
        <w:rPr>
          <w:color w:val="231F20"/>
          <w:spacing w:val="-11"/>
        </w:rPr>
        <w:t> </w:t>
      </w:r>
      <w:r>
        <w:rPr>
          <w:color w:val="231F20"/>
        </w:rPr>
        <w:t>Indeed</w:t>
      </w:r>
      <w:r>
        <w:rPr>
          <w:color w:val="231F20"/>
          <w:spacing w:val="-11"/>
        </w:rPr>
        <w:t> </w:t>
      </w:r>
      <w:r>
        <w:rPr>
          <w:color w:val="231F20"/>
        </w:rPr>
        <w:t>it</w:t>
      </w:r>
      <w:r>
        <w:rPr>
          <w:color w:val="231F20"/>
          <w:spacing w:val="-11"/>
        </w:rPr>
        <w:t> </w:t>
      </w:r>
      <w:r>
        <w:rPr>
          <w:color w:val="231F20"/>
        </w:rPr>
        <w:t>emerged</w:t>
      </w:r>
      <w:r>
        <w:rPr>
          <w:color w:val="231F20"/>
          <w:spacing w:val="-11"/>
        </w:rPr>
        <w:t> </w:t>
      </w:r>
      <w:r>
        <w:rPr>
          <w:color w:val="231F20"/>
        </w:rPr>
        <w:t>from</w:t>
      </w:r>
      <w:r>
        <w:rPr>
          <w:color w:val="231F20"/>
          <w:spacing w:val="-11"/>
        </w:rPr>
        <w:t> </w:t>
      </w:r>
      <w:r>
        <w:rPr>
          <w:color w:val="231F20"/>
        </w:rPr>
        <w:t>the</w:t>
      </w:r>
      <w:r>
        <w:rPr>
          <w:color w:val="231F20"/>
          <w:spacing w:val="-11"/>
        </w:rPr>
        <w:t> </w:t>
      </w:r>
      <w:r>
        <w:rPr>
          <w:color w:val="231F20"/>
        </w:rPr>
        <w:t>concrete</w:t>
      </w:r>
      <w:r>
        <w:rPr>
          <w:color w:val="231F20"/>
          <w:spacing w:val="-11"/>
        </w:rPr>
        <w:t> </w:t>
      </w:r>
      <w:r>
        <w:rPr>
          <w:color w:val="231F20"/>
        </w:rPr>
        <w:t>cases brought</w:t>
      </w:r>
      <w:r>
        <w:rPr>
          <w:color w:val="231F20"/>
          <w:spacing w:val="-10"/>
        </w:rPr>
        <w:t> </w:t>
      </w:r>
      <w:r>
        <w:rPr>
          <w:color w:val="231F20"/>
        </w:rPr>
        <w:t>to</w:t>
      </w:r>
      <w:r>
        <w:rPr>
          <w:color w:val="231F20"/>
          <w:spacing w:val="-10"/>
        </w:rPr>
        <w:t> </w:t>
      </w:r>
      <w:r>
        <w:rPr>
          <w:color w:val="231F20"/>
        </w:rPr>
        <w:t>the</w:t>
      </w:r>
      <w:r>
        <w:rPr>
          <w:color w:val="231F20"/>
          <w:spacing w:val="-10"/>
        </w:rPr>
        <w:t> </w:t>
      </w:r>
      <w:r>
        <w:rPr>
          <w:color w:val="231F20"/>
        </w:rPr>
        <w:t>attention</w:t>
      </w:r>
      <w:r>
        <w:rPr>
          <w:color w:val="231F20"/>
          <w:spacing w:val="-10"/>
        </w:rPr>
        <w:t> </w:t>
      </w:r>
      <w:r>
        <w:rPr>
          <w:color w:val="231F20"/>
        </w:rPr>
        <w:t>of</w:t>
      </w:r>
      <w:r>
        <w:rPr>
          <w:color w:val="231F20"/>
          <w:spacing w:val="-10"/>
        </w:rPr>
        <w:t> </w:t>
      </w:r>
      <w:r>
        <w:rPr>
          <w:color w:val="231F20"/>
        </w:rPr>
        <w:t>the</w:t>
      </w:r>
      <w:r>
        <w:rPr>
          <w:color w:val="231F20"/>
          <w:spacing w:val="-10"/>
        </w:rPr>
        <w:t> </w:t>
      </w:r>
      <w:r>
        <w:rPr>
          <w:color w:val="231F20"/>
        </w:rPr>
        <w:t>Court</w:t>
      </w:r>
      <w:r>
        <w:rPr>
          <w:color w:val="231F20"/>
          <w:spacing w:val="-10"/>
        </w:rPr>
        <w:t> </w:t>
      </w:r>
      <w:r>
        <w:rPr>
          <w:color w:val="231F20"/>
        </w:rPr>
        <w:t>of</w:t>
      </w:r>
      <w:r>
        <w:rPr>
          <w:color w:val="231F20"/>
          <w:spacing w:val="-10"/>
        </w:rPr>
        <w:t> </w:t>
      </w:r>
      <w:r>
        <w:rPr>
          <w:color w:val="231F20"/>
        </w:rPr>
        <w:t>Justice</w:t>
      </w:r>
      <w:r>
        <w:rPr>
          <w:color w:val="231F20"/>
          <w:spacing w:val="-10"/>
        </w:rPr>
        <w:t> </w:t>
      </w:r>
      <w:r>
        <w:rPr>
          <w:color w:val="231F20"/>
        </w:rPr>
        <w:t>by</w:t>
      </w:r>
      <w:r>
        <w:rPr>
          <w:color w:val="231F20"/>
          <w:spacing w:val="-10"/>
        </w:rPr>
        <w:t> </w:t>
      </w:r>
      <w:r>
        <w:rPr>
          <w:color w:val="231F20"/>
        </w:rPr>
        <w:t>the</w:t>
      </w:r>
      <w:r>
        <w:rPr>
          <w:color w:val="231F20"/>
          <w:spacing w:val="-10"/>
        </w:rPr>
        <w:t> </w:t>
      </w:r>
      <w:r>
        <w:rPr>
          <w:color w:val="231F20"/>
        </w:rPr>
        <w:t>referring</w:t>
      </w:r>
      <w:r>
        <w:rPr>
          <w:color w:val="231F20"/>
          <w:spacing w:val="-10"/>
        </w:rPr>
        <w:t> </w:t>
      </w:r>
      <w:r>
        <w:rPr>
          <w:color w:val="231F20"/>
        </w:rPr>
        <w:t>judges</w:t>
      </w:r>
      <w:r>
        <w:rPr>
          <w:color w:val="231F20"/>
          <w:spacing w:val="-10"/>
        </w:rPr>
        <w:t> </w:t>
      </w:r>
      <w:r>
        <w:rPr>
          <w:color w:val="231F20"/>
        </w:rPr>
        <w:t>that sometimes the administrations of two Member States interpret the afore- mentioned provisions of the harmonization directives differently with the result of forcing the taxpayer to bring a case before the tax jurisdictions of the</w:t>
      </w:r>
      <w:r>
        <w:rPr>
          <w:color w:val="231F20"/>
          <w:spacing w:val="-15"/>
        </w:rPr>
        <w:t> </w:t>
      </w:r>
      <w:r>
        <w:rPr>
          <w:color w:val="231F20"/>
        </w:rPr>
        <w:t>Member</w:t>
      </w:r>
      <w:r>
        <w:rPr>
          <w:color w:val="231F20"/>
          <w:spacing w:val="-15"/>
        </w:rPr>
        <w:t> </w:t>
      </w:r>
      <w:r>
        <w:rPr>
          <w:color w:val="231F20"/>
        </w:rPr>
        <w:t>State</w:t>
      </w:r>
      <w:r>
        <w:rPr>
          <w:color w:val="231F20"/>
          <w:spacing w:val="-15"/>
        </w:rPr>
        <w:t> </w:t>
      </w:r>
      <w:r>
        <w:rPr>
          <w:color w:val="231F20"/>
        </w:rPr>
        <w:t>which</w:t>
      </w:r>
      <w:r>
        <w:rPr>
          <w:color w:val="231F20"/>
          <w:spacing w:val="-15"/>
        </w:rPr>
        <w:t> </w:t>
      </w:r>
      <w:r>
        <w:rPr>
          <w:color w:val="231F20"/>
        </w:rPr>
        <w:t>intends</w:t>
      </w:r>
      <w:r>
        <w:rPr>
          <w:color w:val="231F20"/>
          <w:spacing w:val="-15"/>
        </w:rPr>
        <w:t> </w:t>
      </w:r>
      <w:r>
        <w:rPr>
          <w:color w:val="231F20"/>
        </w:rPr>
        <w:t>to</w:t>
      </w:r>
      <w:r>
        <w:rPr>
          <w:color w:val="231F20"/>
          <w:spacing w:val="-15"/>
        </w:rPr>
        <w:t> </w:t>
      </w:r>
      <w:r>
        <w:rPr>
          <w:color w:val="231F20"/>
        </w:rPr>
        <w:t>subject,</w:t>
      </w:r>
      <w:r>
        <w:rPr>
          <w:color w:val="231F20"/>
          <w:spacing w:val="-15"/>
        </w:rPr>
        <w:t> </w:t>
      </w:r>
      <w:r>
        <w:rPr>
          <w:color w:val="231F20"/>
        </w:rPr>
        <w:t>or</w:t>
      </w:r>
      <w:r>
        <w:rPr>
          <w:color w:val="231F20"/>
          <w:spacing w:val="-15"/>
        </w:rPr>
        <w:t> </w:t>
      </w:r>
      <w:r>
        <w:rPr>
          <w:color w:val="231F20"/>
        </w:rPr>
        <w:t>which</w:t>
      </w:r>
      <w:r>
        <w:rPr>
          <w:color w:val="231F20"/>
          <w:spacing w:val="-15"/>
        </w:rPr>
        <w:t> </w:t>
      </w:r>
      <w:r>
        <w:rPr>
          <w:color w:val="231F20"/>
        </w:rPr>
        <w:t>has</w:t>
      </w:r>
      <w:r>
        <w:rPr>
          <w:color w:val="231F20"/>
          <w:spacing w:val="-15"/>
        </w:rPr>
        <w:t> </w:t>
      </w:r>
      <w:r>
        <w:rPr>
          <w:color w:val="231F20"/>
        </w:rPr>
        <w:t>already</w:t>
      </w:r>
      <w:r>
        <w:rPr>
          <w:color w:val="231F20"/>
          <w:spacing w:val="-15"/>
        </w:rPr>
        <w:t> </w:t>
      </w:r>
      <w:r>
        <w:rPr>
          <w:color w:val="231F20"/>
        </w:rPr>
        <w:t>subjected, the</w:t>
      </w:r>
      <w:r>
        <w:rPr>
          <w:color w:val="231F20"/>
          <w:spacing w:val="-14"/>
        </w:rPr>
        <w:t> </w:t>
      </w:r>
      <w:r>
        <w:rPr>
          <w:color w:val="231F20"/>
        </w:rPr>
        <w:t>same</w:t>
      </w:r>
      <w:r>
        <w:rPr>
          <w:color w:val="231F20"/>
          <w:spacing w:val="-14"/>
        </w:rPr>
        <w:t> </w:t>
      </w:r>
      <w:r>
        <w:rPr>
          <w:color w:val="231F20"/>
        </w:rPr>
        <w:t>taxable</w:t>
      </w:r>
      <w:r>
        <w:rPr>
          <w:color w:val="231F20"/>
          <w:spacing w:val="-14"/>
        </w:rPr>
        <w:t> </w:t>
      </w:r>
      <w:r>
        <w:rPr>
          <w:color w:val="231F20"/>
        </w:rPr>
        <w:t>transaction</w:t>
      </w:r>
      <w:r>
        <w:rPr>
          <w:color w:val="231F20"/>
          <w:spacing w:val="-14"/>
        </w:rPr>
        <w:t> </w:t>
      </w:r>
      <w:r>
        <w:rPr>
          <w:color w:val="231F20"/>
        </w:rPr>
        <w:t>to</w:t>
      </w:r>
      <w:r>
        <w:rPr>
          <w:color w:val="231F20"/>
          <w:spacing w:val="-14"/>
        </w:rPr>
        <w:t> </w:t>
      </w:r>
      <w:r>
        <w:rPr>
          <w:color w:val="231F20"/>
        </w:rPr>
        <w:t>a</w:t>
      </w:r>
      <w:r>
        <w:rPr>
          <w:color w:val="231F20"/>
          <w:spacing w:val="-14"/>
        </w:rPr>
        <w:t> </w:t>
      </w:r>
      <w:r>
        <w:rPr>
          <w:color w:val="231F20"/>
        </w:rPr>
        <w:t>second</w:t>
      </w:r>
      <w:r>
        <w:rPr>
          <w:color w:val="231F20"/>
          <w:spacing w:val="-14"/>
        </w:rPr>
        <w:t> </w:t>
      </w:r>
      <w:r>
        <w:rPr>
          <w:color w:val="231F20"/>
        </w:rPr>
        <w:t>taxation.</w:t>
      </w:r>
      <w:r>
        <w:rPr>
          <w:color w:val="231F20"/>
          <w:spacing w:val="-14"/>
        </w:rPr>
        <w:t> </w:t>
      </w:r>
      <w:r>
        <w:rPr>
          <w:color w:val="231F20"/>
        </w:rPr>
        <w:t>It</w:t>
      </w:r>
      <w:r>
        <w:rPr>
          <w:color w:val="231F20"/>
          <w:spacing w:val="-14"/>
        </w:rPr>
        <w:t> </w:t>
      </w:r>
      <w:r>
        <w:rPr>
          <w:color w:val="231F20"/>
        </w:rPr>
        <w:t>will</w:t>
      </w:r>
      <w:r>
        <w:rPr>
          <w:color w:val="231F20"/>
          <w:spacing w:val="-14"/>
        </w:rPr>
        <w:t> </w:t>
      </w:r>
      <w:r>
        <w:rPr>
          <w:color w:val="231F20"/>
        </w:rPr>
        <w:t>then</w:t>
      </w:r>
      <w:r>
        <w:rPr>
          <w:color w:val="231F20"/>
          <w:spacing w:val="-14"/>
        </w:rPr>
        <w:t> </w:t>
      </w:r>
      <w:r>
        <w:rPr>
          <w:color w:val="231F20"/>
        </w:rPr>
        <w:t>be</w:t>
      </w:r>
      <w:r>
        <w:rPr>
          <w:color w:val="231F20"/>
          <w:spacing w:val="-14"/>
        </w:rPr>
        <w:t> </w:t>
      </w:r>
      <w:r>
        <w:rPr>
          <w:color w:val="231F20"/>
        </w:rPr>
        <w:t>up</w:t>
      </w:r>
      <w:r>
        <w:rPr>
          <w:color w:val="231F20"/>
          <w:spacing w:val="-14"/>
        </w:rPr>
        <w:t> </w:t>
      </w:r>
      <w:r>
        <w:rPr>
          <w:color w:val="231F20"/>
        </w:rPr>
        <w:t>to</w:t>
      </w:r>
      <w:r>
        <w:rPr>
          <w:color w:val="231F20"/>
          <w:spacing w:val="-14"/>
        </w:rPr>
        <w:t> </w:t>
      </w:r>
      <w:r>
        <w:rPr>
          <w:color w:val="231F20"/>
        </w:rPr>
        <w:t>these tax jurisdictions to ask the Court of Justice to definitively rule, after years of litigation, which of the two Member States is competent to collect the harmonized tax on a given taxable transaction.</w:t>
      </w:r>
      <w:r>
        <w:rPr>
          <w:color w:val="231F20"/>
          <w:spacing w:val="40"/>
        </w:rPr>
        <w:t> </w:t>
      </w:r>
      <w:r>
        <w:rPr>
          <w:color w:val="231F20"/>
        </w:rPr>
        <w:t>We have seen above how in one case the Court of Justice managed, by relying on one ground of Regulation 904/2010, to deduce by interpretation at least an obligation for the tax administration that intended to subject a provision of services to VAT a second time, to send a request for information to the adminis- tration</w:t>
      </w:r>
      <w:r>
        <w:rPr>
          <w:color w:val="231F20"/>
          <w:spacing w:val="9"/>
        </w:rPr>
        <w:t> </w:t>
      </w:r>
      <w:r>
        <w:rPr>
          <w:color w:val="231F20"/>
        </w:rPr>
        <w:t>that</w:t>
      </w:r>
      <w:r>
        <w:rPr>
          <w:color w:val="231F20"/>
          <w:spacing w:val="11"/>
        </w:rPr>
        <w:t> </w:t>
      </w:r>
      <w:r>
        <w:rPr>
          <w:color w:val="231F20"/>
        </w:rPr>
        <w:t>had</w:t>
      </w:r>
      <w:r>
        <w:rPr>
          <w:color w:val="231F20"/>
          <w:spacing w:val="11"/>
        </w:rPr>
        <w:t> </w:t>
      </w:r>
      <w:r>
        <w:rPr>
          <w:color w:val="231F20"/>
        </w:rPr>
        <w:t>already</w:t>
      </w:r>
      <w:r>
        <w:rPr>
          <w:color w:val="231F20"/>
          <w:spacing w:val="11"/>
        </w:rPr>
        <w:t> </w:t>
      </w:r>
      <w:r>
        <w:rPr>
          <w:color w:val="231F20"/>
        </w:rPr>
        <w:t>collected</w:t>
      </w:r>
      <w:r>
        <w:rPr>
          <w:color w:val="231F20"/>
          <w:spacing w:val="9"/>
        </w:rPr>
        <w:t> </w:t>
      </w:r>
      <w:r>
        <w:rPr>
          <w:color w:val="231F20"/>
        </w:rPr>
        <w:t>VAT</w:t>
      </w:r>
      <w:r>
        <w:rPr>
          <w:color w:val="231F20"/>
          <w:spacing w:val="11"/>
        </w:rPr>
        <w:t> </w:t>
      </w:r>
      <w:r>
        <w:rPr>
          <w:color w:val="231F20"/>
        </w:rPr>
        <w:t>on</w:t>
      </w:r>
      <w:r>
        <w:rPr>
          <w:color w:val="231F20"/>
          <w:spacing w:val="11"/>
        </w:rPr>
        <w:t> </w:t>
      </w:r>
      <w:r>
        <w:rPr>
          <w:color w:val="231F20"/>
        </w:rPr>
        <w:t>the</w:t>
      </w:r>
      <w:r>
        <w:rPr>
          <w:color w:val="231F20"/>
          <w:spacing w:val="11"/>
        </w:rPr>
        <w:t> </w:t>
      </w:r>
      <w:r>
        <w:rPr>
          <w:color w:val="231F20"/>
        </w:rPr>
        <w:t>same</w:t>
      </w:r>
      <w:r>
        <w:rPr>
          <w:color w:val="231F20"/>
          <w:spacing w:val="11"/>
        </w:rPr>
        <w:t> </w:t>
      </w:r>
      <w:r>
        <w:rPr>
          <w:color w:val="231F20"/>
        </w:rPr>
        <w:t>taxable</w:t>
      </w:r>
      <w:r>
        <w:rPr>
          <w:color w:val="231F20"/>
          <w:spacing w:val="12"/>
        </w:rPr>
        <w:t> </w:t>
      </w:r>
      <w:r>
        <w:rPr>
          <w:color w:val="231F20"/>
          <w:spacing w:val="-2"/>
        </w:rPr>
        <w:t>transaction</w:t>
      </w:r>
      <w:r>
        <w:rPr>
          <w:color w:val="231F20"/>
          <w:spacing w:val="-2"/>
          <w:position w:val="8"/>
          <w:sz w:val="14"/>
        </w:rPr>
        <w:t>53</w:t>
      </w:r>
      <w:r>
        <w:rPr>
          <w:color w:val="231F20"/>
          <w:spacing w:val="-2"/>
        </w:rPr>
        <w:t>.</w:t>
      </w:r>
    </w:p>
    <w:p>
      <w:pPr>
        <w:pStyle w:val="BodyText"/>
        <w:spacing w:before="46"/>
        <w:rPr>
          <w:sz w:val="20"/>
        </w:rPr>
      </w:pPr>
      <w:r>
        <w:rPr/>
        <mc:AlternateContent>
          <mc:Choice Requires="wps">
            <w:drawing>
              <wp:anchor distT="0" distB="0" distL="0" distR="0" allowOverlap="1" layoutInCell="1" locked="0" behindDoc="1" simplePos="0" relativeHeight="487605760">
                <wp:simplePos x="0" y="0"/>
                <wp:positionH relativeFrom="page">
                  <wp:posOffset>899999</wp:posOffset>
                </wp:positionH>
                <wp:positionV relativeFrom="paragraph">
                  <wp:posOffset>206198</wp:posOffset>
                </wp:positionV>
                <wp:extent cx="792480" cy="1270"/>
                <wp:effectExtent l="0" t="0" r="0" b="0"/>
                <wp:wrapTopAndBottom/>
                <wp:docPr id="70" name="Graphic 70"/>
                <wp:cNvGraphicFramePr>
                  <a:graphicFrameLocks/>
                </wp:cNvGraphicFramePr>
                <a:graphic>
                  <a:graphicData uri="http://schemas.microsoft.com/office/word/2010/wordprocessingShape">
                    <wps:wsp>
                      <wps:cNvPr id="70" name="Graphic 70"/>
                      <wps:cNvSpPr/>
                      <wps:spPr>
                        <a:xfrm>
                          <a:off x="0" y="0"/>
                          <a:ext cx="792480" cy="1270"/>
                        </a:xfrm>
                        <a:custGeom>
                          <a:avLst/>
                          <a:gdLst/>
                          <a:ahLst/>
                          <a:cxnLst/>
                          <a:rect l="l" t="t" r="r" b="b"/>
                          <a:pathLst>
                            <a:path w="792480" h="0">
                              <a:moveTo>
                                <a:pt x="0" y="0"/>
                              </a:moveTo>
                              <a:lnTo>
                                <a:pt x="791997"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shape style="position:absolute;margin-left:70.866096pt;margin-top:16.236099pt;width:62.4pt;height:.1pt;mso-position-horizontal-relative:page;mso-position-vertical-relative:paragraph;z-index:-15710720;mso-wrap-distance-left:0;mso-wrap-distance-right:0" id="docshape58" coordorigin="1417,325" coordsize="1248,0" path="m1417,325l2665,325e" filled="false" stroked="true" strokeweight=".5pt" strokecolor="#231f20">
                <v:path arrowok="t"/>
                <v:stroke dashstyle="solid"/>
                <w10:wrap type="topAndBottom"/>
              </v:shape>
            </w:pict>
          </mc:Fallback>
        </mc:AlternateContent>
      </w:r>
    </w:p>
    <w:p>
      <w:pPr>
        <w:spacing w:line="235" w:lineRule="exact" w:before="190"/>
        <w:ind w:left="157" w:right="0" w:firstLine="0"/>
        <w:jc w:val="both"/>
        <w:rPr>
          <w:sz w:val="19"/>
        </w:rPr>
      </w:pPr>
      <w:r>
        <w:rPr>
          <w:color w:val="231F20"/>
          <w:sz w:val="19"/>
        </w:rPr>
        <w:t>legislative</w:t>
      </w:r>
      <w:r>
        <w:rPr>
          <w:color w:val="231F20"/>
          <w:spacing w:val="-2"/>
          <w:sz w:val="19"/>
        </w:rPr>
        <w:t> provision.</w:t>
      </w:r>
    </w:p>
    <w:p>
      <w:pPr>
        <w:spacing w:line="225" w:lineRule="auto" w:before="4"/>
        <w:ind w:left="157" w:right="118" w:firstLine="0"/>
        <w:jc w:val="both"/>
        <w:rPr>
          <w:sz w:val="19"/>
        </w:rPr>
      </w:pPr>
      <w:r>
        <w:rPr>
          <w:color w:val="231F20"/>
          <w:position w:val="6"/>
          <w:sz w:val="11"/>
        </w:rPr>
        <w:t>50</w:t>
      </w:r>
      <w:r>
        <w:rPr>
          <w:color w:val="231F20"/>
          <w:spacing w:val="40"/>
          <w:position w:val="6"/>
          <w:sz w:val="11"/>
        </w:rPr>
        <w:t>  </w:t>
      </w:r>
      <w:r>
        <w:rPr>
          <w:color w:val="231F20"/>
          <w:sz w:val="19"/>
        </w:rPr>
        <w:t>This is nothing else but the compulsory follow-up given by the EU Council of Ministers to</w:t>
      </w:r>
      <w:r>
        <w:rPr>
          <w:color w:val="231F20"/>
          <w:spacing w:val="-4"/>
          <w:sz w:val="19"/>
        </w:rPr>
        <w:t> </w:t>
      </w:r>
      <w:r>
        <w:rPr>
          <w:color w:val="231F20"/>
          <w:sz w:val="19"/>
        </w:rPr>
        <w:t>the</w:t>
      </w:r>
      <w:r>
        <w:rPr>
          <w:color w:val="231F20"/>
          <w:spacing w:val="-4"/>
          <w:sz w:val="19"/>
        </w:rPr>
        <w:t> </w:t>
      </w:r>
      <w:r>
        <w:rPr>
          <w:color w:val="231F20"/>
          <w:sz w:val="19"/>
        </w:rPr>
        <w:t>declaration</w:t>
      </w:r>
      <w:r>
        <w:rPr>
          <w:color w:val="231F20"/>
          <w:spacing w:val="-4"/>
          <w:sz w:val="19"/>
        </w:rPr>
        <w:t> </w:t>
      </w:r>
      <w:r>
        <w:rPr>
          <w:color w:val="231F20"/>
          <w:sz w:val="19"/>
        </w:rPr>
        <w:t>of</w:t>
      </w:r>
      <w:r>
        <w:rPr>
          <w:color w:val="231F20"/>
          <w:spacing w:val="-4"/>
          <w:sz w:val="19"/>
        </w:rPr>
        <w:t> </w:t>
      </w:r>
      <w:r>
        <w:rPr>
          <w:color w:val="231F20"/>
          <w:sz w:val="19"/>
        </w:rPr>
        <w:t>invalidity</w:t>
      </w:r>
      <w:r>
        <w:rPr>
          <w:color w:val="231F20"/>
          <w:spacing w:val="-4"/>
          <w:sz w:val="19"/>
        </w:rPr>
        <w:t> </w:t>
      </w:r>
      <w:r>
        <w:rPr>
          <w:color w:val="231F20"/>
          <w:sz w:val="19"/>
        </w:rPr>
        <w:t>of</w:t>
      </w:r>
      <w:r>
        <w:rPr>
          <w:color w:val="231F20"/>
          <w:spacing w:val="-4"/>
          <w:sz w:val="19"/>
        </w:rPr>
        <w:t> </w:t>
      </w:r>
      <w:r>
        <w:rPr>
          <w:color w:val="231F20"/>
          <w:sz w:val="19"/>
        </w:rPr>
        <w:t>par.</w:t>
      </w:r>
      <w:r>
        <w:rPr>
          <w:color w:val="231F20"/>
          <w:spacing w:val="-4"/>
          <w:sz w:val="19"/>
        </w:rPr>
        <w:t> </w:t>
      </w:r>
      <w:r>
        <w:rPr>
          <w:color w:val="231F20"/>
          <w:sz w:val="19"/>
        </w:rPr>
        <w:t>5</w:t>
      </w:r>
      <w:r>
        <w:rPr>
          <w:color w:val="231F20"/>
          <w:spacing w:val="-4"/>
          <w:sz w:val="19"/>
        </w:rPr>
        <w:t> </w:t>
      </w:r>
      <w:r>
        <w:rPr>
          <w:color w:val="231F20"/>
          <w:sz w:val="19"/>
        </w:rPr>
        <w:t>of</w:t>
      </w:r>
      <w:r>
        <w:rPr>
          <w:color w:val="231F20"/>
          <w:spacing w:val="-4"/>
          <w:sz w:val="19"/>
        </w:rPr>
        <w:t> </w:t>
      </w:r>
      <w:r>
        <w:rPr>
          <w:color w:val="231F20"/>
          <w:sz w:val="19"/>
        </w:rPr>
        <w:t>the</w:t>
      </w:r>
      <w:r>
        <w:rPr>
          <w:color w:val="231F20"/>
          <w:spacing w:val="-4"/>
          <w:sz w:val="19"/>
        </w:rPr>
        <w:t> </w:t>
      </w:r>
      <w:r>
        <w:rPr>
          <w:color w:val="231F20"/>
          <w:sz w:val="19"/>
        </w:rPr>
        <w:t>art.</w:t>
      </w:r>
      <w:r>
        <w:rPr>
          <w:color w:val="231F20"/>
          <w:spacing w:val="-4"/>
          <w:sz w:val="19"/>
        </w:rPr>
        <w:t> </w:t>
      </w:r>
      <w:r>
        <w:rPr>
          <w:color w:val="231F20"/>
          <w:sz w:val="19"/>
        </w:rPr>
        <w:t>8ab</w:t>
      </w:r>
      <w:r>
        <w:rPr>
          <w:color w:val="231F20"/>
          <w:spacing w:val="-4"/>
          <w:sz w:val="19"/>
        </w:rPr>
        <w:t> </w:t>
      </w:r>
      <w:r>
        <w:rPr>
          <w:color w:val="231F20"/>
          <w:sz w:val="19"/>
        </w:rPr>
        <w:t>of</w:t>
      </w:r>
      <w:r>
        <w:rPr>
          <w:color w:val="231F20"/>
          <w:spacing w:val="-4"/>
          <w:sz w:val="19"/>
        </w:rPr>
        <w:t> </w:t>
      </w:r>
      <w:r>
        <w:rPr>
          <w:color w:val="231F20"/>
          <w:sz w:val="19"/>
        </w:rPr>
        <w:t>Directive</w:t>
      </w:r>
      <w:r>
        <w:rPr>
          <w:color w:val="231F20"/>
          <w:spacing w:val="-4"/>
          <w:sz w:val="19"/>
        </w:rPr>
        <w:t> </w:t>
      </w:r>
      <w:r>
        <w:rPr>
          <w:color w:val="231F20"/>
          <w:sz w:val="19"/>
        </w:rPr>
        <w:t>2011/16/EU,</w:t>
      </w:r>
      <w:r>
        <w:rPr>
          <w:color w:val="231F20"/>
          <w:spacing w:val="-4"/>
          <w:sz w:val="19"/>
        </w:rPr>
        <w:t> </w:t>
      </w:r>
      <w:r>
        <w:rPr>
          <w:color w:val="231F20"/>
          <w:sz w:val="19"/>
        </w:rPr>
        <w:t>made</w:t>
      </w:r>
      <w:r>
        <w:rPr>
          <w:color w:val="231F20"/>
          <w:spacing w:val="-4"/>
          <w:sz w:val="19"/>
        </w:rPr>
        <w:t> </w:t>
      </w:r>
      <w:r>
        <w:rPr>
          <w:color w:val="231F20"/>
          <w:sz w:val="19"/>
        </w:rPr>
        <w:t>by</w:t>
      </w:r>
      <w:r>
        <w:rPr>
          <w:color w:val="231F20"/>
          <w:spacing w:val="-4"/>
          <w:sz w:val="19"/>
        </w:rPr>
        <w:t> </w:t>
      </w:r>
      <w:r>
        <w:rPr>
          <w:color w:val="231F20"/>
          <w:sz w:val="19"/>
        </w:rPr>
        <w:t>the Court of Justice in judgement C-694/20 </w:t>
      </w:r>
      <w:r>
        <w:rPr>
          <w:i/>
          <w:color w:val="231F20"/>
          <w:sz w:val="19"/>
        </w:rPr>
        <w:t>Orde van</w:t>
      </w:r>
      <w:r>
        <w:rPr>
          <w:i/>
          <w:color w:val="231F20"/>
          <w:spacing w:val="-4"/>
          <w:sz w:val="19"/>
        </w:rPr>
        <w:t> </w:t>
      </w:r>
      <w:r>
        <w:rPr>
          <w:i/>
          <w:color w:val="231F20"/>
          <w:sz w:val="19"/>
        </w:rPr>
        <w:t>Vlaamse Balies, </w:t>
      </w:r>
      <w:r>
        <w:rPr>
          <w:color w:val="231F20"/>
          <w:sz w:val="19"/>
        </w:rPr>
        <w:t>also examined above. The directive that amended par.5 art. 8ab of the basic directive is the so-called directive DAC 8 2023/2226/EU, art. 1, no. 4, letter a).</w:t>
      </w:r>
    </w:p>
    <w:p>
      <w:pPr>
        <w:spacing w:line="229" w:lineRule="exact" w:before="0"/>
        <w:ind w:left="157" w:right="0" w:firstLine="0"/>
        <w:jc w:val="left"/>
        <w:rPr>
          <w:sz w:val="19"/>
        </w:rPr>
      </w:pPr>
      <w:r>
        <w:rPr>
          <w:color w:val="231F20"/>
          <w:position w:val="6"/>
          <w:sz w:val="11"/>
        </w:rPr>
        <w:t>51</w:t>
      </w:r>
      <w:r>
        <w:rPr>
          <w:color w:val="231F20"/>
          <w:spacing w:val="45"/>
          <w:position w:val="6"/>
          <w:sz w:val="11"/>
        </w:rPr>
        <w:t>  </w:t>
      </w:r>
      <w:r>
        <w:rPr>
          <w:color w:val="231F20"/>
          <w:sz w:val="19"/>
        </w:rPr>
        <w:t>Cases</w:t>
      </w:r>
      <w:r>
        <w:rPr>
          <w:color w:val="231F20"/>
          <w:spacing w:val="-4"/>
          <w:sz w:val="19"/>
        </w:rPr>
        <w:t> </w:t>
      </w:r>
      <w:r>
        <w:rPr>
          <w:i/>
          <w:color w:val="231F20"/>
          <w:sz w:val="19"/>
        </w:rPr>
        <w:t>Webmind</w:t>
      </w:r>
      <w:r>
        <w:rPr>
          <w:i/>
          <w:color w:val="231F20"/>
          <w:spacing w:val="-5"/>
          <w:sz w:val="19"/>
        </w:rPr>
        <w:t> </w:t>
      </w:r>
      <w:r>
        <w:rPr>
          <w:i/>
          <w:color w:val="231F20"/>
          <w:sz w:val="19"/>
        </w:rPr>
        <w:t>License</w:t>
      </w:r>
      <w:r>
        <w:rPr>
          <w:i/>
          <w:color w:val="231F20"/>
          <w:spacing w:val="-5"/>
          <w:sz w:val="19"/>
        </w:rPr>
        <w:t> </w:t>
      </w:r>
      <w:r>
        <w:rPr>
          <w:color w:val="231F20"/>
          <w:sz w:val="19"/>
        </w:rPr>
        <w:t>C-419/14</w:t>
      </w:r>
      <w:r>
        <w:rPr>
          <w:color w:val="231F20"/>
          <w:spacing w:val="-5"/>
          <w:sz w:val="19"/>
        </w:rPr>
        <w:t> </w:t>
      </w:r>
      <w:r>
        <w:rPr>
          <w:color w:val="231F20"/>
          <w:sz w:val="19"/>
        </w:rPr>
        <w:t>and</w:t>
      </w:r>
      <w:r>
        <w:rPr>
          <w:color w:val="231F20"/>
          <w:spacing w:val="-4"/>
          <w:sz w:val="19"/>
        </w:rPr>
        <w:t> </w:t>
      </w:r>
      <w:r>
        <w:rPr>
          <w:i/>
          <w:color w:val="231F20"/>
          <w:sz w:val="19"/>
        </w:rPr>
        <w:t>KrakVet</w:t>
      </w:r>
      <w:r>
        <w:rPr>
          <w:i/>
          <w:color w:val="231F20"/>
          <w:spacing w:val="-5"/>
          <w:sz w:val="19"/>
        </w:rPr>
        <w:t> </w:t>
      </w:r>
      <w:r>
        <w:rPr>
          <w:i/>
          <w:color w:val="231F20"/>
          <w:sz w:val="19"/>
        </w:rPr>
        <w:t>Marek</w:t>
      </w:r>
      <w:r>
        <w:rPr>
          <w:i/>
          <w:color w:val="231F20"/>
          <w:spacing w:val="-5"/>
          <w:sz w:val="19"/>
        </w:rPr>
        <w:t> </w:t>
      </w:r>
      <w:r>
        <w:rPr>
          <w:color w:val="231F20"/>
          <w:sz w:val="19"/>
        </w:rPr>
        <w:t>C-</w:t>
      </w:r>
      <w:r>
        <w:rPr>
          <w:color w:val="231F20"/>
          <w:spacing w:val="-2"/>
          <w:sz w:val="19"/>
        </w:rPr>
        <w:t>276/18.</w:t>
      </w:r>
    </w:p>
    <w:p>
      <w:pPr>
        <w:spacing w:line="228" w:lineRule="exact" w:before="0"/>
        <w:ind w:left="157" w:right="0" w:firstLine="0"/>
        <w:jc w:val="left"/>
        <w:rPr>
          <w:sz w:val="19"/>
        </w:rPr>
      </w:pPr>
      <w:r>
        <w:rPr>
          <w:color w:val="231F20"/>
          <w:position w:val="6"/>
          <w:sz w:val="11"/>
        </w:rPr>
        <w:t>52</w:t>
      </w:r>
      <w:r>
        <w:rPr>
          <w:color w:val="231F20"/>
          <w:spacing w:val="72"/>
          <w:w w:val="150"/>
          <w:position w:val="6"/>
          <w:sz w:val="11"/>
        </w:rPr>
        <w:t> </w:t>
      </w:r>
      <w:r>
        <w:rPr>
          <w:color w:val="231F20"/>
          <w:sz w:val="19"/>
        </w:rPr>
        <w:t>Case</w:t>
      </w:r>
      <w:r>
        <w:rPr>
          <w:color w:val="231F20"/>
          <w:spacing w:val="-1"/>
          <w:sz w:val="19"/>
        </w:rPr>
        <w:t> </w:t>
      </w:r>
      <w:r>
        <w:rPr>
          <w:i/>
          <w:color w:val="231F20"/>
          <w:sz w:val="19"/>
        </w:rPr>
        <w:t>Silcompa </w:t>
      </w:r>
      <w:r>
        <w:rPr>
          <w:color w:val="231F20"/>
          <w:sz w:val="19"/>
        </w:rPr>
        <w:t>C-</w:t>
      </w:r>
      <w:r>
        <w:rPr>
          <w:color w:val="231F20"/>
          <w:spacing w:val="-2"/>
          <w:sz w:val="19"/>
        </w:rPr>
        <w:t>95/19.</w:t>
      </w:r>
    </w:p>
    <w:p>
      <w:pPr>
        <w:spacing w:line="235" w:lineRule="exact" w:before="0"/>
        <w:ind w:left="157" w:right="0" w:firstLine="0"/>
        <w:jc w:val="left"/>
        <w:rPr>
          <w:sz w:val="19"/>
        </w:rPr>
      </w:pPr>
      <w:r>
        <w:rPr>
          <w:color w:val="231F20"/>
          <w:position w:val="6"/>
          <w:sz w:val="11"/>
        </w:rPr>
        <w:t>53</w:t>
      </w:r>
      <w:r>
        <w:rPr>
          <w:color w:val="231F20"/>
          <w:spacing w:val="50"/>
          <w:position w:val="6"/>
          <w:sz w:val="11"/>
        </w:rPr>
        <w:t>  </w:t>
      </w:r>
      <w:r>
        <w:rPr>
          <w:color w:val="231F20"/>
          <w:sz w:val="19"/>
        </w:rPr>
        <w:t>Case</w:t>
      </w:r>
      <w:r>
        <w:rPr>
          <w:color w:val="231F20"/>
          <w:spacing w:val="-1"/>
          <w:sz w:val="19"/>
        </w:rPr>
        <w:t> </w:t>
      </w:r>
      <w:r>
        <w:rPr>
          <w:i/>
          <w:color w:val="231F20"/>
          <w:sz w:val="19"/>
        </w:rPr>
        <w:t>Webmind</w:t>
      </w:r>
      <w:r>
        <w:rPr>
          <w:i/>
          <w:color w:val="231F20"/>
          <w:spacing w:val="-2"/>
          <w:sz w:val="19"/>
        </w:rPr>
        <w:t> </w:t>
      </w:r>
      <w:r>
        <w:rPr>
          <w:i/>
          <w:color w:val="231F20"/>
          <w:sz w:val="19"/>
        </w:rPr>
        <w:t>Licenses</w:t>
      </w:r>
      <w:r>
        <w:rPr>
          <w:i/>
          <w:color w:val="231F20"/>
          <w:spacing w:val="-2"/>
          <w:sz w:val="19"/>
        </w:rPr>
        <w:t> </w:t>
      </w:r>
      <w:r>
        <w:rPr>
          <w:color w:val="231F20"/>
          <w:sz w:val="19"/>
        </w:rPr>
        <w:t>C-419/14,</w:t>
      </w:r>
      <w:r>
        <w:rPr>
          <w:color w:val="231F20"/>
          <w:spacing w:val="-2"/>
          <w:sz w:val="19"/>
        </w:rPr>
        <w:t> </w:t>
      </w:r>
      <w:r>
        <w:rPr>
          <w:color w:val="231F20"/>
          <w:sz w:val="19"/>
        </w:rPr>
        <w:t>points</w:t>
      </w:r>
      <w:r>
        <w:rPr>
          <w:color w:val="231F20"/>
          <w:spacing w:val="-2"/>
          <w:sz w:val="19"/>
        </w:rPr>
        <w:t> </w:t>
      </w:r>
      <w:r>
        <w:rPr>
          <w:color w:val="231F20"/>
          <w:sz w:val="19"/>
        </w:rPr>
        <w:t>57</w:t>
      </w:r>
      <w:r>
        <w:rPr>
          <w:color w:val="231F20"/>
          <w:spacing w:val="-2"/>
          <w:sz w:val="19"/>
        </w:rPr>
        <w:t> </w:t>
      </w:r>
      <w:r>
        <w:rPr>
          <w:color w:val="231F20"/>
          <w:sz w:val="19"/>
        </w:rPr>
        <w:t>to</w:t>
      </w:r>
      <w:r>
        <w:rPr>
          <w:color w:val="231F20"/>
          <w:spacing w:val="-2"/>
          <w:sz w:val="19"/>
        </w:rPr>
        <w:t> </w:t>
      </w:r>
      <w:r>
        <w:rPr>
          <w:color w:val="231F20"/>
          <w:spacing w:val="-5"/>
          <w:sz w:val="19"/>
        </w:rPr>
        <w:t>59.</w:t>
      </w:r>
    </w:p>
    <w:p>
      <w:pPr>
        <w:spacing w:after="0" w:line="235" w:lineRule="exact"/>
        <w:jc w:val="left"/>
        <w:rPr>
          <w:sz w:val="19"/>
        </w:rPr>
        <w:sectPr>
          <w:pgSz w:w="9640" w:h="13610"/>
          <w:pgMar w:header="0" w:footer="625" w:top="1260" w:bottom="820" w:left="1260" w:right="1240"/>
        </w:sectPr>
      </w:pPr>
    </w:p>
    <w:p>
      <w:pPr>
        <w:pStyle w:val="BodyText"/>
        <w:spacing w:line="225" w:lineRule="auto" w:before="117"/>
        <w:ind w:left="100" w:right="174"/>
        <w:jc w:val="right"/>
      </w:pPr>
      <w:r>
        <w:rPr>
          <w:color w:val="231F20"/>
        </w:rPr>
        <w:t>However, in the important </w:t>
      </w:r>
      <w:r>
        <w:rPr>
          <w:i/>
          <w:color w:val="231F20"/>
        </w:rPr>
        <w:t>KrakVet </w:t>
      </w:r>
      <w:r>
        <w:rPr>
          <w:color w:val="231F20"/>
        </w:rPr>
        <w:t>Marek ruling, also examined above, the</w:t>
      </w:r>
      <w:r>
        <w:rPr>
          <w:color w:val="231F20"/>
          <w:spacing w:val="-5"/>
        </w:rPr>
        <w:t> </w:t>
      </w:r>
      <w:r>
        <w:rPr>
          <w:color w:val="231F20"/>
        </w:rPr>
        <w:t>Union</w:t>
      </w:r>
      <w:r>
        <w:rPr>
          <w:color w:val="231F20"/>
          <w:spacing w:val="-5"/>
        </w:rPr>
        <w:t> </w:t>
      </w:r>
      <w:r>
        <w:rPr>
          <w:color w:val="231F20"/>
        </w:rPr>
        <w:t>judges</w:t>
      </w:r>
      <w:r>
        <w:rPr>
          <w:color w:val="231F20"/>
          <w:spacing w:val="-5"/>
        </w:rPr>
        <w:t> </w:t>
      </w:r>
      <w:r>
        <w:rPr>
          <w:color w:val="231F20"/>
        </w:rPr>
        <w:t>had</w:t>
      </w:r>
      <w:r>
        <w:rPr>
          <w:color w:val="231F20"/>
          <w:spacing w:val="-5"/>
        </w:rPr>
        <w:t> </w:t>
      </w:r>
      <w:r>
        <w:rPr>
          <w:color w:val="231F20"/>
        </w:rPr>
        <w:t>to</w:t>
      </w:r>
      <w:r>
        <w:rPr>
          <w:color w:val="231F20"/>
          <w:spacing w:val="-5"/>
        </w:rPr>
        <w:t> </w:t>
      </w:r>
      <w:r>
        <w:rPr>
          <w:color w:val="231F20"/>
        </w:rPr>
        <w:t>recognize</w:t>
      </w:r>
      <w:r>
        <w:rPr>
          <w:color w:val="231F20"/>
          <w:spacing w:val="-5"/>
        </w:rPr>
        <w:t> </w:t>
      </w:r>
      <w:r>
        <w:rPr>
          <w:color w:val="231F20"/>
        </w:rPr>
        <w:t>that</w:t>
      </w:r>
      <w:r>
        <w:rPr>
          <w:color w:val="231F20"/>
          <w:spacing w:val="-5"/>
        </w:rPr>
        <w:t> </w:t>
      </w:r>
      <w:r>
        <w:rPr>
          <w:color w:val="231F20"/>
        </w:rPr>
        <w:t>the</w:t>
      </w:r>
      <w:r>
        <w:rPr>
          <w:color w:val="231F20"/>
          <w:spacing w:val="-5"/>
        </w:rPr>
        <w:t> </w:t>
      </w:r>
      <w:r>
        <w:rPr>
          <w:color w:val="231F20"/>
        </w:rPr>
        <w:t>duties</w:t>
      </w:r>
      <w:r>
        <w:rPr>
          <w:color w:val="231F20"/>
          <w:spacing w:val="-5"/>
        </w:rPr>
        <w:t> </w:t>
      </w:r>
      <w:r>
        <w:rPr>
          <w:color w:val="231F20"/>
        </w:rPr>
        <w:t>of</w:t>
      </w:r>
      <w:r>
        <w:rPr>
          <w:color w:val="231F20"/>
          <w:spacing w:val="-5"/>
        </w:rPr>
        <w:t> </w:t>
      </w:r>
      <w:r>
        <w:rPr>
          <w:color w:val="231F20"/>
        </w:rPr>
        <w:t>cooperation</w:t>
      </w:r>
      <w:r>
        <w:rPr>
          <w:color w:val="231F20"/>
          <w:spacing w:val="-5"/>
        </w:rPr>
        <w:t> </w:t>
      </w:r>
      <w:r>
        <w:rPr>
          <w:color w:val="231F20"/>
        </w:rPr>
        <w:t>provided for by Regulation 904/2010 does not go as far as to impose on Member States tax administrations any obligation «to reach a common solution </w:t>
      </w:r>
      <w:r>
        <w:rPr>
          <w:color w:val="231F20"/>
        </w:rPr>
        <w:t>as regards the treatment of a transaction for VAT purposes»</w:t>
      </w:r>
      <w:r>
        <w:rPr>
          <w:color w:val="231F20"/>
          <w:position w:val="8"/>
          <w:sz w:val="14"/>
        </w:rPr>
        <w:t>54</w:t>
      </w:r>
      <w:r>
        <w:rPr>
          <w:color w:val="231F20"/>
        </w:rPr>
        <w:t>. Such conclu- sion appears entirely logical since the duties of administrative cooperation provided</w:t>
      </w:r>
      <w:r>
        <w:rPr>
          <w:color w:val="231F20"/>
          <w:spacing w:val="-4"/>
        </w:rPr>
        <w:t> </w:t>
      </w:r>
      <w:r>
        <w:rPr>
          <w:color w:val="231F20"/>
        </w:rPr>
        <w:t>by</w:t>
      </w:r>
      <w:r>
        <w:rPr>
          <w:color w:val="231F20"/>
          <w:spacing w:val="-4"/>
        </w:rPr>
        <w:t> </w:t>
      </w:r>
      <w:r>
        <w:rPr>
          <w:color w:val="231F20"/>
        </w:rPr>
        <w:t>regulation</w:t>
      </w:r>
      <w:r>
        <w:rPr>
          <w:color w:val="231F20"/>
          <w:spacing w:val="-4"/>
        </w:rPr>
        <w:t> </w:t>
      </w:r>
      <w:r>
        <w:rPr>
          <w:color w:val="231F20"/>
        </w:rPr>
        <w:t>904/2010</w:t>
      </w:r>
      <w:r>
        <w:rPr>
          <w:color w:val="231F20"/>
          <w:spacing w:val="-4"/>
        </w:rPr>
        <w:t> </w:t>
      </w:r>
      <w:r>
        <w:rPr>
          <w:color w:val="231F20"/>
        </w:rPr>
        <w:t>consist</w:t>
      </w:r>
      <w:r>
        <w:rPr>
          <w:color w:val="231F20"/>
          <w:spacing w:val="-4"/>
        </w:rPr>
        <w:t> </w:t>
      </w:r>
      <w:r>
        <w:rPr>
          <w:color w:val="231F20"/>
        </w:rPr>
        <w:t>in</w:t>
      </w:r>
      <w:r>
        <w:rPr>
          <w:color w:val="231F20"/>
          <w:spacing w:val="-4"/>
        </w:rPr>
        <w:t> </w:t>
      </w:r>
      <w:r>
        <w:rPr>
          <w:color w:val="231F20"/>
        </w:rPr>
        <w:t>purely</w:t>
      </w:r>
      <w:r>
        <w:rPr>
          <w:color w:val="231F20"/>
          <w:spacing w:val="-4"/>
        </w:rPr>
        <w:t> </w:t>
      </w:r>
      <w:r>
        <w:rPr>
          <w:color w:val="231F20"/>
        </w:rPr>
        <w:t>procedural</w:t>
      </w:r>
      <w:r>
        <w:rPr>
          <w:color w:val="231F20"/>
          <w:spacing w:val="-4"/>
        </w:rPr>
        <w:t> </w:t>
      </w:r>
      <w:r>
        <w:rPr>
          <w:color w:val="231F20"/>
        </w:rPr>
        <w:t>obligations. On the other hand, the Court explicitly stated that the different legal qualification given to the same taxable operation by two administrations of different Member States represents «a misapplication of the provisions of</w:t>
      </w:r>
      <w:r>
        <w:rPr>
          <w:color w:val="231F20"/>
          <w:spacing w:val="-8"/>
        </w:rPr>
        <w:t> </w:t>
      </w:r>
      <w:r>
        <w:rPr>
          <w:color w:val="231F20"/>
        </w:rPr>
        <w:t>the</w:t>
      </w:r>
      <w:r>
        <w:rPr>
          <w:color w:val="231F20"/>
          <w:spacing w:val="-12"/>
        </w:rPr>
        <w:t> </w:t>
      </w:r>
      <w:r>
        <w:rPr>
          <w:color w:val="231F20"/>
        </w:rPr>
        <w:t>VAT</w:t>
      </w:r>
      <w:r>
        <w:rPr>
          <w:color w:val="231F20"/>
          <w:spacing w:val="-8"/>
        </w:rPr>
        <w:t> </w:t>
      </w:r>
      <w:r>
        <w:rPr>
          <w:color w:val="231F20"/>
        </w:rPr>
        <w:t>Directive»</w:t>
      </w:r>
      <w:r>
        <w:rPr>
          <w:color w:val="231F20"/>
          <w:position w:val="8"/>
          <w:sz w:val="14"/>
        </w:rPr>
        <w:t>55</w:t>
      </w:r>
      <w:r>
        <w:rPr>
          <w:color w:val="231F20"/>
        </w:rPr>
        <w:t>,</w:t>
      </w:r>
      <w:r>
        <w:rPr>
          <w:color w:val="231F20"/>
          <w:spacing w:val="-8"/>
        </w:rPr>
        <w:t> </w:t>
      </w:r>
      <w:r>
        <w:rPr>
          <w:color w:val="231F20"/>
        </w:rPr>
        <w:t>as</w:t>
      </w:r>
      <w:r>
        <w:rPr>
          <w:color w:val="231F20"/>
          <w:spacing w:val="-9"/>
        </w:rPr>
        <w:t> </w:t>
      </w:r>
      <w:r>
        <w:rPr>
          <w:color w:val="231F20"/>
        </w:rPr>
        <w:t>well</w:t>
      </w:r>
      <w:r>
        <w:rPr>
          <w:color w:val="231F20"/>
          <w:spacing w:val="-8"/>
        </w:rPr>
        <w:t> </w:t>
      </w:r>
      <w:r>
        <w:rPr>
          <w:color w:val="231F20"/>
        </w:rPr>
        <w:t>as</w:t>
      </w:r>
      <w:r>
        <w:rPr>
          <w:color w:val="231F20"/>
          <w:spacing w:val="-8"/>
        </w:rPr>
        <w:t> </w:t>
      </w:r>
      <w:r>
        <w:rPr>
          <w:color w:val="231F20"/>
        </w:rPr>
        <w:t>the</w:t>
      </w:r>
      <w:r>
        <w:rPr>
          <w:color w:val="231F20"/>
          <w:spacing w:val="-9"/>
        </w:rPr>
        <w:t> </w:t>
      </w:r>
      <w:r>
        <w:rPr>
          <w:color w:val="231F20"/>
        </w:rPr>
        <w:t>double</w:t>
      </w:r>
      <w:r>
        <w:rPr>
          <w:color w:val="231F20"/>
          <w:spacing w:val="-8"/>
        </w:rPr>
        <w:t> </w:t>
      </w:r>
      <w:r>
        <w:rPr>
          <w:color w:val="231F20"/>
        </w:rPr>
        <w:t>collection</w:t>
      </w:r>
      <w:r>
        <w:rPr>
          <w:color w:val="231F20"/>
          <w:spacing w:val="-8"/>
        </w:rPr>
        <w:t> </w:t>
      </w:r>
      <w:r>
        <w:rPr>
          <w:color w:val="231F20"/>
        </w:rPr>
        <w:t>of</w:t>
      </w:r>
      <w:r>
        <w:rPr>
          <w:color w:val="231F20"/>
          <w:spacing w:val="-9"/>
        </w:rPr>
        <w:t> </w:t>
      </w:r>
      <w:r>
        <w:rPr>
          <w:color w:val="231F20"/>
        </w:rPr>
        <w:t>excise</w:t>
      </w:r>
      <w:r>
        <w:rPr>
          <w:color w:val="231F20"/>
          <w:spacing w:val="-8"/>
        </w:rPr>
        <w:t> </w:t>
      </w:r>
      <w:r>
        <w:rPr>
          <w:color w:val="231F20"/>
        </w:rPr>
        <w:t>duties</w:t>
      </w:r>
      <w:r>
        <w:rPr>
          <w:color w:val="231F20"/>
          <w:spacing w:val="-8"/>
        </w:rPr>
        <w:t> </w:t>
      </w:r>
      <w:r>
        <w:rPr>
          <w:color w:val="231F20"/>
        </w:rPr>
        <w:t>on the same taxable transactions constitutes «an infringement of the general excise</w:t>
      </w:r>
      <w:r>
        <w:rPr>
          <w:color w:val="231F20"/>
          <w:spacing w:val="-2"/>
        </w:rPr>
        <w:t> </w:t>
      </w:r>
      <w:r>
        <w:rPr>
          <w:color w:val="231F20"/>
        </w:rPr>
        <w:t>duty</w:t>
      </w:r>
      <w:r>
        <w:rPr>
          <w:color w:val="231F20"/>
          <w:spacing w:val="-2"/>
        </w:rPr>
        <w:t> </w:t>
      </w:r>
      <w:r>
        <w:rPr>
          <w:color w:val="231F20"/>
        </w:rPr>
        <w:t>directive</w:t>
      </w:r>
      <w:r>
        <w:rPr>
          <w:color w:val="231F20"/>
          <w:spacing w:val="-2"/>
        </w:rPr>
        <w:t> </w:t>
      </w:r>
      <w:r>
        <w:rPr>
          <w:color w:val="231F20"/>
        </w:rPr>
        <w:t>92/12»</w:t>
      </w:r>
      <w:r>
        <w:rPr>
          <w:color w:val="231F20"/>
          <w:position w:val="8"/>
          <w:sz w:val="14"/>
        </w:rPr>
        <w:t>56</w:t>
      </w:r>
      <w:r>
        <w:rPr>
          <w:color w:val="231F20"/>
        </w:rPr>
        <w:t>.</w:t>
      </w:r>
      <w:r>
        <w:rPr>
          <w:color w:val="231F20"/>
          <w:spacing w:val="-2"/>
        </w:rPr>
        <w:t> </w:t>
      </w:r>
      <w:r>
        <w:rPr>
          <w:color w:val="231F20"/>
        </w:rPr>
        <w:t>Since</w:t>
      </w:r>
      <w:r>
        <w:rPr>
          <w:color w:val="231F20"/>
          <w:spacing w:val="-2"/>
        </w:rPr>
        <w:t> </w:t>
      </w:r>
      <w:r>
        <w:rPr>
          <w:color w:val="231F20"/>
        </w:rPr>
        <w:t>the</w:t>
      </w:r>
      <w:r>
        <w:rPr>
          <w:color w:val="231F20"/>
          <w:spacing w:val="-2"/>
        </w:rPr>
        <w:t> </w:t>
      </w:r>
      <w:r>
        <w:rPr>
          <w:color w:val="231F20"/>
        </w:rPr>
        <w:t>EU</w:t>
      </w:r>
      <w:r>
        <w:rPr>
          <w:color w:val="231F20"/>
          <w:spacing w:val="-2"/>
        </w:rPr>
        <w:t> </w:t>
      </w:r>
      <w:r>
        <w:rPr>
          <w:color w:val="231F20"/>
        </w:rPr>
        <w:t>legislative</w:t>
      </w:r>
      <w:r>
        <w:rPr>
          <w:color w:val="231F20"/>
          <w:spacing w:val="-2"/>
        </w:rPr>
        <w:t> </w:t>
      </w:r>
      <w:r>
        <w:rPr>
          <w:color w:val="231F20"/>
        </w:rPr>
        <w:t>acts</w:t>
      </w:r>
      <w:r>
        <w:rPr>
          <w:color w:val="231F20"/>
          <w:spacing w:val="-2"/>
        </w:rPr>
        <w:t> </w:t>
      </w:r>
      <w:r>
        <w:rPr>
          <w:color w:val="231F20"/>
        </w:rPr>
        <w:t>on</w:t>
      </w:r>
      <w:r>
        <w:rPr>
          <w:color w:val="231F20"/>
          <w:spacing w:val="-2"/>
        </w:rPr>
        <w:t> </w:t>
      </w:r>
      <w:r>
        <w:rPr>
          <w:color w:val="231F20"/>
        </w:rPr>
        <w:t>administra- tive cooperation are therefore not suitable to prevent such violations of</w:t>
      </w:r>
      <w:r>
        <w:rPr>
          <w:color w:val="231F20"/>
          <w:spacing w:val="80"/>
          <w:w w:val="150"/>
        </w:rPr>
        <w:t> </w:t>
      </w:r>
      <w:r>
        <w:rPr>
          <w:color w:val="231F20"/>
        </w:rPr>
        <w:t>substantive</w:t>
      </w:r>
      <w:r>
        <w:rPr>
          <w:color w:val="231F20"/>
          <w:spacing w:val="-5"/>
        </w:rPr>
        <w:t> </w:t>
      </w:r>
      <w:r>
        <w:rPr>
          <w:color w:val="231F20"/>
        </w:rPr>
        <w:t>tax</w:t>
      </w:r>
      <w:r>
        <w:rPr>
          <w:color w:val="231F20"/>
          <w:spacing w:val="-5"/>
        </w:rPr>
        <w:t> </w:t>
      </w:r>
      <w:r>
        <w:rPr>
          <w:color w:val="231F20"/>
        </w:rPr>
        <w:t>law</w:t>
      </w:r>
      <w:r>
        <w:rPr>
          <w:color w:val="231F20"/>
          <w:spacing w:val="-5"/>
        </w:rPr>
        <w:t> </w:t>
      </w:r>
      <w:r>
        <w:rPr>
          <w:color w:val="231F20"/>
        </w:rPr>
        <w:t>acts</w:t>
      </w:r>
      <w:r>
        <w:rPr>
          <w:color w:val="231F20"/>
          <w:spacing w:val="-5"/>
        </w:rPr>
        <w:t> </w:t>
      </w:r>
      <w:r>
        <w:rPr>
          <w:color w:val="231F20"/>
        </w:rPr>
        <w:t>enacted</w:t>
      </w:r>
      <w:r>
        <w:rPr>
          <w:color w:val="231F20"/>
          <w:spacing w:val="-5"/>
        </w:rPr>
        <w:t> </w:t>
      </w:r>
      <w:r>
        <w:rPr>
          <w:color w:val="231F20"/>
        </w:rPr>
        <w:t>by</w:t>
      </w:r>
      <w:r>
        <w:rPr>
          <w:color w:val="231F20"/>
          <w:spacing w:val="-5"/>
        </w:rPr>
        <w:t> </w:t>
      </w:r>
      <w:r>
        <w:rPr>
          <w:color w:val="231F20"/>
        </w:rPr>
        <w:t>the</w:t>
      </w:r>
      <w:r>
        <w:rPr>
          <w:color w:val="231F20"/>
          <w:spacing w:val="-5"/>
        </w:rPr>
        <w:t> </w:t>
      </w:r>
      <w:r>
        <w:rPr>
          <w:color w:val="231F20"/>
        </w:rPr>
        <w:t>Union,</w:t>
      </w:r>
      <w:r>
        <w:rPr>
          <w:color w:val="231F20"/>
          <w:spacing w:val="-5"/>
        </w:rPr>
        <w:t> </w:t>
      </w:r>
      <w:r>
        <w:rPr>
          <w:color w:val="231F20"/>
        </w:rPr>
        <w:t>the</w:t>
      </w:r>
      <w:r>
        <w:rPr>
          <w:color w:val="231F20"/>
          <w:spacing w:val="-5"/>
        </w:rPr>
        <w:t> </w:t>
      </w:r>
      <w:r>
        <w:rPr>
          <w:color w:val="231F20"/>
        </w:rPr>
        <w:t>solution</w:t>
      </w:r>
      <w:r>
        <w:rPr>
          <w:color w:val="231F20"/>
          <w:spacing w:val="-5"/>
        </w:rPr>
        <w:t> </w:t>
      </w:r>
      <w:r>
        <w:rPr>
          <w:color w:val="231F20"/>
        </w:rPr>
        <w:t>to</w:t>
      </w:r>
      <w:r>
        <w:rPr>
          <w:color w:val="231F20"/>
          <w:spacing w:val="-5"/>
        </w:rPr>
        <w:t> </w:t>
      </w:r>
      <w:r>
        <w:rPr>
          <w:color w:val="231F20"/>
        </w:rPr>
        <w:t>the</w:t>
      </w:r>
      <w:r>
        <w:rPr>
          <w:color w:val="231F20"/>
          <w:spacing w:val="-5"/>
        </w:rPr>
        <w:t> </w:t>
      </w:r>
      <w:r>
        <w:rPr>
          <w:color w:val="231F20"/>
        </w:rPr>
        <w:t>problem </w:t>
      </w:r>
      <w:r>
        <w:rPr>
          <w:color w:val="231F20"/>
          <w:spacing w:val="-2"/>
        </w:rPr>
        <w:t>of</w:t>
      </w:r>
      <w:r>
        <w:rPr>
          <w:color w:val="231F20"/>
          <w:spacing w:val="-8"/>
        </w:rPr>
        <w:t> </w:t>
      </w:r>
      <w:r>
        <w:rPr>
          <w:color w:val="231F20"/>
          <w:spacing w:val="-2"/>
        </w:rPr>
        <w:t>double</w:t>
      </w:r>
      <w:r>
        <w:rPr>
          <w:color w:val="231F20"/>
          <w:spacing w:val="-8"/>
        </w:rPr>
        <w:t> </w:t>
      </w:r>
      <w:r>
        <w:rPr>
          <w:color w:val="231F20"/>
          <w:spacing w:val="-2"/>
        </w:rPr>
        <w:t>taxation</w:t>
      </w:r>
      <w:r>
        <w:rPr>
          <w:color w:val="231F20"/>
          <w:spacing w:val="-8"/>
        </w:rPr>
        <w:t> </w:t>
      </w:r>
      <w:r>
        <w:rPr>
          <w:color w:val="231F20"/>
          <w:spacing w:val="-2"/>
        </w:rPr>
        <w:t>of</w:t>
      </w:r>
      <w:r>
        <w:rPr>
          <w:color w:val="231F20"/>
          <w:spacing w:val="-11"/>
        </w:rPr>
        <w:t> </w:t>
      </w:r>
      <w:r>
        <w:rPr>
          <w:color w:val="231F20"/>
          <w:spacing w:val="-2"/>
        </w:rPr>
        <w:t>VAT</w:t>
      </w:r>
      <w:r>
        <w:rPr>
          <w:color w:val="231F20"/>
          <w:spacing w:val="-8"/>
        </w:rPr>
        <w:t> </w:t>
      </w:r>
      <w:r>
        <w:rPr>
          <w:color w:val="231F20"/>
          <w:spacing w:val="-2"/>
        </w:rPr>
        <w:t>and</w:t>
      </w:r>
      <w:r>
        <w:rPr>
          <w:color w:val="231F20"/>
          <w:spacing w:val="-8"/>
        </w:rPr>
        <w:t> </w:t>
      </w:r>
      <w:r>
        <w:rPr>
          <w:color w:val="231F20"/>
          <w:spacing w:val="-2"/>
        </w:rPr>
        <w:t>excise</w:t>
      </w:r>
      <w:r>
        <w:rPr>
          <w:color w:val="231F20"/>
          <w:spacing w:val="-8"/>
        </w:rPr>
        <w:t> </w:t>
      </w:r>
      <w:r>
        <w:rPr>
          <w:color w:val="231F20"/>
          <w:spacing w:val="-2"/>
        </w:rPr>
        <w:t>duties</w:t>
      </w:r>
      <w:r>
        <w:rPr>
          <w:color w:val="231F20"/>
          <w:spacing w:val="-8"/>
        </w:rPr>
        <w:t> </w:t>
      </w:r>
      <w:r>
        <w:rPr>
          <w:color w:val="231F20"/>
          <w:spacing w:val="-2"/>
        </w:rPr>
        <w:t>will</w:t>
      </w:r>
      <w:r>
        <w:rPr>
          <w:color w:val="231F20"/>
          <w:spacing w:val="-8"/>
        </w:rPr>
        <w:t> </w:t>
      </w:r>
      <w:r>
        <w:rPr>
          <w:color w:val="231F20"/>
          <w:spacing w:val="-2"/>
        </w:rPr>
        <w:t>inevitably</w:t>
      </w:r>
      <w:r>
        <w:rPr>
          <w:color w:val="231F20"/>
          <w:spacing w:val="-8"/>
        </w:rPr>
        <w:t> </w:t>
      </w:r>
      <w:r>
        <w:rPr>
          <w:color w:val="231F20"/>
          <w:spacing w:val="-2"/>
        </w:rPr>
        <w:t>fall</w:t>
      </w:r>
      <w:r>
        <w:rPr>
          <w:color w:val="231F20"/>
          <w:spacing w:val="-8"/>
        </w:rPr>
        <w:t> </w:t>
      </w:r>
      <w:r>
        <w:rPr>
          <w:color w:val="231F20"/>
          <w:spacing w:val="-2"/>
        </w:rPr>
        <w:t>to</w:t>
      </w:r>
      <w:r>
        <w:rPr>
          <w:color w:val="231F20"/>
          <w:spacing w:val="-8"/>
        </w:rPr>
        <w:t> </w:t>
      </w:r>
      <w:r>
        <w:rPr>
          <w:color w:val="231F20"/>
          <w:spacing w:val="-2"/>
        </w:rPr>
        <w:t>the</w:t>
      </w:r>
      <w:r>
        <w:rPr>
          <w:color w:val="231F20"/>
          <w:spacing w:val="-8"/>
        </w:rPr>
        <w:t> </w:t>
      </w:r>
      <w:r>
        <w:rPr>
          <w:color w:val="231F20"/>
          <w:spacing w:val="-2"/>
        </w:rPr>
        <w:t>Union </w:t>
      </w:r>
      <w:r>
        <w:rPr>
          <w:color w:val="231F20"/>
        </w:rPr>
        <w:t>legislator. The latter will in fact have to complement the harmonization</w:t>
      </w:r>
      <w:r>
        <w:rPr>
          <w:color w:val="231F20"/>
          <w:spacing w:val="40"/>
        </w:rPr>
        <w:t> </w:t>
      </w:r>
      <w:r>
        <w:rPr>
          <w:color w:val="231F20"/>
        </w:rPr>
        <w:t>directives governing VAT and excise duties with a legislative act - prefer- ably a directly applicable EU regulation - which provides for a mandatory preventive</w:t>
      </w:r>
      <w:r>
        <w:rPr>
          <w:color w:val="231F20"/>
          <w:spacing w:val="-5"/>
        </w:rPr>
        <w:t> </w:t>
      </w:r>
      <w:r>
        <w:rPr>
          <w:color w:val="231F20"/>
        </w:rPr>
        <w:t>(of</w:t>
      </w:r>
      <w:r>
        <w:rPr>
          <w:color w:val="231F20"/>
          <w:spacing w:val="-5"/>
        </w:rPr>
        <w:t> </w:t>
      </w:r>
      <w:r>
        <w:rPr>
          <w:color w:val="231F20"/>
        </w:rPr>
        <w:t>double</w:t>
      </w:r>
      <w:r>
        <w:rPr>
          <w:color w:val="231F20"/>
          <w:spacing w:val="-5"/>
        </w:rPr>
        <w:t> </w:t>
      </w:r>
      <w:r>
        <w:rPr>
          <w:color w:val="231F20"/>
        </w:rPr>
        <w:t>taxation)</w:t>
      </w:r>
      <w:r>
        <w:rPr>
          <w:color w:val="231F20"/>
          <w:spacing w:val="-5"/>
        </w:rPr>
        <w:t> </w:t>
      </w:r>
      <w:r>
        <w:rPr>
          <w:color w:val="231F20"/>
        </w:rPr>
        <w:t>arbitration</w:t>
      </w:r>
      <w:r>
        <w:rPr>
          <w:color w:val="231F20"/>
          <w:spacing w:val="-5"/>
        </w:rPr>
        <w:t> </w:t>
      </w:r>
      <w:r>
        <w:rPr>
          <w:color w:val="231F20"/>
        </w:rPr>
        <w:t>procedure</w:t>
      </w:r>
      <w:r>
        <w:rPr>
          <w:color w:val="231F20"/>
          <w:spacing w:val="-5"/>
        </w:rPr>
        <w:t> </w:t>
      </w:r>
      <w:r>
        <w:rPr>
          <w:color w:val="231F20"/>
        </w:rPr>
        <w:t>according</w:t>
      </w:r>
      <w:r>
        <w:rPr>
          <w:color w:val="231F20"/>
          <w:spacing w:val="-5"/>
        </w:rPr>
        <w:t> </w:t>
      </w:r>
      <w:r>
        <w:rPr>
          <w:color w:val="231F20"/>
        </w:rPr>
        <w:t>to</w:t>
      </w:r>
      <w:r>
        <w:rPr>
          <w:color w:val="231F20"/>
          <w:spacing w:val="-5"/>
        </w:rPr>
        <w:t> </w:t>
      </w:r>
      <w:r>
        <w:rPr>
          <w:color w:val="231F20"/>
        </w:rPr>
        <w:t>a</w:t>
      </w:r>
      <w:r>
        <w:rPr>
          <w:color w:val="231F20"/>
          <w:spacing w:val="-5"/>
        </w:rPr>
        <w:t> </w:t>
      </w:r>
      <w:r>
        <w:rPr>
          <w:color w:val="231F20"/>
        </w:rPr>
        <w:t>newly conceived</w:t>
      </w:r>
      <w:r>
        <w:rPr>
          <w:color w:val="231F20"/>
          <w:spacing w:val="1"/>
        </w:rPr>
        <w:t> </w:t>
      </w:r>
      <w:r>
        <w:rPr>
          <w:color w:val="231F20"/>
        </w:rPr>
        <w:t>institutional</w:t>
      </w:r>
      <w:r>
        <w:rPr>
          <w:color w:val="231F20"/>
          <w:spacing w:val="3"/>
        </w:rPr>
        <w:t> </w:t>
      </w:r>
      <w:r>
        <w:rPr>
          <w:color w:val="231F20"/>
        </w:rPr>
        <w:t>model</w:t>
      </w:r>
      <w:r>
        <w:rPr>
          <w:color w:val="231F20"/>
          <w:spacing w:val="3"/>
        </w:rPr>
        <w:t> </w:t>
      </w:r>
      <w:r>
        <w:rPr>
          <w:color w:val="231F20"/>
        </w:rPr>
        <w:t>such</w:t>
      </w:r>
      <w:r>
        <w:rPr>
          <w:color w:val="231F20"/>
          <w:spacing w:val="3"/>
        </w:rPr>
        <w:t> </w:t>
      </w:r>
      <w:r>
        <w:rPr>
          <w:color w:val="231F20"/>
        </w:rPr>
        <w:t>as</w:t>
      </w:r>
      <w:r>
        <w:rPr>
          <w:color w:val="231F20"/>
          <w:spacing w:val="3"/>
        </w:rPr>
        <w:t> </w:t>
      </w:r>
      <w:r>
        <w:rPr>
          <w:color w:val="231F20"/>
        </w:rPr>
        <w:t>a</w:t>
      </w:r>
      <w:r>
        <w:rPr>
          <w:color w:val="231F20"/>
          <w:spacing w:val="3"/>
        </w:rPr>
        <w:t> </w:t>
      </w:r>
      <w:r>
        <w:rPr>
          <w:color w:val="231F20"/>
        </w:rPr>
        <w:t>possible</w:t>
      </w:r>
      <w:r>
        <w:rPr>
          <w:color w:val="231F20"/>
          <w:spacing w:val="3"/>
        </w:rPr>
        <w:t> </w:t>
      </w:r>
      <w:r>
        <w:rPr>
          <w:color w:val="231F20"/>
        </w:rPr>
        <w:t>future</w:t>
      </w:r>
      <w:r>
        <w:rPr>
          <w:color w:val="231F20"/>
          <w:spacing w:val="3"/>
        </w:rPr>
        <w:t> </w:t>
      </w:r>
      <w:r>
        <w:rPr>
          <w:color w:val="231F20"/>
        </w:rPr>
        <w:t>European</w:t>
      </w:r>
      <w:r>
        <w:rPr>
          <w:color w:val="231F20"/>
          <w:spacing w:val="-7"/>
        </w:rPr>
        <w:t> </w:t>
      </w:r>
      <w:r>
        <w:rPr>
          <w:color w:val="231F20"/>
        </w:rPr>
        <w:t>Tax</w:t>
      </w:r>
      <w:r>
        <w:rPr>
          <w:color w:val="231F20"/>
          <w:spacing w:val="4"/>
        </w:rPr>
        <w:t> </w:t>
      </w:r>
      <w:r>
        <w:rPr>
          <w:color w:val="231F20"/>
          <w:spacing w:val="-5"/>
        </w:rPr>
        <w:t>Co-</w:t>
      </w:r>
    </w:p>
    <w:p>
      <w:pPr>
        <w:pStyle w:val="BodyText"/>
        <w:spacing w:before="14"/>
        <w:ind w:left="100"/>
      </w:pPr>
      <w:r>
        <w:rPr>
          <w:color w:val="231F20"/>
        </w:rPr>
        <w:t>operation </w:t>
      </w:r>
      <w:r>
        <w:rPr>
          <w:color w:val="231F20"/>
          <w:spacing w:val="-2"/>
        </w:rPr>
        <w:t>Agency</w:t>
      </w:r>
      <w:r>
        <w:rPr>
          <w:color w:val="231F20"/>
          <w:spacing w:val="-2"/>
          <w:position w:val="8"/>
          <w:sz w:val="14"/>
        </w:rPr>
        <w:t>57</w:t>
      </w:r>
      <w:r>
        <w:rPr>
          <w:color w:val="231F20"/>
          <w:spacing w:val="-2"/>
        </w:rPr>
        <w:t>.</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55"/>
        <w:rPr>
          <w:sz w:val="20"/>
        </w:rPr>
      </w:pPr>
      <w:r>
        <w:rPr/>
        <mc:AlternateContent>
          <mc:Choice Requires="wps">
            <w:drawing>
              <wp:anchor distT="0" distB="0" distL="0" distR="0" allowOverlap="1" layoutInCell="1" locked="0" behindDoc="1" simplePos="0" relativeHeight="487607296">
                <wp:simplePos x="0" y="0"/>
                <wp:positionH relativeFrom="page">
                  <wp:posOffset>864000</wp:posOffset>
                </wp:positionH>
                <wp:positionV relativeFrom="paragraph">
                  <wp:posOffset>275305</wp:posOffset>
                </wp:positionV>
                <wp:extent cx="792480" cy="1270"/>
                <wp:effectExtent l="0" t="0" r="0" b="0"/>
                <wp:wrapTopAndBottom/>
                <wp:docPr id="71" name="Graphic 71"/>
                <wp:cNvGraphicFramePr>
                  <a:graphicFrameLocks/>
                </wp:cNvGraphicFramePr>
                <a:graphic>
                  <a:graphicData uri="http://schemas.microsoft.com/office/word/2010/wordprocessingShape">
                    <wps:wsp>
                      <wps:cNvPr id="71" name="Graphic 71"/>
                      <wps:cNvSpPr/>
                      <wps:spPr>
                        <a:xfrm>
                          <a:off x="0" y="0"/>
                          <a:ext cx="792480" cy="1270"/>
                        </a:xfrm>
                        <a:custGeom>
                          <a:avLst/>
                          <a:gdLst/>
                          <a:ahLst/>
                          <a:cxnLst/>
                          <a:rect l="l" t="t" r="r" b="b"/>
                          <a:pathLst>
                            <a:path w="792480" h="0">
                              <a:moveTo>
                                <a:pt x="0" y="0"/>
                              </a:moveTo>
                              <a:lnTo>
                                <a:pt x="791997"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shape style="position:absolute;margin-left:68.031502pt;margin-top:21.67762pt;width:62.4pt;height:.1pt;mso-position-horizontal-relative:page;mso-position-vertical-relative:paragraph;z-index:-15709184;mso-wrap-distance-left:0;mso-wrap-distance-right:0" id="docshape59" coordorigin="1361,434" coordsize="1248,0" path="m1361,434l2608,434e" filled="false" stroked="true" strokeweight=".5pt" strokecolor="#231f20">
                <v:path arrowok="t"/>
                <v:stroke dashstyle="solid"/>
                <w10:wrap type="topAndBottom"/>
              </v:shape>
            </w:pict>
          </mc:Fallback>
        </mc:AlternateContent>
      </w:r>
    </w:p>
    <w:p>
      <w:pPr>
        <w:spacing w:line="235" w:lineRule="exact" w:before="190"/>
        <w:ind w:left="100" w:right="0" w:firstLine="0"/>
        <w:jc w:val="left"/>
        <w:rPr>
          <w:sz w:val="19"/>
        </w:rPr>
      </w:pPr>
      <w:r>
        <w:rPr>
          <w:color w:val="231F20"/>
          <w:position w:val="6"/>
          <w:sz w:val="11"/>
        </w:rPr>
        <w:t>54</w:t>
      </w:r>
      <w:r>
        <w:rPr>
          <w:color w:val="231F20"/>
          <w:spacing w:val="48"/>
          <w:position w:val="6"/>
          <w:sz w:val="11"/>
        </w:rPr>
        <w:t>  </w:t>
      </w:r>
      <w:r>
        <w:rPr>
          <w:color w:val="231F20"/>
          <w:sz w:val="19"/>
        </w:rPr>
        <w:t>Case</w:t>
      </w:r>
      <w:r>
        <w:rPr>
          <w:color w:val="231F20"/>
          <w:spacing w:val="-2"/>
          <w:sz w:val="19"/>
        </w:rPr>
        <w:t> </w:t>
      </w:r>
      <w:r>
        <w:rPr>
          <w:i/>
          <w:color w:val="231F20"/>
          <w:sz w:val="19"/>
        </w:rPr>
        <w:t>KrakVet</w:t>
      </w:r>
      <w:r>
        <w:rPr>
          <w:i/>
          <w:color w:val="231F20"/>
          <w:spacing w:val="-3"/>
          <w:sz w:val="19"/>
        </w:rPr>
        <w:t> </w:t>
      </w:r>
      <w:r>
        <w:rPr>
          <w:i/>
          <w:color w:val="231F20"/>
          <w:sz w:val="19"/>
        </w:rPr>
        <w:t>Marek</w:t>
      </w:r>
      <w:r>
        <w:rPr>
          <w:i/>
          <w:color w:val="231F20"/>
          <w:spacing w:val="-2"/>
          <w:sz w:val="19"/>
        </w:rPr>
        <w:t> </w:t>
      </w:r>
      <w:r>
        <w:rPr>
          <w:color w:val="231F20"/>
          <w:sz w:val="19"/>
        </w:rPr>
        <w:t>C-276/14,</w:t>
      </w:r>
      <w:r>
        <w:rPr>
          <w:color w:val="231F20"/>
          <w:spacing w:val="-3"/>
          <w:sz w:val="19"/>
        </w:rPr>
        <w:t> </w:t>
      </w:r>
      <w:r>
        <w:rPr>
          <w:color w:val="231F20"/>
          <w:sz w:val="19"/>
        </w:rPr>
        <w:t>points</w:t>
      </w:r>
      <w:r>
        <w:rPr>
          <w:color w:val="231F20"/>
          <w:spacing w:val="-3"/>
          <w:sz w:val="19"/>
        </w:rPr>
        <w:t> </w:t>
      </w:r>
      <w:r>
        <w:rPr>
          <w:color w:val="231F20"/>
          <w:sz w:val="19"/>
        </w:rPr>
        <w:t>48</w:t>
      </w:r>
      <w:r>
        <w:rPr>
          <w:color w:val="231F20"/>
          <w:spacing w:val="-3"/>
          <w:sz w:val="19"/>
        </w:rPr>
        <w:t> </w:t>
      </w:r>
      <w:r>
        <w:rPr>
          <w:color w:val="231F20"/>
          <w:sz w:val="19"/>
        </w:rPr>
        <w:t>and</w:t>
      </w:r>
      <w:r>
        <w:rPr>
          <w:color w:val="231F20"/>
          <w:spacing w:val="-3"/>
          <w:sz w:val="19"/>
        </w:rPr>
        <w:t> </w:t>
      </w:r>
      <w:r>
        <w:rPr>
          <w:color w:val="231F20"/>
          <w:spacing w:val="-5"/>
          <w:sz w:val="19"/>
        </w:rPr>
        <w:t>49.</w:t>
      </w:r>
    </w:p>
    <w:p>
      <w:pPr>
        <w:spacing w:line="228" w:lineRule="exact" w:before="0"/>
        <w:ind w:left="100" w:right="0" w:firstLine="0"/>
        <w:jc w:val="left"/>
        <w:rPr>
          <w:sz w:val="19"/>
        </w:rPr>
      </w:pPr>
      <w:r>
        <w:rPr>
          <w:color w:val="231F20"/>
          <w:position w:val="6"/>
          <w:sz w:val="11"/>
        </w:rPr>
        <w:t>55</w:t>
      </w:r>
      <w:r>
        <w:rPr>
          <w:color w:val="231F20"/>
          <w:spacing w:val="76"/>
          <w:position w:val="6"/>
          <w:sz w:val="11"/>
        </w:rPr>
        <w:t> </w:t>
      </w:r>
      <w:r>
        <w:rPr>
          <w:color w:val="231F20"/>
          <w:sz w:val="19"/>
        </w:rPr>
        <w:t>Case</w:t>
      </w:r>
      <w:r>
        <w:rPr>
          <w:color w:val="231F20"/>
          <w:spacing w:val="-4"/>
          <w:sz w:val="19"/>
        </w:rPr>
        <w:t> </w:t>
      </w:r>
      <w:r>
        <w:rPr>
          <w:i/>
          <w:color w:val="231F20"/>
          <w:sz w:val="19"/>
        </w:rPr>
        <w:t>KrakVet</w:t>
      </w:r>
      <w:r>
        <w:rPr>
          <w:i/>
          <w:color w:val="231F20"/>
          <w:spacing w:val="-5"/>
          <w:sz w:val="19"/>
        </w:rPr>
        <w:t> </w:t>
      </w:r>
      <w:r>
        <w:rPr>
          <w:i/>
          <w:color w:val="231F20"/>
          <w:sz w:val="19"/>
        </w:rPr>
        <w:t>Marek</w:t>
      </w:r>
      <w:r>
        <w:rPr>
          <w:color w:val="231F20"/>
          <w:sz w:val="19"/>
        </w:rPr>
        <w:t>,</w:t>
      </w:r>
      <w:r>
        <w:rPr>
          <w:color w:val="231F20"/>
          <w:spacing w:val="-5"/>
          <w:sz w:val="19"/>
        </w:rPr>
        <w:t> </w:t>
      </w:r>
      <w:r>
        <w:rPr>
          <w:color w:val="231F20"/>
          <w:sz w:val="19"/>
        </w:rPr>
        <w:t>point</w:t>
      </w:r>
      <w:r>
        <w:rPr>
          <w:color w:val="231F20"/>
          <w:spacing w:val="-4"/>
          <w:sz w:val="19"/>
        </w:rPr>
        <w:t> </w:t>
      </w:r>
      <w:r>
        <w:rPr>
          <w:color w:val="231F20"/>
          <w:spacing w:val="-5"/>
          <w:sz w:val="19"/>
        </w:rPr>
        <w:t>50.</w:t>
      </w:r>
    </w:p>
    <w:p>
      <w:pPr>
        <w:spacing w:line="228" w:lineRule="exact" w:before="0"/>
        <w:ind w:left="100" w:right="0" w:firstLine="0"/>
        <w:jc w:val="left"/>
        <w:rPr>
          <w:sz w:val="19"/>
        </w:rPr>
      </w:pPr>
      <w:r>
        <w:rPr>
          <w:color w:val="231F20"/>
          <w:position w:val="6"/>
          <w:sz w:val="11"/>
        </w:rPr>
        <w:t>56</w:t>
      </w:r>
      <w:r>
        <w:rPr>
          <w:color w:val="231F20"/>
          <w:spacing w:val="73"/>
          <w:w w:val="150"/>
          <w:position w:val="6"/>
          <w:sz w:val="11"/>
        </w:rPr>
        <w:t> </w:t>
      </w:r>
      <w:r>
        <w:rPr>
          <w:color w:val="231F20"/>
          <w:sz w:val="19"/>
        </w:rPr>
        <w:t>Case</w:t>
      </w:r>
      <w:r>
        <w:rPr>
          <w:color w:val="231F20"/>
          <w:spacing w:val="-1"/>
          <w:sz w:val="19"/>
        </w:rPr>
        <w:t> </w:t>
      </w:r>
      <w:r>
        <w:rPr>
          <w:i/>
          <w:color w:val="231F20"/>
          <w:sz w:val="19"/>
        </w:rPr>
        <w:t>Silcompa, </w:t>
      </w:r>
      <w:r>
        <w:rPr>
          <w:color w:val="231F20"/>
          <w:sz w:val="19"/>
        </w:rPr>
        <w:t>C-95/19,</w:t>
      </w:r>
      <w:r>
        <w:rPr>
          <w:color w:val="231F20"/>
          <w:spacing w:val="-1"/>
          <w:sz w:val="19"/>
        </w:rPr>
        <w:t> </w:t>
      </w:r>
      <w:r>
        <w:rPr>
          <w:color w:val="231F20"/>
          <w:sz w:val="19"/>
        </w:rPr>
        <w:t>point </w:t>
      </w:r>
      <w:r>
        <w:rPr>
          <w:color w:val="231F20"/>
          <w:spacing w:val="-5"/>
          <w:sz w:val="19"/>
        </w:rPr>
        <w:t>78.</w:t>
      </w:r>
    </w:p>
    <w:p>
      <w:pPr>
        <w:spacing w:line="225" w:lineRule="auto" w:before="4"/>
        <w:ind w:left="100" w:right="174" w:firstLine="0"/>
        <w:jc w:val="both"/>
        <w:rPr>
          <w:sz w:val="19"/>
        </w:rPr>
      </w:pPr>
      <w:r>
        <w:rPr>
          <w:color w:val="231F20"/>
          <w:position w:val="6"/>
          <w:sz w:val="11"/>
        </w:rPr>
        <w:t>57</w:t>
      </w:r>
      <w:r>
        <w:rPr>
          <w:color w:val="231F20"/>
          <w:spacing w:val="80"/>
          <w:position w:val="6"/>
          <w:sz w:val="11"/>
        </w:rPr>
        <w:t> </w:t>
      </w:r>
      <w:r>
        <w:rPr>
          <w:color w:val="231F20"/>
          <w:sz w:val="19"/>
        </w:rPr>
        <w:t>Regarding the possible creation of a European Tax Cooperation Agency (EATC), see comments</w:t>
      </w:r>
      <w:r>
        <w:rPr>
          <w:color w:val="231F20"/>
          <w:spacing w:val="35"/>
          <w:sz w:val="19"/>
        </w:rPr>
        <w:t> </w:t>
      </w:r>
      <w:r>
        <w:rPr>
          <w:color w:val="231F20"/>
          <w:sz w:val="19"/>
        </w:rPr>
        <w:t>by</w:t>
      </w:r>
      <w:r>
        <w:rPr>
          <w:color w:val="231F20"/>
          <w:spacing w:val="35"/>
          <w:sz w:val="19"/>
        </w:rPr>
        <w:t> </w:t>
      </w:r>
      <w:r>
        <w:rPr>
          <w:color w:val="231F20"/>
          <w:sz w:val="19"/>
        </w:rPr>
        <w:t>S.</w:t>
      </w:r>
      <w:r>
        <w:rPr>
          <w:color w:val="231F20"/>
          <w:spacing w:val="35"/>
          <w:sz w:val="19"/>
        </w:rPr>
        <w:t> </w:t>
      </w:r>
      <w:r>
        <w:rPr>
          <w:color w:val="231F20"/>
          <w:sz w:val="19"/>
        </w:rPr>
        <w:t>Petitjean</w:t>
      </w:r>
      <w:r>
        <w:rPr>
          <w:color w:val="231F20"/>
          <w:spacing w:val="35"/>
          <w:sz w:val="19"/>
        </w:rPr>
        <w:t> </w:t>
      </w:r>
      <w:r>
        <w:rPr>
          <w:i/>
          <w:color w:val="231F20"/>
          <w:sz w:val="19"/>
        </w:rPr>
        <w:t>Eurofisc,</w:t>
      </w:r>
      <w:r>
        <w:rPr>
          <w:i/>
          <w:color w:val="231F20"/>
          <w:spacing w:val="35"/>
          <w:sz w:val="19"/>
        </w:rPr>
        <w:t> </w:t>
      </w:r>
      <w:r>
        <w:rPr>
          <w:i/>
          <w:color w:val="231F20"/>
          <w:sz w:val="19"/>
        </w:rPr>
        <w:t>an</w:t>
      </w:r>
      <w:r>
        <w:rPr>
          <w:i/>
          <w:color w:val="231F20"/>
          <w:spacing w:val="35"/>
          <w:sz w:val="19"/>
        </w:rPr>
        <w:t> </w:t>
      </w:r>
      <w:r>
        <w:rPr>
          <w:i/>
          <w:color w:val="231F20"/>
          <w:sz w:val="19"/>
        </w:rPr>
        <w:t>EU</w:t>
      </w:r>
      <w:r>
        <w:rPr>
          <w:i/>
          <w:color w:val="231F20"/>
          <w:spacing w:val="35"/>
          <w:sz w:val="19"/>
        </w:rPr>
        <w:t> </w:t>
      </w:r>
      <w:r>
        <w:rPr>
          <w:i/>
          <w:color w:val="231F20"/>
          <w:sz w:val="19"/>
        </w:rPr>
        <w:t>Network</w:t>
      </w:r>
      <w:r>
        <w:rPr>
          <w:i/>
          <w:color w:val="231F20"/>
          <w:spacing w:val="35"/>
          <w:sz w:val="19"/>
        </w:rPr>
        <w:t> </w:t>
      </w:r>
      <w:r>
        <w:rPr>
          <w:i/>
          <w:color w:val="231F20"/>
          <w:sz w:val="19"/>
        </w:rPr>
        <w:t>that</w:t>
      </w:r>
      <w:r>
        <w:rPr>
          <w:i/>
          <w:color w:val="231F20"/>
          <w:spacing w:val="35"/>
          <w:sz w:val="19"/>
        </w:rPr>
        <w:t> </w:t>
      </w:r>
      <w:r>
        <w:rPr>
          <w:i/>
          <w:color w:val="231F20"/>
          <w:sz w:val="19"/>
        </w:rPr>
        <w:t>suffers</w:t>
      </w:r>
      <w:r>
        <w:rPr>
          <w:i/>
          <w:color w:val="231F20"/>
          <w:spacing w:val="35"/>
          <w:sz w:val="19"/>
        </w:rPr>
        <w:t> </w:t>
      </w:r>
      <w:r>
        <w:rPr>
          <w:i/>
          <w:color w:val="231F20"/>
          <w:sz w:val="19"/>
        </w:rPr>
        <w:t>from</w:t>
      </w:r>
      <w:r>
        <w:rPr>
          <w:i/>
          <w:color w:val="231F20"/>
          <w:spacing w:val="35"/>
          <w:sz w:val="19"/>
        </w:rPr>
        <w:t> </w:t>
      </w:r>
      <w:r>
        <w:rPr>
          <w:i/>
          <w:color w:val="231F20"/>
          <w:sz w:val="19"/>
        </w:rPr>
        <w:t>its</w:t>
      </w:r>
      <w:r>
        <w:rPr>
          <w:i/>
          <w:color w:val="231F20"/>
          <w:spacing w:val="35"/>
          <w:sz w:val="19"/>
        </w:rPr>
        <w:t> </w:t>
      </w:r>
      <w:r>
        <w:rPr>
          <w:i/>
          <w:color w:val="231F20"/>
          <w:sz w:val="19"/>
        </w:rPr>
        <w:t>own</w:t>
      </w:r>
      <w:r>
        <w:rPr>
          <w:i/>
          <w:color w:val="231F20"/>
          <w:spacing w:val="35"/>
          <w:sz w:val="19"/>
        </w:rPr>
        <w:t> </w:t>
      </w:r>
      <w:r>
        <w:rPr>
          <w:i/>
          <w:color w:val="231F20"/>
          <w:sz w:val="19"/>
        </w:rPr>
        <w:t>shortcomings</w:t>
      </w:r>
      <w:r>
        <w:rPr>
          <w:i/>
          <w:color w:val="231F20"/>
          <w:sz w:val="19"/>
        </w:rPr>
        <w:t> </w:t>
      </w:r>
      <w:r>
        <w:rPr>
          <w:color w:val="231F20"/>
          <w:sz w:val="19"/>
        </w:rPr>
        <w:t>in </w:t>
      </w:r>
      <w:r>
        <w:rPr>
          <w:i/>
          <w:color w:val="231F20"/>
          <w:sz w:val="19"/>
        </w:rPr>
        <w:t>Taxnotes, </w:t>
      </w:r>
      <w:r>
        <w:rPr>
          <w:color w:val="231F20"/>
          <w:sz w:val="19"/>
        </w:rPr>
        <w:t>4.11.2024, which describes the content of the letter addressed to the European Commission by 131</w:t>
      </w:r>
      <w:r>
        <w:rPr>
          <w:color w:val="231F20"/>
          <w:spacing w:val="-6"/>
          <w:sz w:val="19"/>
        </w:rPr>
        <w:t> </w:t>
      </w:r>
      <w:r>
        <w:rPr>
          <w:color w:val="231F20"/>
          <w:sz w:val="19"/>
        </w:rPr>
        <w:t>Tax Law Professors of 17 Member States for asking the creation of such a EATC (first signatory: prof. Edoardo Traversa) and by Ed. Traversa and G. Marino, </w:t>
      </w:r>
      <w:r>
        <w:rPr>
          <w:i/>
          <w:color w:val="231F20"/>
          <w:spacing w:val="-2"/>
          <w:sz w:val="19"/>
        </w:rPr>
        <w:t>Un’Agenzia tributaria europea: una proposta accademica per la prossima Commissione</w:t>
      </w:r>
      <w:r>
        <w:rPr>
          <w:color w:val="231F20"/>
          <w:spacing w:val="-2"/>
          <w:sz w:val="19"/>
        </w:rPr>
        <w:t>, in </w:t>
      </w:r>
      <w:r>
        <w:rPr>
          <w:i/>
          <w:color w:val="231F20"/>
          <w:spacing w:val="-2"/>
          <w:sz w:val="19"/>
        </w:rPr>
        <w:t>Giustizia</w:t>
      </w:r>
      <w:r>
        <w:rPr>
          <w:i/>
          <w:color w:val="231F20"/>
          <w:spacing w:val="-2"/>
          <w:sz w:val="19"/>
        </w:rPr>
        <w:t> </w:t>
      </w:r>
      <w:r>
        <w:rPr>
          <w:i/>
          <w:color w:val="231F20"/>
          <w:sz w:val="19"/>
        </w:rPr>
        <w:t>insieme</w:t>
      </w:r>
      <w:r>
        <w:rPr>
          <w:color w:val="231F20"/>
          <w:sz w:val="19"/>
        </w:rPr>
        <w:t>, 25 October 2024.</w:t>
      </w:r>
    </w:p>
    <w:p>
      <w:pPr>
        <w:spacing w:after="0" w:line="225" w:lineRule="auto"/>
        <w:jc w:val="both"/>
        <w:rPr>
          <w:sz w:val="19"/>
        </w:rPr>
        <w:sectPr>
          <w:pgSz w:w="9640" w:h="13610"/>
          <w:pgMar w:header="0" w:footer="625" w:top="1260" w:bottom="820" w:left="1260" w:right="1240"/>
        </w:sectPr>
      </w:pPr>
    </w:p>
    <w:p>
      <w:pPr>
        <w:pStyle w:val="Heading1"/>
        <w:spacing w:line="244" w:lineRule="auto" w:before="90"/>
        <w:rPr>
          <w:b/>
        </w:rPr>
      </w:pPr>
      <w:r>
        <w:rPr/>
        <mc:AlternateContent>
          <mc:Choice Requires="wps">
            <w:drawing>
              <wp:anchor distT="0" distB="0" distL="0" distR="0" allowOverlap="1" layoutInCell="1" locked="0" behindDoc="0" simplePos="0" relativeHeight="15748608">
                <wp:simplePos x="0" y="0"/>
                <wp:positionH relativeFrom="page">
                  <wp:posOffset>5608609</wp:posOffset>
                </wp:positionH>
                <wp:positionV relativeFrom="page">
                  <wp:posOffset>2376001</wp:posOffset>
                </wp:positionV>
                <wp:extent cx="511809" cy="2412365"/>
                <wp:effectExtent l="0" t="0" r="0" b="0"/>
                <wp:wrapNone/>
                <wp:docPr id="72" name="Group 72"/>
                <wp:cNvGraphicFramePr>
                  <a:graphicFrameLocks/>
                </wp:cNvGraphicFramePr>
                <a:graphic>
                  <a:graphicData uri="http://schemas.microsoft.com/office/word/2010/wordprocessingGroup">
                    <wpg:wgp>
                      <wpg:cNvPr id="72" name="Group 72"/>
                      <wpg:cNvGrpSpPr/>
                      <wpg:grpSpPr>
                        <a:xfrm>
                          <a:off x="0" y="0"/>
                          <a:ext cx="511809" cy="2412365"/>
                          <a:chExt cx="511809" cy="2412365"/>
                        </a:xfrm>
                      </wpg:grpSpPr>
                      <wps:wsp>
                        <wps:cNvPr id="73" name="Graphic 73"/>
                        <wps:cNvSpPr/>
                        <wps:spPr>
                          <a:xfrm>
                            <a:off x="7393" y="3"/>
                            <a:ext cx="504190" cy="360045"/>
                          </a:xfrm>
                          <a:custGeom>
                            <a:avLst/>
                            <a:gdLst/>
                            <a:ahLst/>
                            <a:cxnLst/>
                            <a:rect l="l" t="t" r="r" b="b"/>
                            <a:pathLst>
                              <a:path w="504190" h="360045">
                                <a:moveTo>
                                  <a:pt x="503999" y="0"/>
                                </a:moveTo>
                                <a:lnTo>
                                  <a:pt x="0" y="0"/>
                                </a:lnTo>
                                <a:lnTo>
                                  <a:pt x="0" y="359994"/>
                                </a:lnTo>
                                <a:lnTo>
                                  <a:pt x="503999" y="359994"/>
                                </a:lnTo>
                                <a:lnTo>
                                  <a:pt x="503999" y="0"/>
                                </a:lnTo>
                                <a:close/>
                              </a:path>
                            </a:pathLst>
                          </a:custGeom>
                          <a:solidFill>
                            <a:srgbClr val="939598"/>
                          </a:solidFill>
                        </wps:spPr>
                        <wps:bodyPr wrap="square" lIns="0" tIns="0" rIns="0" bIns="0" rtlCol="0">
                          <a:prstTxWarp prst="textNoShape">
                            <a:avLst/>
                          </a:prstTxWarp>
                          <a:noAutofit/>
                        </wps:bodyPr>
                      </wps:wsp>
                      <wps:wsp>
                        <wps:cNvPr id="74" name="Graphic 74"/>
                        <wps:cNvSpPr/>
                        <wps:spPr>
                          <a:xfrm>
                            <a:off x="6350" y="0"/>
                            <a:ext cx="1270" cy="2412365"/>
                          </a:xfrm>
                          <a:custGeom>
                            <a:avLst/>
                            <a:gdLst/>
                            <a:ahLst/>
                            <a:cxnLst/>
                            <a:rect l="l" t="t" r="r" b="b"/>
                            <a:pathLst>
                              <a:path w="0" h="2412365">
                                <a:moveTo>
                                  <a:pt x="0" y="0"/>
                                </a:moveTo>
                                <a:lnTo>
                                  <a:pt x="0" y="2411996"/>
                                </a:lnTo>
                              </a:path>
                            </a:pathLst>
                          </a:custGeom>
                          <a:ln w="12700">
                            <a:solidFill>
                              <a:srgbClr val="939598"/>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441.622803pt;margin-top:187.0867pt;width:40.3pt;height:189.95pt;mso-position-horizontal-relative:page;mso-position-vertical-relative:page;z-index:15748608" id="docshapegroup60" coordorigin="8832,3742" coordsize="806,3799">
                <v:rect style="position:absolute;left:8844;top:3741;width:794;height:567" id="docshape61" filled="true" fillcolor="#939598" stroked="false">
                  <v:fill type="solid"/>
                </v:rect>
                <v:line style="position:absolute" from="8842,3742" to="8842,7540" stroked="true" strokeweight="1pt" strokecolor="#939598">
                  <v:stroke dashstyle="solid"/>
                </v:line>
                <w10:wrap type="none"/>
              </v:group>
            </w:pict>
          </mc:Fallback>
        </mc:AlternateContent>
      </w:r>
      <w:r>
        <w:rPr/>
        <mc:AlternateContent>
          <mc:Choice Requires="wps">
            <w:drawing>
              <wp:anchor distT="0" distB="0" distL="0" distR="0" allowOverlap="1" layoutInCell="1" locked="0" behindDoc="0" simplePos="0" relativeHeight="15749120">
                <wp:simplePos x="0" y="0"/>
                <wp:positionH relativeFrom="page">
                  <wp:posOffset>5635147</wp:posOffset>
                </wp:positionH>
                <wp:positionV relativeFrom="page">
                  <wp:posOffset>2795300</wp:posOffset>
                </wp:positionV>
                <wp:extent cx="299720" cy="1995805"/>
                <wp:effectExtent l="0" t="0" r="0" b="0"/>
                <wp:wrapNone/>
                <wp:docPr id="75" name="Textbox 75"/>
                <wp:cNvGraphicFramePr>
                  <a:graphicFrameLocks/>
                </wp:cNvGraphicFramePr>
                <a:graphic>
                  <a:graphicData uri="http://schemas.microsoft.com/office/word/2010/wordprocessingShape">
                    <wps:wsp>
                      <wps:cNvPr id="75" name="Textbox 75"/>
                      <wps:cNvSpPr txBox="1"/>
                      <wps:spPr>
                        <a:xfrm>
                          <a:off x="0" y="0"/>
                          <a:ext cx="299720" cy="1995805"/>
                        </a:xfrm>
                        <a:prstGeom prst="rect">
                          <a:avLst/>
                        </a:prstGeom>
                      </wps:spPr>
                      <wps:txbx>
                        <w:txbxContent>
                          <w:p>
                            <w:pPr>
                              <w:spacing w:before="20"/>
                              <w:ind w:left="20" w:right="0" w:firstLine="0"/>
                              <w:jc w:val="left"/>
                              <w:rPr>
                                <w:rFonts w:ascii="Minion Pro"/>
                                <w:sz w:val="32"/>
                              </w:rPr>
                            </w:pPr>
                            <w:r>
                              <w:rPr>
                                <w:rFonts w:ascii="Minion Pro"/>
                                <w:color w:val="231F20"/>
                                <w:sz w:val="32"/>
                              </w:rPr>
                              <w:t>Commented</w:t>
                            </w:r>
                            <w:r>
                              <w:rPr>
                                <w:rFonts w:ascii="Minion Pro"/>
                                <w:color w:val="231F20"/>
                                <w:spacing w:val="-10"/>
                                <w:sz w:val="32"/>
                              </w:rPr>
                              <w:t> </w:t>
                            </w:r>
                            <w:r>
                              <w:rPr>
                                <w:rFonts w:ascii="Minion Pro"/>
                                <w:color w:val="231F20"/>
                                <w:spacing w:val="-2"/>
                                <w:sz w:val="32"/>
                              </w:rPr>
                              <w:t>documents</w:t>
                            </w:r>
                          </w:p>
                        </w:txbxContent>
                      </wps:txbx>
                      <wps:bodyPr wrap="square" lIns="0" tIns="0" rIns="0" bIns="0" rtlCol="0" vert="vert">
                        <a:noAutofit/>
                      </wps:bodyPr>
                    </wps:wsp>
                  </a:graphicData>
                </a:graphic>
              </wp:anchor>
            </w:drawing>
          </mc:Choice>
          <mc:Fallback>
            <w:pict>
              <v:shape style="position:absolute;margin-left:443.712402pt;margin-top:220.102402pt;width:23.6pt;height:157.15pt;mso-position-horizontal-relative:page;mso-position-vertical-relative:page;z-index:15749120" type="#_x0000_t202" id="docshape62" filled="false" stroked="false">
                <v:textbox inset="0,0,0,0" style="layout-flow:vertical">
                  <w:txbxContent>
                    <w:p>
                      <w:pPr>
                        <w:spacing w:before="20"/>
                        <w:ind w:left="20" w:right="0" w:firstLine="0"/>
                        <w:jc w:val="left"/>
                        <w:rPr>
                          <w:rFonts w:ascii="Minion Pro"/>
                          <w:sz w:val="32"/>
                        </w:rPr>
                      </w:pPr>
                      <w:r>
                        <w:rPr>
                          <w:rFonts w:ascii="Minion Pro"/>
                          <w:color w:val="231F20"/>
                          <w:sz w:val="32"/>
                        </w:rPr>
                        <w:t>Commented</w:t>
                      </w:r>
                      <w:r>
                        <w:rPr>
                          <w:rFonts w:ascii="Minion Pro"/>
                          <w:color w:val="231F20"/>
                          <w:spacing w:val="-10"/>
                          <w:sz w:val="32"/>
                        </w:rPr>
                        <w:t> </w:t>
                      </w:r>
                      <w:r>
                        <w:rPr>
                          <w:rFonts w:ascii="Minion Pro"/>
                          <w:color w:val="231F20"/>
                          <w:spacing w:val="-2"/>
                          <w:sz w:val="32"/>
                        </w:rPr>
                        <w:t>documents</w:t>
                      </w:r>
                    </w:p>
                  </w:txbxContent>
                </v:textbox>
                <w10:wrap type="none"/>
              </v:shape>
            </w:pict>
          </mc:Fallback>
        </mc:AlternateContent>
      </w:r>
      <w:r>
        <w:rPr>
          <w:b/>
          <w:color w:val="231F20"/>
        </w:rPr>
        <w:t>La giurisprudenza della Corte di giustizia in materia</w:t>
      </w:r>
      <w:r>
        <w:rPr>
          <w:b/>
          <w:color w:val="231F20"/>
          <w:spacing w:val="-8"/>
        </w:rPr>
        <w:t> </w:t>
      </w:r>
      <w:r>
        <w:rPr>
          <w:b/>
          <w:color w:val="231F20"/>
        </w:rPr>
        <w:t>di</w:t>
      </w:r>
      <w:r>
        <w:rPr>
          <w:b/>
          <w:color w:val="231F20"/>
          <w:spacing w:val="-8"/>
        </w:rPr>
        <w:t> </w:t>
      </w:r>
      <w:r>
        <w:rPr>
          <w:b/>
          <w:color w:val="231F20"/>
        </w:rPr>
        <w:t>cooperazione</w:t>
      </w:r>
      <w:r>
        <w:rPr>
          <w:b/>
          <w:color w:val="231F20"/>
          <w:spacing w:val="-8"/>
        </w:rPr>
        <w:t> </w:t>
      </w:r>
      <w:r>
        <w:rPr>
          <w:b/>
          <w:color w:val="231F20"/>
        </w:rPr>
        <w:t>fra</w:t>
      </w:r>
      <w:r>
        <w:rPr>
          <w:b/>
          <w:color w:val="231F20"/>
          <w:spacing w:val="-8"/>
        </w:rPr>
        <w:t> </w:t>
      </w:r>
      <w:r>
        <w:rPr>
          <w:b/>
          <w:color w:val="231F20"/>
        </w:rPr>
        <w:t>le</w:t>
      </w:r>
      <w:r>
        <w:rPr>
          <w:b/>
          <w:color w:val="231F20"/>
          <w:spacing w:val="-8"/>
        </w:rPr>
        <w:t> </w:t>
      </w:r>
      <w:r>
        <w:rPr>
          <w:b/>
          <w:color w:val="231F20"/>
        </w:rPr>
        <w:t>amministrazioni fiscali degli Stati membri dell’Unione europea (scambio di informazioni e recupero crediti)*</w:t>
      </w:r>
    </w:p>
    <w:p>
      <w:pPr>
        <w:pStyle w:val="BodyText"/>
        <w:spacing w:before="129"/>
        <w:ind w:left="157"/>
      </w:pPr>
      <w:r>
        <w:rPr>
          <w:color w:val="231F20"/>
        </w:rPr>
        <w:t>Enrico</w:t>
      </w:r>
      <w:r>
        <w:rPr>
          <w:color w:val="231F20"/>
          <w:spacing w:val="-13"/>
        </w:rPr>
        <w:t> </w:t>
      </w:r>
      <w:r>
        <w:rPr>
          <w:color w:val="231F20"/>
          <w:spacing w:val="-2"/>
        </w:rPr>
        <w:t>Traversa**</w:t>
      </w:r>
    </w:p>
    <w:p>
      <w:pPr>
        <w:pStyle w:val="BodyText"/>
      </w:pPr>
    </w:p>
    <w:p>
      <w:pPr>
        <w:pStyle w:val="BodyText"/>
        <w:spacing w:before="106"/>
      </w:pPr>
    </w:p>
    <w:p>
      <w:pPr>
        <w:pStyle w:val="ListParagraph"/>
        <w:numPr>
          <w:ilvl w:val="0"/>
          <w:numId w:val="2"/>
        </w:numPr>
        <w:tabs>
          <w:tab w:pos="284" w:val="left" w:leader="none"/>
        </w:tabs>
        <w:spacing w:line="225" w:lineRule="auto" w:before="1" w:after="0"/>
        <w:ind w:left="157" w:right="120" w:firstLine="0"/>
        <w:jc w:val="both"/>
        <w:rPr>
          <w:sz w:val="19"/>
        </w:rPr>
      </w:pPr>
      <w:r>
        <w:rPr>
          <w:color w:val="231F20"/>
          <w:sz w:val="19"/>
        </w:rPr>
        <w:t>Articolo</w:t>
      </w:r>
      <w:r>
        <w:rPr>
          <w:color w:val="231F20"/>
          <w:spacing w:val="-9"/>
          <w:sz w:val="19"/>
        </w:rPr>
        <w:t> </w:t>
      </w:r>
      <w:r>
        <w:rPr>
          <w:color w:val="231F20"/>
          <w:sz w:val="19"/>
        </w:rPr>
        <w:t>sottoposto</w:t>
      </w:r>
      <w:r>
        <w:rPr>
          <w:color w:val="231F20"/>
          <w:spacing w:val="-9"/>
          <w:sz w:val="19"/>
        </w:rPr>
        <w:t> </w:t>
      </w:r>
      <w:r>
        <w:rPr>
          <w:color w:val="231F20"/>
          <w:sz w:val="19"/>
        </w:rPr>
        <w:t>a</w:t>
      </w:r>
      <w:r>
        <w:rPr>
          <w:color w:val="231F20"/>
          <w:spacing w:val="-9"/>
          <w:sz w:val="19"/>
        </w:rPr>
        <w:t> </w:t>
      </w:r>
      <w:r>
        <w:rPr>
          <w:color w:val="231F20"/>
          <w:sz w:val="19"/>
        </w:rPr>
        <w:t>revisione</w:t>
      </w:r>
      <w:r>
        <w:rPr>
          <w:color w:val="231F20"/>
          <w:spacing w:val="-9"/>
          <w:sz w:val="19"/>
        </w:rPr>
        <w:t> </w:t>
      </w:r>
      <w:r>
        <w:rPr>
          <w:color w:val="231F20"/>
          <w:sz w:val="19"/>
        </w:rPr>
        <w:t>con</w:t>
      </w:r>
      <w:r>
        <w:rPr>
          <w:color w:val="231F20"/>
          <w:spacing w:val="-9"/>
          <w:sz w:val="19"/>
        </w:rPr>
        <w:t> </w:t>
      </w:r>
      <w:r>
        <w:rPr>
          <w:color w:val="231F20"/>
          <w:sz w:val="19"/>
        </w:rPr>
        <w:t>il</w:t>
      </w:r>
      <w:r>
        <w:rPr>
          <w:color w:val="231F20"/>
          <w:spacing w:val="-9"/>
          <w:sz w:val="19"/>
        </w:rPr>
        <w:t> </w:t>
      </w:r>
      <w:r>
        <w:rPr>
          <w:color w:val="231F20"/>
          <w:sz w:val="19"/>
        </w:rPr>
        <w:t>sistema</w:t>
      </w:r>
      <w:r>
        <w:rPr>
          <w:color w:val="231F20"/>
          <w:spacing w:val="-9"/>
          <w:sz w:val="19"/>
        </w:rPr>
        <w:t> </w:t>
      </w:r>
      <w:r>
        <w:rPr>
          <w:color w:val="231F20"/>
          <w:sz w:val="19"/>
        </w:rPr>
        <w:t>della</w:t>
      </w:r>
      <w:r>
        <w:rPr>
          <w:color w:val="231F20"/>
          <w:spacing w:val="-9"/>
          <w:sz w:val="19"/>
        </w:rPr>
        <w:t> </w:t>
      </w:r>
      <w:r>
        <w:rPr>
          <w:i/>
          <w:color w:val="231F20"/>
          <w:sz w:val="19"/>
        </w:rPr>
        <w:t>blind</w:t>
      </w:r>
      <w:r>
        <w:rPr>
          <w:i/>
          <w:color w:val="231F20"/>
          <w:spacing w:val="-9"/>
          <w:sz w:val="19"/>
        </w:rPr>
        <w:t> </w:t>
      </w:r>
      <w:r>
        <w:rPr>
          <w:i/>
          <w:color w:val="231F20"/>
          <w:sz w:val="19"/>
        </w:rPr>
        <w:t>peer</w:t>
      </w:r>
      <w:r>
        <w:rPr>
          <w:i/>
          <w:color w:val="231F20"/>
          <w:spacing w:val="-9"/>
          <w:sz w:val="19"/>
        </w:rPr>
        <w:t> </w:t>
      </w:r>
      <w:r>
        <w:rPr>
          <w:i/>
          <w:color w:val="231F20"/>
          <w:sz w:val="19"/>
        </w:rPr>
        <w:t>review</w:t>
      </w:r>
      <w:r>
        <w:rPr>
          <w:color w:val="231F20"/>
          <w:sz w:val="19"/>
        </w:rPr>
        <w:t>,</w:t>
      </w:r>
      <w:r>
        <w:rPr>
          <w:color w:val="231F20"/>
          <w:spacing w:val="-9"/>
          <w:sz w:val="19"/>
        </w:rPr>
        <w:t> </w:t>
      </w:r>
      <w:r>
        <w:rPr>
          <w:color w:val="231F20"/>
          <w:sz w:val="19"/>
        </w:rPr>
        <w:t>nel</w:t>
      </w:r>
      <w:r>
        <w:rPr>
          <w:color w:val="231F20"/>
          <w:spacing w:val="-9"/>
          <w:sz w:val="19"/>
        </w:rPr>
        <w:t> </w:t>
      </w:r>
      <w:r>
        <w:rPr>
          <w:color w:val="231F20"/>
          <w:sz w:val="19"/>
        </w:rPr>
        <w:t>rispetto</w:t>
      </w:r>
      <w:r>
        <w:rPr>
          <w:color w:val="231F20"/>
          <w:spacing w:val="-9"/>
          <w:sz w:val="19"/>
        </w:rPr>
        <w:t> </w:t>
      </w:r>
      <w:r>
        <w:rPr>
          <w:color w:val="231F20"/>
          <w:sz w:val="19"/>
        </w:rPr>
        <w:t>dell’apposito regolamento adottato da questa Rivista.</w:t>
      </w:r>
    </w:p>
    <w:p>
      <w:pPr>
        <w:pStyle w:val="ListParagraph"/>
        <w:numPr>
          <w:ilvl w:val="0"/>
          <w:numId w:val="2"/>
        </w:numPr>
        <w:tabs>
          <w:tab w:pos="297" w:val="left" w:leader="none"/>
        </w:tabs>
        <w:spacing w:line="225" w:lineRule="auto" w:before="115" w:after="0"/>
        <w:ind w:left="157" w:right="120" w:firstLine="0"/>
        <w:jc w:val="both"/>
        <w:rPr>
          <w:sz w:val="19"/>
        </w:rPr>
      </w:pPr>
      <w:r>
        <w:rPr>
          <w:color w:val="231F20"/>
          <w:sz w:val="19"/>
        </w:rPr>
        <w:t>*Professore a contratto di European Union Law nell’Università di Bologna – Dipartimento di Scienze politiche e Relazioni internazionali. Già Direttore del Servizio giuridico della Commissione europea – Bruxelles.</w:t>
      </w:r>
    </w:p>
    <w:p>
      <w:pPr>
        <w:pStyle w:val="BodyText"/>
        <w:spacing w:before="66"/>
        <w:rPr>
          <w:sz w:val="19"/>
        </w:rPr>
      </w:pPr>
    </w:p>
    <w:p>
      <w:pPr>
        <w:pStyle w:val="BodyText"/>
        <w:spacing w:line="225" w:lineRule="auto"/>
        <w:ind w:left="157" w:right="94"/>
      </w:pPr>
      <w:r>
        <w:rPr>
          <w:color w:val="231F20"/>
        </w:rPr>
        <w:t>Parole chiave: scambio di informazioni fra amministrazioni fiscali; diritti fondamentali;</w:t>
      </w:r>
      <w:r>
        <w:rPr>
          <w:color w:val="231F20"/>
          <w:spacing w:val="-2"/>
        </w:rPr>
        <w:t> </w:t>
      </w:r>
      <w:r>
        <w:rPr>
          <w:color w:val="231F20"/>
        </w:rPr>
        <w:t>diritto</w:t>
      </w:r>
      <w:r>
        <w:rPr>
          <w:color w:val="231F20"/>
          <w:spacing w:val="-2"/>
        </w:rPr>
        <w:t> </w:t>
      </w:r>
      <w:r>
        <w:rPr>
          <w:color w:val="231F20"/>
        </w:rPr>
        <w:t>ad</w:t>
      </w:r>
      <w:r>
        <w:rPr>
          <w:color w:val="231F20"/>
          <w:spacing w:val="-2"/>
        </w:rPr>
        <w:t> </w:t>
      </w:r>
      <w:r>
        <w:rPr>
          <w:color w:val="231F20"/>
        </w:rPr>
        <w:t>un</w:t>
      </w:r>
      <w:r>
        <w:rPr>
          <w:color w:val="231F20"/>
          <w:spacing w:val="-2"/>
        </w:rPr>
        <w:t> </w:t>
      </w:r>
      <w:r>
        <w:rPr>
          <w:color w:val="231F20"/>
        </w:rPr>
        <w:t>ricorso</w:t>
      </w:r>
      <w:r>
        <w:rPr>
          <w:color w:val="231F20"/>
          <w:spacing w:val="-2"/>
        </w:rPr>
        <w:t> </w:t>
      </w:r>
      <w:r>
        <w:rPr>
          <w:color w:val="231F20"/>
        </w:rPr>
        <w:t>giurisdizionale</w:t>
      </w:r>
      <w:r>
        <w:rPr>
          <w:color w:val="231F20"/>
          <w:spacing w:val="-2"/>
        </w:rPr>
        <w:t> </w:t>
      </w:r>
      <w:r>
        <w:rPr>
          <w:color w:val="231F20"/>
        </w:rPr>
        <w:t>effettivo;</w:t>
      </w:r>
      <w:r>
        <w:rPr>
          <w:color w:val="231F20"/>
          <w:spacing w:val="-2"/>
        </w:rPr>
        <w:t> </w:t>
      </w:r>
      <w:r>
        <w:rPr>
          <w:color w:val="231F20"/>
        </w:rPr>
        <w:t>diritto</w:t>
      </w:r>
      <w:r>
        <w:rPr>
          <w:color w:val="231F20"/>
          <w:spacing w:val="-2"/>
        </w:rPr>
        <w:t> </w:t>
      </w:r>
      <w:r>
        <w:rPr>
          <w:color w:val="231F20"/>
        </w:rPr>
        <w:t>al</w:t>
      </w:r>
      <w:r>
        <w:rPr>
          <w:color w:val="231F20"/>
          <w:spacing w:val="-2"/>
        </w:rPr>
        <w:t> </w:t>
      </w:r>
      <w:r>
        <w:rPr>
          <w:color w:val="231F20"/>
        </w:rPr>
        <w:t>risp- </w:t>
      </w:r>
      <w:r>
        <w:rPr>
          <w:color w:val="231F20"/>
          <w:spacing w:val="-2"/>
        </w:rPr>
        <w:t>etto</w:t>
      </w:r>
      <w:r>
        <w:rPr>
          <w:color w:val="231F20"/>
          <w:spacing w:val="-10"/>
        </w:rPr>
        <w:t> </w:t>
      </w:r>
      <w:r>
        <w:rPr>
          <w:color w:val="231F20"/>
          <w:spacing w:val="-2"/>
        </w:rPr>
        <w:t>delle</w:t>
      </w:r>
      <w:r>
        <w:rPr>
          <w:color w:val="231F20"/>
          <w:spacing w:val="-10"/>
        </w:rPr>
        <w:t> </w:t>
      </w:r>
      <w:r>
        <w:rPr>
          <w:color w:val="231F20"/>
          <w:spacing w:val="-2"/>
        </w:rPr>
        <w:t>comunicazioni</w:t>
      </w:r>
      <w:r>
        <w:rPr>
          <w:color w:val="231F20"/>
          <w:spacing w:val="-10"/>
        </w:rPr>
        <w:t> </w:t>
      </w:r>
      <w:r>
        <w:rPr>
          <w:color w:val="231F20"/>
          <w:spacing w:val="-2"/>
        </w:rPr>
        <w:t>private</w:t>
      </w:r>
      <w:r>
        <w:rPr>
          <w:color w:val="231F20"/>
          <w:spacing w:val="-10"/>
        </w:rPr>
        <w:t> </w:t>
      </w:r>
      <w:r>
        <w:rPr>
          <w:color w:val="231F20"/>
          <w:spacing w:val="-2"/>
        </w:rPr>
        <w:t>fra</w:t>
      </w:r>
      <w:r>
        <w:rPr>
          <w:color w:val="231F20"/>
          <w:spacing w:val="-10"/>
        </w:rPr>
        <w:t> </w:t>
      </w:r>
      <w:r>
        <w:rPr>
          <w:color w:val="231F20"/>
          <w:spacing w:val="-2"/>
        </w:rPr>
        <w:t>avvocati</w:t>
      </w:r>
      <w:r>
        <w:rPr>
          <w:color w:val="231F20"/>
          <w:spacing w:val="-10"/>
        </w:rPr>
        <w:t> </w:t>
      </w:r>
      <w:r>
        <w:rPr>
          <w:color w:val="231F20"/>
          <w:spacing w:val="-2"/>
        </w:rPr>
        <w:t>tributaristi</w:t>
      </w:r>
      <w:r>
        <w:rPr>
          <w:color w:val="231F20"/>
          <w:spacing w:val="-10"/>
        </w:rPr>
        <w:t> </w:t>
      </w:r>
      <w:r>
        <w:rPr>
          <w:color w:val="231F20"/>
          <w:spacing w:val="-2"/>
        </w:rPr>
        <w:t>e</w:t>
      </w:r>
      <w:r>
        <w:rPr>
          <w:color w:val="231F20"/>
          <w:spacing w:val="-10"/>
        </w:rPr>
        <w:t> </w:t>
      </w:r>
      <w:r>
        <w:rPr>
          <w:color w:val="231F20"/>
          <w:spacing w:val="-2"/>
        </w:rPr>
        <w:t>contribuenti;</w:t>
      </w:r>
      <w:r>
        <w:rPr>
          <w:color w:val="231F20"/>
          <w:spacing w:val="-10"/>
        </w:rPr>
        <w:t> </w:t>
      </w:r>
      <w:r>
        <w:rPr>
          <w:color w:val="231F20"/>
          <w:spacing w:val="-2"/>
        </w:rPr>
        <w:t>dop- </w:t>
      </w:r>
      <w:r>
        <w:rPr>
          <w:color w:val="231F20"/>
        </w:rPr>
        <w:t>pia imposizione anche nell’ambito di imposte armonizzate (IVA e accise). Keywords:</w:t>
      </w:r>
      <w:r>
        <w:rPr>
          <w:color w:val="231F20"/>
          <w:spacing w:val="-6"/>
        </w:rPr>
        <w:t> </w:t>
      </w:r>
      <w:r>
        <w:rPr>
          <w:color w:val="231F20"/>
        </w:rPr>
        <w:t>information</w:t>
      </w:r>
      <w:r>
        <w:rPr>
          <w:color w:val="231F20"/>
          <w:spacing w:val="-6"/>
        </w:rPr>
        <w:t> </w:t>
      </w:r>
      <w:r>
        <w:rPr>
          <w:color w:val="231F20"/>
        </w:rPr>
        <w:t>exchange</w:t>
      </w:r>
      <w:r>
        <w:rPr>
          <w:color w:val="231F20"/>
          <w:spacing w:val="-6"/>
        </w:rPr>
        <w:t> </w:t>
      </w:r>
      <w:r>
        <w:rPr>
          <w:color w:val="231F20"/>
        </w:rPr>
        <w:t>between</w:t>
      </w:r>
      <w:r>
        <w:rPr>
          <w:color w:val="231F20"/>
          <w:spacing w:val="-6"/>
        </w:rPr>
        <w:t> </w:t>
      </w:r>
      <w:r>
        <w:rPr>
          <w:color w:val="231F20"/>
        </w:rPr>
        <w:t>tax</w:t>
      </w:r>
      <w:r>
        <w:rPr>
          <w:color w:val="231F20"/>
          <w:spacing w:val="-6"/>
        </w:rPr>
        <w:t> </w:t>
      </w:r>
      <w:r>
        <w:rPr>
          <w:color w:val="231F20"/>
        </w:rPr>
        <w:t>administrations;</w:t>
      </w:r>
      <w:r>
        <w:rPr>
          <w:color w:val="231F20"/>
          <w:spacing w:val="-6"/>
        </w:rPr>
        <w:t> </w:t>
      </w:r>
      <w:r>
        <w:rPr>
          <w:color w:val="231F20"/>
        </w:rPr>
        <w:t>fundamen- tal rights; right to an effective judicial remedy; right to respect for private communications between tax lawyers and taxpayers; double taxation also in the area of harmonised taxes (VAT and excise duties).</w:t>
      </w:r>
    </w:p>
    <w:p>
      <w:pPr>
        <w:pStyle w:val="BodyText"/>
        <w:spacing w:before="277"/>
      </w:pPr>
    </w:p>
    <w:p>
      <w:pPr>
        <w:pStyle w:val="Heading4"/>
        <w:ind w:left="157"/>
        <w:rPr>
          <w:b/>
          <w:i/>
        </w:rPr>
      </w:pPr>
      <w:r>
        <w:rPr>
          <w:b/>
          <w:i/>
          <w:color w:val="231F20"/>
          <w:spacing w:val="-2"/>
        </w:rPr>
        <w:t>Abstract</w:t>
      </w:r>
    </w:p>
    <w:p>
      <w:pPr>
        <w:spacing w:line="230" w:lineRule="auto" w:before="252"/>
        <w:ind w:left="157" w:right="117" w:firstLine="0"/>
        <w:jc w:val="both"/>
        <w:rPr>
          <w:i/>
          <w:sz w:val="24"/>
        </w:rPr>
      </w:pPr>
      <w:r>
        <w:rPr>
          <w:i/>
          <w:color w:val="231F20"/>
          <w:sz w:val="24"/>
        </w:rPr>
        <w:t>The subject of this study is the case law of the EU Court of Justice concerning</w:t>
      </w:r>
      <w:r>
        <w:rPr>
          <w:i/>
          <w:color w:val="231F20"/>
          <w:sz w:val="24"/>
        </w:rPr>
        <w:t> the interpretation and the validity of EU directives and regulations govern- ing cooperation between Member States tax administrations. By its long and detailed judgments the Court has inferred from articles 7 (right to respect </w:t>
      </w:r>
      <w:r>
        <w:rPr>
          <w:i/>
          <w:color w:val="231F20"/>
          <w:sz w:val="24"/>
        </w:rPr>
        <w:t>of private communications) and 47 (right to an effective judicial remedy) of the Charter of fundamental rights a body of case-law rules that the same Union judges superimposed on the provisions of EU secondary legislation governing administrative</w:t>
      </w:r>
      <w:r>
        <w:rPr>
          <w:i/>
          <w:color w:val="231F20"/>
          <w:spacing w:val="-13"/>
          <w:sz w:val="24"/>
        </w:rPr>
        <w:t> </w:t>
      </w:r>
      <w:r>
        <w:rPr>
          <w:i/>
          <w:color w:val="231F20"/>
          <w:sz w:val="24"/>
        </w:rPr>
        <w:t>cooperation</w:t>
      </w:r>
      <w:r>
        <w:rPr>
          <w:i/>
          <w:color w:val="231F20"/>
          <w:spacing w:val="-13"/>
          <w:sz w:val="24"/>
        </w:rPr>
        <w:t> </w:t>
      </w:r>
      <w:r>
        <w:rPr>
          <w:i/>
          <w:color w:val="231F20"/>
          <w:sz w:val="24"/>
        </w:rPr>
        <w:t>in</w:t>
      </w:r>
      <w:r>
        <w:rPr>
          <w:i/>
          <w:color w:val="231F20"/>
          <w:spacing w:val="-13"/>
          <w:sz w:val="24"/>
        </w:rPr>
        <w:t> </w:t>
      </w:r>
      <w:r>
        <w:rPr>
          <w:i/>
          <w:color w:val="231F20"/>
          <w:sz w:val="24"/>
        </w:rPr>
        <w:t>the</w:t>
      </w:r>
      <w:r>
        <w:rPr>
          <w:i/>
          <w:color w:val="231F20"/>
          <w:spacing w:val="-13"/>
          <w:sz w:val="24"/>
        </w:rPr>
        <w:t> </w:t>
      </w:r>
      <w:r>
        <w:rPr>
          <w:i/>
          <w:color w:val="231F20"/>
          <w:sz w:val="24"/>
        </w:rPr>
        <w:t>tax</w:t>
      </w:r>
      <w:r>
        <w:rPr>
          <w:i/>
          <w:color w:val="231F20"/>
          <w:spacing w:val="-13"/>
          <w:sz w:val="24"/>
        </w:rPr>
        <w:t> </w:t>
      </w:r>
      <w:r>
        <w:rPr>
          <w:i/>
          <w:color w:val="231F20"/>
          <w:sz w:val="24"/>
        </w:rPr>
        <w:t>sector.</w:t>
      </w:r>
      <w:r>
        <w:rPr>
          <w:i/>
          <w:color w:val="231F20"/>
          <w:spacing w:val="-13"/>
          <w:sz w:val="24"/>
        </w:rPr>
        <w:t> </w:t>
      </w:r>
      <w:r>
        <w:rPr>
          <w:i/>
          <w:color w:val="231F20"/>
          <w:sz w:val="24"/>
        </w:rPr>
        <w:t>From</w:t>
      </w:r>
      <w:r>
        <w:rPr>
          <w:i/>
          <w:color w:val="231F20"/>
          <w:spacing w:val="-13"/>
          <w:sz w:val="24"/>
        </w:rPr>
        <w:t> </w:t>
      </w:r>
      <w:r>
        <w:rPr>
          <w:i/>
          <w:color w:val="231F20"/>
          <w:sz w:val="24"/>
        </w:rPr>
        <w:t>this</w:t>
      </w:r>
      <w:r>
        <w:rPr>
          <w:i/>
          <w:color w:val="231F20"/>
          <w:spacing w:val="-13"/>
          <w:sz w:val="24"/>
        </w:rPr>
        <w:t> </w:t>
      </w:r>
      <w:r>
        <w:rPr>
          <w:i/>
          <w:color w:val="231F20"/>
          <w:sz w:val="24"/>
        </w:rPr>
        <w:t>point</w:t>
      </w:r>
      <w:r>
        <w:rPr>
          <w:i/>
          <w:color w:val="231F20"/>
          <w:spacing w:val="-13"/>
          <w:sz w:val="24"/>
        </w:rPr>
        <w:t> </w:t>
      </w:r>
      <w:r>
        <w:rPr>
          <w:i/>
          <w:color w:val="231F20"/>
          <w:sz w:val="24"/>
        </w:rPr>
        <w:t>of</w:t>
      </w:r>
      <w:r>
        <w:rPr>
          <w:i/>
          <w:color w:val="231F20"/>
          <w:spacing w:val="-13"/>
          <w:sz w:val="24"/>
        </w:rPr>
        <w:t> </w:t>
      </w:r>
      <w:r>
        <w:rPr>
          <w:i/>
          <w:color w:val="231F20"/>
          <w:sz w:val="24"/>
        </w:rPr>
        <w:t>view,</w:t>
      </w:r>
      <w:r>
        <w:rPr>
          <w:i/>
          <w:color w:val="231F20"/>
          <w:spacing w:val="-13"/>
          <w:sz w:val="24"/>
        </w:rPr>
        <w:t> </w:t>
      </w:r>
      <w:r>
        <w:rPr>
          <w:i/>
          <w:color w:val="231F20"/>
          <w:sz w:val="24"/>
        </w:rPr>
        <w:t>the</w:t>
      </w:r>
      <w:r>
        <w:rPr>
          <w:i/>
          <w:color w:val="231F20"/>
          <w:spacing w:val="-13"/>
          <w:sz w:val="24"/>
        </w:rPr>
        <w:t> </w:t>
      </w:r>
      <w:r>
        <w:rPr>
          <w:i/>
          <w:color w:val="231F20"/>
          <w:sz w:val="24"/>
        </w:rPr>
        <w:t>judge- ments concerning the protection of tax lawyers professional secrecy and those relating to judicial protection of private persons involved in information ex- change</w:t>
      </w:r>
      <w:r>
        <w:rPr>
          <w:i/>
          <w:color w:val="231F20"/>
          <w:spacing w:val="-1"/>
          <w:sz w:val="24"/>
        </w:rPr>
        <w:t> </w:t>
      </w:r>
      <w:r>
        <w:rPr>
          <w:i/>
          <w:color w:val="231F20"/>
          <w:sz w:val="24"/>
        </w:rPr>
        <w:t>procedures</w:t>
      </w:r>
      <w:r>
        <w:rPr>
          <w:i/>
          <w:color w:val="231F20"/>
          <w:spacing w:val="2"/>
          <w:sz w:val="24"/>
        </w:rPr>
        <w:t> </w:t>
      </w:r>
      <w:r>
        <w:rPr>
          <w:i/>
          <w:color w:val="231F20"/>
          <w:sz w:val="24"/>
        </w:rPr>
        <w:t>deserve</w:t>
      </w:r>
      <w:r>
        <w:rPr>
          <w:i/>
          <w:color w:val="231F20"/>
          <w:spacing w:val="1"/>
          <w:sz w:val="24"/>
        </w:rPr>
        <w:t> </w:t>
      </w:r>
      <w:r>
        <w:rPr>
          <w:i/>
          <w:color w:val="231F20"/>
          <w:sz w:val="24"/>
        </w:rPr>
        <w:t>particular</w:t>
      </w:r>
      <w:r>
        <w:rPr>
          <w:i/>
          <w:color w:val="231F20"/>
          <w:spacing w:val="2"/>
          <w:sz w:val="24"/>
        </w:rPr>
        <w:t> </w:t>
      </w:r>
      <w:r>
        <w:rPr>
          <w:i/>
          <w:color w:val="231F20"/>
          <w:sz w:val="24"/>
        </w:rPr>
        <w:t>attention.</w:t>
      </w:r>
      <w:r>
        <w:rPr>
          <w:i/>
          <w:color w:val="231F20"/>
          <w:spacing w:val="1"/>
          <w:sz w:val="24"/>
        </w:rPr>
        <w:t> </w:t>
      </w:r>
      <w:r>
        <w:rPr>
          <w:i/>
          <w:color w:val="231F20"/>
          <w:sz w:val="24"/>
        </w:rPr>
        <w:t>Finally,</w:t>
      </w:r>
      <w:r>
        <w:rPr>
          <w:i/>
          <w:color w:val="231F20"/>
          <w:spacing w:val="2"/>
          <w:sz w:val="24"/>
        </w:rPr>
        <w:t> </w:t>
      </w:r>
      <w:r>
        <w:rPr>
          <w:i/>
          <w:color w:val="231F20"/>
          <w:sz w:val="24"/>
        </w:rPr>
        <w:t>the</w:t>
      </w:r>
      <w:r>
        <w:rPr>
          <w:i/>
          <w:color w:val="231F20"/>
          <w:spacing w:val="1"/>
          <w:sz w:val="24"/>
        </w:rPr>
        <w:t> </w:t>
      </w:r>
      <w:r>
        <w:rPr>
          <w:i/>
          <w:color w:val="231F20"/>
          <w:sz w:val="24"/>
        </w:rPr>
        <w:t>analysis</w:t>
      </w:r>
      <w:r>
        <w:rPr>
          <w:i/>
          <w:color w:val="231F20"/>
          <w:spacing w:val="2"/>
          <w:sz w:val="24"/>
        </w:rPr>
        <w:t> </w:t>
      </w:r>
      <w:r>
        <w:rPr>
          <w:i/>
          <w:color w:val="231F20"/>
          <w:sz w:val="24"/>
        </w:rPr>
        <w:t>of</w:t>
      </w:r>
      <w:r>
        <w:rPr>
          <w:i/>
          <w:color w:val="231F20"/>
          <w:spacing w:val="1"/>
          <w:sz w:val="24"/>
        </w:rPr>
        <w:t> </w:t>
      </w:r>
      <w:r>
        <w:rPr>
          <w:i/>
          <w:color w:val="231F20"/>
          <w:sz w:val="24"/>
        </w:rPr>
        <w:t>the</w:t>
      </w:r>
      <w:r>
        <w:rPr>
          <w:i/>
          <w:color w:val="231F20"/>
          <w:spacing w:val="2"/>
          <w:sz w:val="24"/>
        </w:rPr>
        <w:t> </w:t>
      </w:r>
      <w:r>
        <w:rPr>
          <w:i/>
          <w:color w:val="231F20"/>
          <w:spacing w:val="-4"/>
          <w:sz w:val="24"/>
        </w:rPr>
        <w:t>case</w:t>
      </w:r>
    </w:p>
    <w:p>
      <w:pPr>
        <w:spacing w:after="0" w:line="230" w:lineRule="auto"/>
        <w:jc w:val="both"/>
        <w:rPr>
          <w:sz w:val="24"/>
        </w:rPr>
        <w:sectPr>
          <w:pgSz w:w="9640" w:h="13610"/>
          <w:pgMar w:header="0" w:footer="625" w:top="1260" w:bottom="820" w:left="1260" w:right="1240"/>
        </w:sectPr>
      </w:pPr>
    </w:p>
    <w:p>
      <w:pPr>
        <w:spacing w:line="230" w:lineRule="auto" w:before="113"/>
        <w:ind w:left="100" w:right="174" w:firstLine="0"/>
        <w:jc w:val="both"/>
        <w:rPr>
          <w:i/>
          <w:sz w:val="24"/>
        </w:rPr>
      </w:pPr>
      <w:r>
        <w:rPr>
          <w:i/>
          <w:color w:val="231F20"/>
          <w:sz w:val="24"/>
        </w:rPr>
        <w:t>law</w:t>
      </w:r>
      <w:r>
        <w:rPr>
          <w:i/>
          <w:color w:val="231F20"/>
          <w:spacing w:val="-5"/>
          <w:sz w:val="24"/>
        </w:rPr>
        <w:t> </w:t>
      </w:r>
      <w:r>
        <w:rPr>
          <w:i/>
          <w:color w:val="231F20"/>
          <w:sz w:val="24"/>
        </w:rPr>
        <w:t>regarding</w:t>
      </w:r>
      <w:r>
        <w:rPr>
          <w:i/>
          <w:color w:val="231F20"/>
          <w:spacing w:val="-5"/>
          <w:sz w:val="24"/>
        </w:rPr>
        <w:t> </w:t>
      </w:r>
      <w:r>
        <w:rPr>
          <w:i/>
          <w:color w:val="231F20"/>
          <w:sz w:val="24"/>
        </w:rPr>
        <w:t>administrative</w:t>
      </w:r>
      <w:r>
        <w:rPr>
          <w:i/>
          <w:color w:val="231F20"/>
          <w:spacing w:val="-5"/>
          <w:sz w:val="24"/>
        </w:rPr>
        <w:t> </w:t>
      </w:r>
      <w:r>
        <w:rPr>
          <w:i/>
          <w:color w:val="231F20"/>
          <w:sz w:val="24"/>
        </w:rPr>
        <w:t>cooperation</w:t>
      </w:r>
      <w:r>
        <w:rPr>
          <w:i/>
          <w:color w:val="231F20"/>
          <w:spacing w:val="-5"/>
          <w:sz w:val="24"/>
        </w:rPr>
        <w:t> </w:t>
      </w:r>
      <w:r>
        <w:rPr>
          <w:i/>
          <w:color w:val="231F20"/>
          <w:sz w:val="24"/>
        </w:rPr>
        <w:t>in</w:t>
      </w:r>
      <w:r>
        <w:rPr>
          <w:i/>
          <w:color w:val="231F20"/>
          <w:spacing w:val="-5"/>
          <w:sz w:val="24"/>
        </w:rPr>
        <w:t> </w:t>
      </w:r>
      <w:r>
        <w:rPr>
          <w:i/>
          <w:color w:val="231F20"/>
          <w:sz w:val="24"/>
        </w:rPr>
        <w:t>the</w:t>
      </w:r>
      <w:r>
        <w:rPr>
          <w:i/>
          <w:color w:val="231F20"/>
          <w:spacing w:val="-5"/>
          <w:sz w:val="24"/>
        </w:rPr>
        <w:t> </w:t>
      </w:r>
      <w:r>
        <w:rPr>
          <w:i/>
          <w:color w:val="231F20"/>
          <w:sz w:val="24"/>
        </w:rPr>
        <w:t>area</w:t>
      </w:r>
      <w:r>
        <w:rPr>
          <w:i/>
          <w:color w:val="231F20"/>
          <w:spacing w:val="-5"/>
          <w:sz w:val="24"/>
        </w:rPr>
        <w:t> </w:t>
      </w:r>
      <w:r>
        <w:rPr>
          <w:i/>
          <w:color w:val="231F20"/>
          <w:sz w:val="24"/>
        </w:rPr>
        <w:t>of</w:t>
      </w:r>
      <w:r>
        <w:rPr>
          <w:i/>
          <w:color w:val="231F20"/>
          <w:spacing w:val="-14"/>
          <w:sz w:val="24"/>
        </w:rPr>
        <w:t> </w:t>
      </w:r>
      <w:r>
        <w:rPr>
          <w:i/>
          <w:color w:val="231F20"/>
          <w:sz w:val="24"/>
        </w:rPr>
        <w:t>VAT</w:t>
      </w:r>
      <w:r>
        <w:rPr>
          <w:i/>
          <w:color w:val="231F20"/>
          <w:spacing w:val="-5"/>
          <w:sz w:val="24"/>
        </w:rPr>
        <w:t> </w:t>
      </w:r>
      <w:r>
        <w:rPr>
          <w:i/>
          <w:color w:val="231F20"/>
          <w:sz w:val="24"/>
        </w:rPr>
        <w:t>and</w:t>
      </w:r>
      <w:r>
        <w:rPr>
          <w:i/>
          <w:color w:val="231F20"/>
          <w:spacing w:val="-5"/>
          <w:sz w:val="24"/>
        </w:rPr>
        <w:t> </w:t>
      </w:r>
      <w:r>
        <w:rPr>
          <w:i/>
          <w:color w:val="231F20"/>
          <w:sz w:val="24"/>
        </w:rPr>
        <w:t>excise</w:t>
      </w:r>
      <w:r>
        <w:rPr>
          <w:i/>
          <w:color w:val="231F20"/>
          <w:spacing w:val="-5"/>
          <w:sz w:val="24"/>
        </w:rPr>
        <w:t> </w:t>
      </w:r>
      <w:r>
        <w:rPr>
          <w:i/>
          <w:color w:val="231F20"/>
          <w:sz w:val="24"/>
        </w:rPr>
        <w:t>duties</w:t>
      </w:r>
      <w:r>
        <w:rPr>
          <w:i/>
          <w:color w:val="231F20"/>
          <w:sz w:val="24"/>
        </w:rPr>
        <w:t> has highlighted cases of double taxation despite the long-standing existence </w:t>
      </w:r>
      <w:r>
        <w:rPr>
          <w:i/>
          <w:color w:val="231F20"/>
          <w:sz w:val="24"/>
        </w:rPr>
        <w:t>of harmonization</w:t>
      </w:r>
      <w:r>
        <w:rPr>
          <w:i/>
          <w:color w:val="231F20"/>
          <w:spacing w:val="-7"/>
          <w:sz w:val="24"/>
        </w:rPr>
        <w:t> </w:t>
      </w:r>
      <w:r>
        <w:rPr>
          <w:i/>
          <w:color w:val="231F20"/>
          <w:sz w:val="24"/>
        </w:rPr>
        <w:t>directives.</w:t>
      </w:r>
      <w:r>
        <w:rPr>
          <w:i/>
          <w:color w:val="231F20"/>
          <w:spacing w:val="-7"/>
          <w:sz w:val="24"/>
        </w:rPr>
        <w:t> </w:t>
      </w:r>
      <w:r>
        <w:rPr>
          <w:i/>
          <w:color w:val="231F20"/>
          <w:sz w:val="24"/>
        </w:rPr>
        <w:t>The</w:t>
      </w:r>
      <w:r>
        <w:rPr>
          <w:i/>
          <w:color w:val="231F20"/>
          <w:spacing w:val="-7"/>
          <w:sz w:val="24"/>
        </w:rPr>
        <w:t> </w:t>
      </w:r>
      <w:r>
        <w:rPr>
          <w:i/>
          <w:color w:val="231F20"/>
          <w:sz w:val="24"/>
        </w:rPr>
        <w:t>Court</w:t>
      </w:r>
      <w:r>
        <w:rPr>
          <w:i/>
          <w:color w:val="231F20"/>
          <w:spacing w:val="-7"/>
          <w:sz w:val="24"/>
        </w:rPr>
        <w:t> </w:t>
      </w:r>
      <w:r>
        <w:rPr>
          <w:i/>
          <w:color w:val="231F20"/>
          <w:sz w:val="24"/>
        </w:rPr>
        <w:t>had</w:t>
      </w:r>
      <w:r>
        <w:rPr>
          <w:i/>
          <w:color w:val="231F20"/>
          <w:spacing w:val="-7"/>
          <w:sz w:val="24"/>
        </w:rPr>
        <w:t> </w:t>
      </w:r>
      <w:r>
        <w:rPr>
          <w:i/>
          <w:color w:val="231F20"/>
          <w:sz w:val="24"/>
        </w:rPr>
        <w:t>indeed</w:t>
      </w:r>
      <w:r>
        <w:rPr>
          <w:i/>
          <w:color w:val="231F20"/>
          <w:spacing w:val="-7"/>
          <w:sz w:val="24"/>
        </w:rPr>
        <w:t> </w:t>
      </w:r>
      <w:r>
        <w:rPr>
          <w:i/>
          <w:color w:val="231F20"/>
          <w:sz w:val="24"/>
        </w:rPr>
        <w:t>to</w:t>
      </w:r>
      <w:r>
        <w:rPr>
          <w:i/>
          <w:color w:val="231F20"/>
          <w:spacing w:val="-7"/>
          <w:sz w:val="24"/>
        </w:rPr>
        <w:t> </w:t>
      </w:r>
      <w:r>
        <w:rPr>
          <w:i/>
          <w:color w:val="231F20"/>
          <w:sz w:val="24"/>
        </w:rPr>
        <w:t>admit</w:t>
      </w:r>
      <w:r>
        <w:rPr>
          <w:i/>
          <w:color w:val="231F20"/>
          <w:spacing w:val="-7"/>
          <w:sz w:val="24"/>
        </w:rPr>
        <w:t> </w:t>
      </w:r>
      <w:r>
        <w:rPr>
          <w:i/>
          <w:color w:val="231F20"/>
          <w:sz w:val="24"/>
        </w:rPr>
        <w:t>that</w:t>
      </w:r>
      <w:r>
        <w:rPr>
          <w:i/>
          <w:color w:val="231F20"/>
          <w:spacing w:val="-7"/>
          <w:sz w:val="24"/>
        </w:rPr>
        <w:t> </w:t>
      </w:r>
      <w:r>
        <w:rPr>
          <w:i/>
          <w:color w:val="231F20"/>
          <w:sz w:val="24"/>
        </w:rPr>
        <w:t>EU</w:t>
      </w:r>
      <w:r>
        <w:rPr>
          <w:i/>
          <w:color w:val="231F20"/>
          <w:spacing w:val="-7"/>
          <w:sz w:val="24"/>
        </w:rPr>
        <w:t> </w:t>
      </w:r>
      <w:r>
        <w:rPr>
          <w:i/>
          <w:color w:val="231F20"/>
          <w:sz w:val="24"/>
        </w:rPr>
        <w:t>regulations governing</w:t>
      </w:r>
      <w:r>
        <w:rPr>
          <w:i/>
          <w:color w:val="231F20"/>
          <w:spacing w:val="-14"/>
          <w:sz w:val="24"/>
        </w:rPr>
        <w:t> </w:t>
      </w:r>
      <w:r>
        <w:rPr>
          <w:i/>
          <w:color w:val="231F20"/>
          <w:sz w:val="24"/>
        </w:rPr>
        <w:t>cooperation</w:t>
      </w:r>
      <w:r>
        <w:rPr>
          <w:i/>
          <w:color w:val="231F20"/>
          <w:spacing w:val="-10"/>
          <w:sz w:val="24"/>
        </w:rPr>
        <w:t> </w:t>
      </w:r>
      <w:r>
        <w:rPr>
          <w:i/>
          <w:color w:val="231F20"/>
          <w:sz w:val="24"/>
        </w:rPr>
        <w:t>between</w:t>
      </w:r>
      <w:r>
        <w:rPr>
          <w:i/>
          <w:color w:val="231F20"/>
          <w:spacing w:val="-15"/>
          <w:sz w:val="24"/>
        </w:rPr>
        <w:t> </w:t>
      </w:r>
      <w:r>
        <w:rPr>
          <w:i/>
          <w:color w:val="231F20"/>
          <w:sz w:val="24"/>
        </w:rPr>
        <w:t>VAT</w:t>
      </w:r>
      <w:r>
        <w:rPr>
          <w:i/>
          <w:color w:val="231F20"/>
          <w:spacing w:val="-10"/>
          <w:sz w:val="24"/>
        </w:rPr>
        <w:t> </w:t>
      </w:r>
      <w:r>
        <w:rPr>
          <w:i/>
          <w:color w:val="231F20"/>
          <w:sz w:val="24"/>
        </w:rPr>
        <w:t>and</w:t>
      </w:r>
      <w:r>
        <w:rPr>
          <w:i/>
          <w:color w:val="231F20"/>
          <w:spacing w:val="-10"/>
          <w:sz w:val="24"/>
        </w:rPr>
        <w:t> </w:t>
      </w:r>
      <w:r>
        <w:rPr>
          <w:i/>
          <w:color w:val="231F20"/>
          <w:sz w:val="24"/>
        </w:rPr>
        <w:t>excise</w:t>
      </w:r>
      <w:r>
        <w:rPr>
          <w:i/>
          <w:color w:val="231F20"/>
          <w:spacing w:val="-10"/>
          <w:sz w:val="24"/>
        </w:rPr>
        <w:t> </w:t>
      </w:r>
      <w:r>
        <w:rPr>
          <w:i/>
          <w:color w:val="231F20"/>
          <w:sz w:val="24"/>
        </w:rPr>
        <w:t>duties</w:t>
      </w:r>
      <w:r>
        <w:rPr>
          <w:i/>
          <w:color w:val="231F20"/>
          <w:spacing w:val="-10"/>
          <w:sz w:val="24"/>
        </w:rPr>
        <w:t> </w:t>
      </w:r>
      <w:r>
        <w:rPr>
          <w:i/>
          <w:color w:val="231F20"/>
          <w:sz w:val="24"/>
        </w:rPr>
        <w:t>Member</w:t>
      </w:r>
      <w:r>
        <w:rPr>
          <w:i/>
          <w:color w:val="231F20"/>
          <w:spacing w:val="-10"/>
          <w:sz w:val="24"/>
        </w:rPr>
        <w:t> </w:t>
      </w:r>
      <w:r>
        <w:rPr>
          <w:i/>
          <w:color w:val="231F20"/>
          <w:sz w:val="24"/>
        </w:rPr>
        <w:t>States</w:t>
      </w:r>
      <w:r>
        <w:rPr>
          <w:i/>
          <w:color w:val="231F20"/>
          <w:spacing w:val="-10"/>
          <w:sz w:val="24"/>
        </w:rPr>
        <w:t> </w:t>
      </w:r>
      <w:r>
        <w:rPr>
          <w:i/>
          <w:color w:val="231F20"/>
          <w:sz w:val="24"/>
        </w:rPr>
        <w:t>adminis- trations do not provide for rules to prevent double taxation.</w:t>
      </w:r>
    </w:p>
    <w:p>
      <w:pPr>
        <w:pStyle w:val="BodyText"/>
        <w:rPr>
          <w:i/>
        </w:rPr>
      </w:pPr>
    </w:p>
    <w:p>
      <w:pPr>
        <w:pStyle w:val="BodyText"/>
        <w:spacing w:before="24"/>
        <w:rPr>
          <w:i/>
        </w:rPr>
      </w:pPr>
    </w:p>
    <w:p>
      <w:pPr>
        <w:pStyle w:val="Heading3"/>
        <w:spacing w:before="1"/>
        <w:ind w:left="100"/>
        <w:rPr>
          <w:b/>
        </w:rPr>
      </w:pPr>
      <w:r>
        <w:rPr>
          <w:b/>
          <w:color w:val="231F20"/>
          <w:spacing w:val="-2"/>
        </w:rPr>
        <w:t>Abstract</w:t>
      </w:r>
    </w:p>
    <w:p>
      <w:pPr>
        <w:pStyle w:val="BodyText"/>
        <w:spacing w:line="225" w:lineRule="auto" w:before="257"/>
        <w:ind w:left="100" w:right="174"/>
        <w:jc w:val="both"/>
      </w:pPr>
      <w:r>
        <w:rPr>
          <w:color w:val="231F20"/>
        </w:rPr>
        <w:t>Oggetto</w:t>
      </w:r>
      <w:r>
        <w:rPr>
          <w:color w:val="231F20"/>
          <w:spacing w:val="-10"/>
        </w:rPr>
        <w:t> </w:t>
      </w:r>
      <w:r>
        <w:rPr>
          <w:color w:val="231F20"/>
        </w:rPr>
        <w:t>del</w:t>
      </w:r>
      <w:r>
        <w:rPr>
          <w:color w:val="231F20"/>
          <w:spacing w:val="-10"/>
        </w:rPr>
        <w:t> </w:t>
      </w:r>
      <w:r>
        <w:rPr>
          <w:color w:val="231F20"/>
        </w:rPr>
        <w:t>presente</w:t>
      </w:r>
      <w:r>
        <w:rPr>
          <w:color w:val="231F20"/>
          <w:spacing w:val="-10"/>
        </w:rPr>
        <w:t> </w:t>
      </w:r>
      <w:r>
        <w:rPr>
          <w:color w:val="231F20"/>
        </w:rPr>
        <w:t>studio</w:t>
      </w:r>
      <w:r>
        <w:rPr>
          <w:color w:val="231F20"/>
          <w:spacing w:val="-10"/>
        </w:rPr>
        <w:t> </w:t>
      </w:r>
      <w:r>
        <w:rPr>
          <w:color w:val="231F20"/>
        </w:rPr>
        <w:t>sono</w:t>
      </w:r>
      <w:r>
        <w:rPr>
          <w:color w:val="231F20"/>
          <w:spacing w:val="-10"/>
        </w:rPr>
        <w:t> </w:t>
      </w:r>
      <w:r>
        <w:rPr>
          <w:color w:val="231F20"/>
        </w:rPr>
        <w:t>le</w:t>
      </w:r>
      <w:r>
        <w:rPr>
          <w:color w:val="231F20"/>
          <w:spacing w:val="-10"/>
        </w:rPr>
        <w:t> </w:t>
      </w:r>
      <w:r>
        <w:rPr>
          <w:color w:val="231F20"/>
        </w:rPr>
        <w:t>sentenze</w:t>
      </w:r>
      <w:r>
        <w:rPr>
          <w:color w:val="231F20"/>
          <w:spacing w:val="-10"/>
        </w:rPr>
        <w:t> </w:t>
      </w:r>
      <w:r>
        <w:rPr>
          <w:color w:val="231F20"/>
        </w:rPr>
        <w:t>della</w:t>
      </w:r>
      <w:r>
        <w:rPr>
          <w:color w:val="231F20"/>
          <w:spacing w:val="-10"/>
        </w:rPr>
        <w:t> </w:t>
      </w:r>
      <w:r>
        <w:rPr>
          <w:color w:val="231F20"/>
        </w:rPr>
        <w:t>Corte</w:t>
      </w:r>
      <w:r>
        <w:rPr>
          <w:color w:val="231F20"/>
          <w:spacing w:val="-10"/>
        </w:rPr>
        <w:t> </w:t>
      </w:r>
      <w:r>
        <w:rPr>
          <w:color w:val="231F20"/>
        </w:rPr>
        <w:t>di</w:t>
      </w:r>
      <w:r>
        <w:rPr>
          <w:color w:val="231F20"/>
          <w:spacing w:val="-10"/>
        </w:rPr>
        <w:t> </w:t>
      </w:r>
      <w:r>
        <w:rPr>
          <w:color w:val="231F20"/>
        </w:rPr>
        <w:t>giustizia</w:t>
      </w:r>
      <w:r>
        <w:rPr>
          <w:color w:val="231F20"/>
          <w:spacing w:val="-10"/>
        </w:rPr>
        <w:t> </w:t>
      </w:r>
      <w:r>
        <w:rPr>
          <w:color w:val="231F20"/>
        </w:rPr>
        <w:t>riguar- danti</w:t>
      </w:r>
      <w:r>
        <w:rPr>
          <w:color w:val="231F20"/>
          <w:spacing w:val="-8"/>
        </w:rPr>
        <w:t> </w:t>
      </w:r>
      <w:r>
        <w:rPr>
          <w:color w:val="231F20"/>
        </w:rPr>
        <w:t>l’interpretazione</w:t>
      </w:r>
      <w:r>
        <w:rPr>
          <w:color w:val="231F20"/>
          <w:spacing w:val="-8"/>
        </w:rPr>
        <w:t> </w:t>
      </w:r>
      <w:r>
        <w:rPr>
          <w:color w:val="231F20"/>
        </w:rPr>
        <w:t>e</w:t>
      </w:r>
      <w:r>
        <w:rPr>
          <w:color w:val="231F20"/>
          <w:spacing w:val="-8"/>
        </w:rPr>
        <w:t> </w:t>
      </w:r>
      <w:r>
        <w:rPr>
          <w:color w:val="231F20"/>
        </w:rPr>
        <w:t>la</w:t>
      </w:r>
      <w:r>
        <w:rPr>
          <w:color w:val="231F20"/>
          <w:spacing w:val="-8"/>
        </w:rPr>
        <w:t> </w:t>
      </w:r>
      <w:r>
        <w:rPr>
          <w:color w:val="231F20"/>
        </w:rPr>
        <w:t>validità</w:t>
      </w:r>
      <w:r>
        <w:rPr>
          <w:color w:val="231F20"/>
          <w:spacing w:val="-8"/>
        </w:rPr>
        <w:t> </w:t>
      </w:r>
      <w:r>
        <w:rPr>
          <w:color w:val="231F20"/>
        </w:rPr>
        <w:t>delle</w:t>
      </w:r>
      <w:r>
        <w:rPr>
          <w:color w:val="231F20"/>
          <w:spacing w:val="-8"/>
        </w:rPr>
        <w:t> </w:t>
      </w:r>
      <w:r>
        <w:rPr>
          <w:color w:val="231F20"/>
        </w:rPr>
        <w:t>direttive</w:t>
      </w:r>
      <w:r>
        <w:rPr>
          <w:color w:val="231F20"/>
          <w:spacing w:val="-8"/>
        </w:rPr>
        <w:t> </w:t>
      </w:r>
      <w:r>
        <w:rPr>
          <w:color w:val="231F20"/>
        </w:rPr>
        <w:t>e</w:t>
      </w:r>
      <w:r>
        <w:rPr>
          <w:color w:val="231F20"/>
          <w:spacing w:val="-8"/>
        </w:rPr>
        <w:t> </w:t>
      </w:r>
      <w:r>
        <w:rPr>
          <w:color w:val="231F20"/>
        </w:rPr>
        <w:t>dei</w:t>
      </w:r>
      <w:r>
        <w:rPr>
          <w:color w:val="231F20"/>
          <w:spacing w:val="-8"/>
        </w:rPr>
        <w:t> </w:t>
      </w:r>
      <w:r>
        <w:rPr>
          <w:color w:val="231F20"/>
        </w:rPr>
        <w:t>regolamenti</w:t>
      </w:r>
      <w:r>
        <w:rPr>
          <w:color w:val="231F20"/>
          <w:spacing w:val="-8"/>
        </w:rPr>
        <w:t> </w:t>
      </w:r>
      <w:r>
        <w:rPr>
          <w:color w:val="231F20"/>
        </w:rPr>
        <w:t>dell’UE che disciplinano la cooperazione fra le amministrazioni fiscali degli </w:t>
      </w:r>
      <w:r>
        <w:rPr>
          <w:color w:val="231F20"/>
        </w:rPr>
        <w:t>Stati membri. In queste sue lunghe e dettagliate pronunce la Corte ha dedotto dagli art. 7 (diritto alla riservatezza delle comunicazioni) e 47 (diritto ad un</w:t>
      </w:r>
      <w:r>
        <w:rPr>
          <w:color w:val="231F20"/>
          <w:spacing w:val="-12"/>
        </w:rPr>
        <w:t> </w:t>
      </w:r>
      <w:r>
        <w:rPr>
          <w:color w:val="231F20"/>
        </w:rPr>
        <w:t>ricorso</w:t>
      </w:r>
      <w:r>
        <w:rPr>
          <w:color w:val="231F20"/>
          <w:spacing w:val="-12"/>
        </w:rPr>
        <w:t> </w:t>
      </w:r>
      <w:r>
        <w:rPr>
          <w:color w:val="231F20"/>
        </w:rPr>
        <w:t>giurisdizionale</w:t>
      </w:r>
      <w:r>
        <w:rPr>
          <w:color w:val="231F20"/>
          <w:spacing w:val="-12"/>
        </w:rPr>
        <w:t> </w:t>
      </w:r>
      <w:r>
        <w:rPr>
          <w:color w:val="231F20"/>
        </w:rPr>
        <w:t>effettivo)</w:t>
      </w:r>
      <w:r>
        <w:rPr>
          <w:color w:val="231F20"/>
          <w:spacing w:val="-12"/>
        </w:rPr>
        <w:t> </w:t>
      </w:r>
      <w:r>
        <w:rPr>
          <w:color w:val="231F20"/>
        </w:rPr>
        <w:t>della</w:t>
      </w:r>
      <w:r>
        <w:rPr>
          <w:color w:val="231F20"/>
          <w:spacing w:val="-12"/>
        </w:rPr>
        <w:t> </w:t>
      </w:r>
      <w:r>
        <w:rPr>
          <w:color w:val="231F20"/>
        </w:rPr>
        <w:t>Carta</w:t>
      </w:r>
      <w:r>
        <w:rPr>
          <w:color w:val="231F20"/>
          <w:spacing w:val="-12"/>
        </w:rPr>
        <w:t> </w:t>
      </w:r>
      <w:r>
        <w:rPr>
          <w:color w:val="231F20"/>
        </w:rPr>
        <w:t>dei</w:t>
      </w:r>
      <w:r>
        <w:rPr>
          <w:color w:val="231F20"/>
          <w:spacing w:val="-12"/>
        </w:rPr>
        <w:t> </w:t>
      </w:r>
      <w:r>
        <w:rPr>
          <w:color w:val="231F20"/>
        </w:rPr>
        <w:t>diritti</w:t>
      </w:r>
      <w:r>
        <w:rPr>
          <w:color w:val="231F20"/>
          <w:spacing w:val="-12"/>
        </w:rPr>
        <w:t> </w:t>
      </w:r>
      <w:r>
        <w:rPr>
          <w:color w:val="231F20"/>
        </w:rPr>
        <w:t>fondamentali</w:t>
      </w:r>
      <w:r>
        <w:rPr>
          <w:color w:val="231F20"/>
          <w:spacing w:val="-12"/>
        </w:rPr>
        <w:t> </w:t>
      </w:r>
      <w:r>
        <w:rPr>
          <w:color w:val="231F20"/>
        </w:rPr>
        <w:t>una serie di regole giurisprudenziali che si sono sovrapposte alle disposizioni della legislazione secondaria in materia di cooperazione amministrativa. Particolarmente importanti si sono rivelate le sentenze aventi ad oggetto</w:t>
      </w:r>
      <w:r>
        <w:rPr>
          <w:color w:val="231F20"/>
          <w:spacing w:val="40"/>
        </w:rPr>
        <w:t> </w:t>
      </w:r>
      <w:r>
        <w:rPr>
          <w:color w:val="231F20"/>
        </w:rPr>
        <w:t>la</w:t>
      </w:r>
      <w:r>
        <w:rPr>
          <w:color w:val="231F20"/>
          <w:spacing w:val="-2"/>
        </w:rPr>
        <w:t> </w:t>
      </w:r>
      <w:r>
        <w:rPr>
          <w:color w:val="231F20"/>
        </w:rPr>
        <w:t>tutela</w:t>
      </w:r>
      <w:r>
        <w:rPr>
          <w:color w:val="231F20"/>
          <w:spacing w:val="-2"/>
        </w:rPr>
        <w:t> </w:t>
      </w:r>
      <w:r>
        <w:rPr>
          <w:color w:val="231F20"/>
        </w:rPr>
        <w:t>del</w:t>
      </w:r>
      <w:r>
        <w:rPr>
          <w:color w:val="231F20"/>
          <w:spacing w:val="-2"/>
        </w:rPr>
        <w:t> </w:t>
      </w:r>
      <w:r>
        <w:rPr>
          <w:color w:val="231F20"/>
        </w:rPr>
        <w:t>segreto</w:t>
      </w:r>
      <w:r>
        <w:rPr>
          <w:color w:val="231F20"/>
          <w:spacing w:val="-2"/>
        </w:rPr>
        <w:t> </w:t>
      </w:r>
      <w:r>
        <w:rPr>
          <w:color w:val="231F20"/>
        </w:rPr>
        <w:t>professionale</w:t>
      </w:r>
      <w:r>
        <w:rPr>
          <w:color w:val="231F20"/>
          <w:spacing w:val="-2"/>
        </w:rPr>
        <w:t> </w:t>
      </w:r>
      <w:r>
        <w:rPr>
          <w:color w:val="231F20"/>
        </w:rPr>
        <w:t>degli</w:t>
      </w:r>
      <w:r>
        <w:rPr>
          <w:color w:val="231F20"/>
          <w:spacing w:val="-2"/>
        </w:rPr>
        <w:t> </w:t>
      </w:r>
      <w:r>
        <w:rPr>
          <w:color w:val="231F20"/>
        </w:rPr>
        <w:t>avvocati</w:t>
      </w:r>
      <w:r>
        <w:rPr>
          <w:color w:val="231F20"/>
          <w:spacing w:val="-2"/>
        </w:rPr>
        <w:t> </w:t>
      </w:r>
      <w:r>
        <w:rPr>
          <w:color w:val="231F20"/>
        </w:rPr>
        <w:t>tributaristi</w:t>
      </w:r>
      <w:r>
        <w:rPr>
          <w:color w:val="231F20"/>
          <w:spacing w:val="-2"/>
        </w:rPr>
        <w:t> </w:t>
      </w:r>
      <w:r>
        <w:rPr>
          <w:color w:val="231F20"/>
        </w:rPr>
        <w:t>e</w:t>
      </w:r>
      <w:r>
        <w:rPr>
          <w:color w:val="231F20"/>
          <w:spacing w:val="-2"/>
        </w:rPr>
        <w:t> </w:t>
      </w:r>
      <w:r>
        <w:rPr>
          <w:color w:val="231F20"/>
        </w:rPr>
        <w:t>quelle</w:t>
      </w:r>
      <w:r>
        <w:rPr>
          <w:color w:val="231F20"/>
          <w:spacing w:val="-2"/>
        </w:rPr>
        <w:t> </w:t>
      </w:r>
      <w:r>
        <w:rPr>
          <w:color w:val="231F20"/>
        </w:rPr>
        <w:t>riguar- danti la tutela giurisdizionale dei soggetti privati coinvolti nelle procedure di scambio di informazioni. Dall’analisi della giurisprudenza riguardante la</w:t>
      </w:r>
      <w:r>
        <w:rPr>
          <w:color w:val="231F20"/>
          <w:spacing w:val="-6"/>
        </w:rPr>
        <w:t> </w:t>
      </w:r>
      <w:r>
        <w:rPr>
          <w:color w:val="231F20"/>
        </w:rPr>
        <w:t>cooperazione</w:t>
      </w:r>
      <w:r>
        <w:rPr>
          <w:color w:val="231F20"/>
          <w:spacing w:val="-6"/>
        </w:rPr>
        <w:t> </w:t>
      </w:r>
      <w:r>
        <w:rPr>
          <w:color w:val="231F20"/>
        </w:rPr>
        <w:t>amministrativa</w:t>
      </w:r>
      <w:r>
        <w:rPr>
          <w:color w:val="231F20"/>
          <w:spacing w:val="-6"/>
        </w:rPr>
        <w:t> </w:t>
      </w:r>
      <w:r>
        <w:rPr>
          <w:color w:val="231F20"/>
        </w:rPr>
        <w:t>in</w:t>
      </w:r>
      <w:r>
        <w:rPr>
          <w:color w:val="231F20"/>
          <w:spacing w:val="-6"/>
        </w:rPr>
        <w:t> </w:t>
      </w:r>
      <w:r>
        <w:rPr>
          <w:color w:val="231F20"/>
        </w:rPr>
        <w:t>materia</w:t>
      </w:r>
      <w:r>
        <w:rPr>
          <w:color w:val="231F20"/>
          <w:spacing w:val="-6"/>
        </w:rPr>
        <w:t> </w:t>
      </w:r>
      <w:r>
        <w:rPr>
          <w:color w:val="231F20"/>
        </w:rPr>
        <w:t>di</w:t>
      </w:r>
      <w:r>
        <w:rPr>
          <w:color w:val="231F20"/>
          <w:spacing w:val="-6"/>
        </w:rPr>
        <w:t> </w:t>
      </w:r>
      <w:r>
        <w:rPr>
          <w:color w:val="231F20"/>
        </w:rPr>
        <w:t>IVA</w:t>
      </w:r>
      <w:r>
        <w:rPr>
          <w:color w:val="231F20"/>
          <w:spacing w:val="-6"/>
        </w:rPr>
        <w:t> </w:t>
      </w:r>
      <w:r>
        <w:rPr>
          <w:color w:val="231F20"/>
        </w:rPr>
        <w:t>e</w:t>
      </w:r>
      <w:r>
        <w:rPr>
          <w:color w:val="231F20"/>
          <w:spacing w:val="-6"/>
        </w:rPr>
        <w:t> </w:t>
      </w:r>
      <w:r>
        <w:rPr>
          <w:color w:val="231F20"/>
        </w:rPr>
        <w:t>accise</w:t>
      </w:r>
      <w:r>
        <w:rPr>
          <w:color w:val="231F20"/>
          <w:spacing w:val="-6"/>
        </w:rPr>
        <w:t> </w:t>
      </w:r>
      <w:r>
        <w:rPr>
          <w:color w:val="231F20"/>
        </w:rPr>
        <w:t>è</w:t>
      </w:r>
      <w:r>
        <w:rPr>
          <w:color w:val="231F20"/>
          <w:spacing w:val="-6"/>
        </w:rPr>
        <w:t> </w:t>
      </w:r>
      <w:r>
        <w:rPr>
          <w:color w:val="231F20"/>
        </w:rPr>
        <w:t>risultato</w:t>
      </w:r>
      <w:r>
        <w:rPr>
          <w:color w:val="231F20"/>
          <w:spacing w:val="-6"/>
        </w:rPr>
        <w:t> </w:t>
      </w:r>
      <w:r>
        <w:rPr>
          <w:color w:val="231F20"/>
        </w:rPr>
        <w:t>anche che</w:t>
      </w:r>
      <w:r>
        <w:rPr>
          <w:color w:val="231F20"/>
          <w:spacing w:val="-11"/>
        </w:rPr>
        <w:t> </w:t>
      </w:r>
      <w:r>
        <w:rPr>
          <w:color w:val="231F20"/>
        </w:rPr>
        <w:t>esistono</w:t>
      </w:r>
      <w:r>
        <w:rPr>
          <w:color w:val="231F20"/>
          <w:spacing w:val="-11"/>
        </w:rPr>
        <w:t> </w:t>
      </w:r>
      <w:r>
        <w:rPr>
          <w:color w:val="231F20"/>
        </w:rPr>
        <w:t>ancora,</w:t>
      </w:r>
      <w:r>
        <w:rPr>
          <w:color w:val="231F20"/>
          <w:spacing w:val="-11"/>
        </w:rPr>
        <w:t> </w:t>
      </w:r>
      <w:r>
        <w:rPr>
          <w:color w:val="231F20"/>
        </w:rPr>
        <w:t>nell’ambito</w:t>
      </w:r>
      <w:r>
        <w:rPr>
          <w:color w:val="231F20"/>
          <w:spacing w:val="-11"/>
        </w:rPr>
        <w:t> </w:t>
      </w:r>
      <w:r>
        <w:rPr>
          <w:color w:val="231F20"/>
        </w:rPr>
        <w:t>di</w:t>
      </w:r>
      <w:r>
        <w:rPr>
          <w:color w:val="231F20"/>
          <w:spacing w:val="-11"/>
        </w:rPr>
        <w:t> </w:t>
      </w:r>
      <w:r>
        <w:rPr>
          <w:color w:val="231F20"/>
        </w:rPr>
        <w:t>tali</w:t>
      </w:r>
      <w:r>
        <w:rPr>
          <w:color w:val="231F20"/>
          <w:spacing w:val="-11"/>
        </w:rPr>
        <w:t> </w:t>
      </w:r>
      <w:r>
        <w:rPr>
          <w:color w:val="231F20"/>
        </w:rPr>
        <w:t>imposte</w:t>
      </w:r>
      <w:r>
        <w:rPr>
          <w:color w:val="231F20"/>
          <w:spacing w:val="-11"/>
        </w:rPr>
        <w:t> </w:t>
      </w:r>
      <w:r>
        <w:rPr>
          <w:color w:val="231F20"/>
        </w:rPr>
        <w:t>armonizzate,</w:t>
      </w:r>
      <w:r>
        <w:rPr>
          <w:color w:val="231F20"/>
          <w:spacing w:val="-11"/>
        </w:rPr>
        <w:t> </w:t>
      </w:r>
      <w:r>
        <w:rPr>
          <w:color w:val="231F20"/>
        </w:rPr>
        <w:t>casi</w:t>
      </w:r>
      <w:r>
        <w:rPr>
          <w:color w:val="231F20"/>
          <w:spacing w:val="-11"/>
        </w:rPr>
        <w:t> </w:t>
      </w:r>
      <w:r>
        <w:rPr>
          <w:color w:val="231F20"/>
        </w:rPr>
        <w:t>di</w:t>
      </w:r>
      <w:r>
        <w:rPr>
          <w:color w:val="231F20"/>
          <w:spacing w:val="-11"/>
        </w:rPr>
        <w:t> </w:t>
      </w:r>
      <w:r>
        <w:rPr>
          <w:color w:val="231F20"/>
        </w:rPr>
        <w:t>doppia imposizione</w:t>
      </w:r>
      <w:r>
        <w:rPr>
          <w:color w:val="231F20"/>
          <w:spacing w:val="-14"/>
        </w:rPr>
        <w:t> </w:t>
      </w:r>
      <w:r>
        <w:rPr>
          <w:color w:val="231F20"/>
        </w:rPr>
        <w:t>ai</w:t>
      </w:r>
      <w:r>
        <w:rPr>
          <w:color w:val="231F20"/>
          <w:spacing w:val="-14"/>
        </w:rPr>
        <w:t> </w:t>
      </w:r>
      <w:r>
        <w:rPr>
          <w:color w:val="231F20"/>
        </w:rPr>
        <w:t>quali</w:t>
      </w:r>
      <w:r>
        <w:rPr>
          <w:color w:val="231F20"/>
          <w:spacing w:val="-14"/>
        </w:rPr>
        <w:t> </w:t>
      </w:r>
      <w:r>
        <w:rPr>
          <w:color w:val="231F20"/>
        </w:rPr>
        <w:t>i</w:t>
      </w:r>
      <w:r>
        <w:rPr>
          <w:color w:val="231F20"/>
          <w:spacing w:val="-14"/>
        </w:rPr>
        <w:t> </w:t>
      </w:r>
      <w:r>
        <w:rPr>
          <w:color w:val="231F20"/>
        </w:rPr>
        <w:t>regolamenti</w:t>
      </w:r>
      <w:r>
        <w:rPr>
          <w:color w:val="231F20"/>
          <w:spacing w:val="-14"/>
        </w:rPr>
        <w:t> </w:t>
      </w:r>
      <w:r>
        <w:rPr>
          <w:color w:val="231F20"/>
        </w:rPr>
        <w:t>in</w:t>
      </w:r>
      <w:r>
        <w:rPr>
          <w:color w:val="231F20"/>
          <w:spacing w:val="-14"/>
        </w:rPr>
        <w:t> </w:t>
      </w:r>
      <w:r>
        <w:rPr>
          <w:color w:val="231F20"/>
        </w:rPr>
        <w:t>materia</w:t>
      </w:r>
      <w:r>
        <w:rPr>
          <w:color w:val="231F20"/>
          <w:spacing w:val="-14"/>
        </w:rPr>
        <w:t> </w:t>
      </w:r>
      <w:r>
        <w:rPr>
          <w:color w:val="231F20"/>
        </w:rPr>
        <w:t>di</w:t>
      </w:r>
      <w:r>
        <w:rPr>
          <w:color w:val="231F20"/>
          <w:spacing w:val="-14"/>
        </w:rPr>
        <w:t> </w:t>
      </w:r>
      <w:r>
        <w:rPr>
          <w:color w:val="231F20"/>
        </w:rPr>
        <w:t>cooperazione</w:t>
      </w:r>
      <w:r>
        <w:rPr>
          <w:color w:val="231F20"/>
          <w:spacing w:val="-14"/>
        </w:rPr>
        <w:t> </w:t>
      </w:r>
      <w:r>
        <w:rPr>
          <w:color w:val="231F20"/>
        </w:rPr>
        <w:t>fra</w:t>
      </w:r>
      <w:r>
        <w:rPr>
          <w:color w:val="231F20"/>
          <w:spacing w:val="-14"/>
        </w:rPr>
        <w:t> </w:t>
      </w:r>
      <w:r>
        <w:rPr>
          <w:color w:val="231F20"/>
        </w:rPr>
        <w:t>le</w:t>
      </w:r>
      <w:r>
        <w:rPr>
          <w:color w:val="231F20"/>
          <w:spacing w:val="-14"/>
        </w:rPr>
        <w:t> </w:t>
      </w:r>
      <w:r>
        <w:rPr>
          <w:color w:val="231F20"/>
        </w:rPr>
        <w:t>ammin- istrazioni fiscali non possono, secondo la Corte, porre rimedio.</w:t>
      </w:r>
    </w:p>
    <w:p>
      <w:pPr>
        <w:pStyle w:val="BodyText"/>
      </w:pPr>
    </w:p>
    <w:p>
      <w:pPr>
        <w:pStyle w:val="BodyText"/>
        <w:spacing w:before="145"/>
      </w:pPr>
    </w:p>
    <w:p>
      <w:pPr>
        <w:spacing w:line="228" w:lineRule="auto" w:before="0"/>
        <w:ind w:left="100" w:right="175" w:firstLine="340"/>
        <w:jc w:val="both"/>
        <w:rPr>
          <w:i/>
          <w:sz w:val="24"/>
        </w:rPr>
      </w:pPr>
      <w:r>
        <w:rPr>
          <w:color w:val="231F20"/>
          <w:sz w:val="24"/>
        </w:rPr>
        <w:t>Sommario: </w:t>
      </w:r>
      <w:r>
        <w:rPr>
          <w:i/>
          <w:color w:val="231F20"/>
          <w:sz w:val="24"/>
        </w:rPr>
        <w:t>1. Introduzione – 2. Le sentenze aventi ad oggetto</w:t>
      </w:r>
      <w:r>
        <w:rPr>
          <w:i/>
          <w:color w:val="231F20"/>
          <w:sz w:val="24"/>
        </w:rPr>
        <w:t> l’interpretazione o la validità della direttiva 2011/16/UE «relativa alla cooperazione amministrativa nel settore fiscale» - 2.1. La sentenza del 16 maggio 2017, C-682/15, Berlioz Investment Fund - 2.1.1. Applicabilità della</w:t>
      </w:r>
      <w:r>
        <w:rPr>
          <w:i/>
          <w:color w:val="231F20"/>
          <w:spacing w:val="-9"/>
          <w:sz w:val="24"/>
        </w:rPr>
        <w:t> </w:t>
      </w:r>
      <w:r>
        <w:rPr>
          <w:i/>
          <w:color w:val="231F20"/>
          <w:sz w:val="24"/>
        </w:rPr>
        <w:t>Carta</w:t>
      </w:r>
      <w:r>
        <w:rPr>
          <w:i/>
          <w:color w:val="231F20"/>
          <w:spacing w:val="-9"/>
          <w:sz w:val="24"/>
        </w:rPr>
        <w:t> </w:t>
      </w:r>
      <w:r>
        <w:rPr>
          <w:i/>
          <w:color w:val="231F20"/>
          <w:sz w:val="24"/>
        </w:rPr>
        <w:t>dei</w:t>
      </w:r>
      <w:r>
        <w:rPr>
          <w:i/>
          <w:color w:val="231F20"/>
          <w:spacing w:val="-9"/>
          <w:sz w:val="24"/>
        </w:rPr>
        <w:t> </w:t>
      </w:r>
      <w:r>
        <w:rPr>
          <w:i/>
          <w:color w:val="231F20"/>
          <w:sz w:val="24"/>
        </w:rPr>
        <w:t>diritti</w:t>
      </w:r>
      <w:r>
        <w:rPr>
          <w:i/>
          <w:color w:val="231F20"/>
          <w:spacing w:val="-9"/>
          <w:sz w:val="24"/>
        </w:rPr>
        <w:t> </w:t>
      </w:r>
      <w:r>
        <w:rPr>
          <w:i/>
          <w:color w:val="231F20"/>
          <w:sz w:val="24"/>
        </w:rPr>
        <w:t>fondamentali</w:t>
      </w:r>
      <w:r>
        <w:rPr>
          <w:i/>
          <w:color w:val="231F20"/>
          <w:spacing w:val="-9"/>
          <w:sz w:val="24"/>
        </w:rPr>
        <w:t> </w:t>
      </w:r>
      <w:r>
        <w:rPr>
          <w:i/>
          <w:color w:val="231F20"/>
          <w:sz w:val="24"/>
        </w:rPr>
        <w:t>alla</w:t>
      </w:r>
      <w:r>
        <w:rPr>
          <w:i/>
          <w:color w:val="231F20"/>
          <w:spacing w:val="-9"/>
          <w:sz w:val="24"/>
        </w:rPr>
        <w:t> </w:t>
      </w:r>
      <w:r>
        <w:rPr>
          <w:i/>
          <w:color w:val="231F20"/>
          <w:sz w:val="24"/>
        </w:rPr>
        <w:t>legislazione</w:t>
      </w:r>
      <w:r>
        <w:rPr>
          <w:i/>
          <w:color w:val="231F20"/>
          <w:spacing w:val="-9"/>
          <w:sz w:val="24"/>
        </w:rPr>
        <w:t> </w:t>
      </w:r>
      <w:r>
        <w:rPr>
          <w:i/>
          <w:color w:val="231F20"/>
          <w:sz w:val="24"/>
        </w:rPr>
        <w:t>che</w:t>
      </w:r>
      <w:r>
        <w:rPr>
          <w:i/>
          <w:color w:val="231F20"/>
          <w:spacing w:val="-9"/>
          <w:sz w:val="24"/>
        </w:rPr>
        <w:t> </w:t>
      </w:r>
      <w:r>
        <w:rPr>
          <w:i/>
          <w:color w:val="231F20"/>
          <w:sz w:val="24"/>
        </w:rPr>
        <w:t>in</w:t>
      </w:r>
      <w:r>
        <w:rPr>
          <w:i/>
          <w:color w:val="231F20"/>
          <w:spacing w:val="-9"/>
          <w:sz w:val="24"/>
        </w:rPr>
        <w:t> </w:t>
      </w:r>
      <w:r>
        <w:rPr>
          <w:i/>
          <w:color w:val="231F20"/>
          <w:sz w:val="24"/>
        </w:rPr>
        <w:t>ogni</w:t>
      </w:r>
      <w:r>
        <w:rPr>
          <w:i/>
          <w:color w:val="231F20"/>
          <w:spacing w:val="-9"/>
          <w:sz w:val="24"/>
        </w:rPr>
        <w:t> </w:t>
      </w:r>
      <w:r>
        <w:rPr>
          <w:i/>
          <w:color w:val="231F20"/>
          <w:sz w:val="24"/>
        </w:rPr>
        <w:t>Stato</w:t>
      </w:r>
      <w:r>
        <w:rPr>
          <w:i/>
          <w:color w:val="231F20"/>
          <w:spacing w:val="-9"/>
          <w:sz w:val="24"/>
        </w:rPr>
        <w:t> </w:t>
      </w:r>
      <w:r>
        <w:rPr>
          <w:i/>
          <w:color w:val="231F20"/>
          <w:sz w:val="24"/>
        </w:rPr>
        <w:t>membro </w:t>
      </w:r>
      <w:r>
        <w:rPr>
          <w:i/>
          <w:color w:val="231F20"/>
          <w:spacing w:val="-2"/>
          <w:sz w:val="24"/>
        </w:rPr>
        <w:t>disciplina</w:t>
      </w:r>
      <w:r>
        <w:rPr>
          <w:i/>
          <w:color w:val="231F20"/>
          <w:spacing w:val="-15"/>
          <w:sz w:val="24"/>
        </w:rPr>
        <w:t> </w:t>
      </w:r>
      <w:r>
        <w:rPr>
          <w:i/>
          <w:color w:val="231F20"/>
          <w:spacing w:val="-2"/>
          <w:sz w:val="24"/>
        </w:rPr>
        <w:t>la</w:t>
      </w:r>
      <w:r>
        <w:rPr>
          <w:i/>
          <w:color w:val="231F20"/>
          <w:spacing w:val="-13"/>
          <w:sz w:val="24"/>
        </w:rPr>
        <w:t> </w:t>
      </w:r>
      <w:r>
        <w:rPr>
          <w:i/>
          <w:color w:val="231F20"/>
          <w:spacing w:val="-2"/>
          <w:sz w:val="24"/>
        </w:rPr>
        <w:t>procedura</w:t>
      </w:r>
      <w:r>
        <w:rPr>
          <w:i/>
          <w:color w:val="231F20"/>
          <w:spacing w:val="-13"/>
          <w:sz w:val="24"/>
        </w:rPr>
        <w:t> </w:t>
      </w:r>
      <w:r>
        <w:rPr>
          <w:i/>
          <w:color w:val="231F20"/>
          <w:spacing w:val="-2"/>
          <w:sz w:val="24"/>
        </w:rPr>
        <w:t>di</w:t>
      </w:r>
      <w:r>
        <w:rPr>
          <w:i/>
          <w:color w:val="231F20"/>
          <w:spacing w:val="-13"/>
          <w:sz w:val="24"/>
        </w:rPr>
        <w:t> </w:t>
      </w:r>
      <w:r>
        <w:rPr>
          <w:i/>
          <w:color w:val="231F20"/>
          <w:spacing w:val="-2"/>
          <w:sz w:val="24"/>
        </w:rPr>
        <w:t>scambio</w:t>
      </w:r>
      <w:r>
        <w:rPr>
          <w:i/>
          <w:color w:val="231F20"/>
          <w:spacing w:val="-13"/>
          <w:sz w:val="24"/>
        </w:rPr>
        <w:t> </w:t>
      </w:r>
      <w:r>
        <w:rPr>
          <w:i/>
          <w:color w:val="231F20"/>
          <w:spacing w:val="-2"/>
          <w:sz w:val="24"/>
        </w:rPr>
        <w:t>di</w:t>
      </w:r>
      <w:r>
        <w:rPr>
          <w:i/>
          <w:color w:val="231F20"/>
          <w:spacing w:val="-13"/>
          <w:sz w:val="24"/>
        </w:rPr>
        <w:t> </w:t>
      </w:r>
      <w:r>
        <w:rPr>
          <w:i/>
          <w:color w:val="231F20"/>
          <w:spacing w:val="-2"/>
          <w:sz w:val="24"/>
        </w:rPr>
        <w:t>informazioni</w:t>
      </w:r>
      <w:r>
        <w:rPr>
          <w:i/>
          <w:color w:val="231F20"/>
          <w:spacing w:val="-13"/>
          <w:sz w:val="24"/>
        </w:rPr>
        <w:t> </w:t>
      </w:r>
      <w:r>
        <w:rPr>
          <w:i/>
          <w:color w:val="231F20"/>
          <w:spacing w:val="-2"/>
          <w:sz w:val="24"/>
        </w:rPr>
        <w:t>-</w:t>
      </w:r>
      <w:r>
        <w:rPr>
          <w:i/>
          <w:color w:val="231F20"/>
          <w:spacing w:val="-13"/>
          <w:sz w:val="24"/>
        </w:rPr>
        <w:t> </w:t>
      </w:r>
      <w:r>
        <w:rPr>
          <w:i/>
          <w:color w:val="231F20"/>
          <w:spacing w:val="-2"/>
          <w:sz w:val="24"/>
        </w:rPr>
        <w:t>2.1.2.</w:t>
      </w:r>
      <w:r>
        <w:rPr>
          <w:i/>
          <w:color w:val="231F20"/>
          <w:spacing w:val="-13"/>
          <w:sz w:val="24"/>
        </w:rPr>
        <w:t> </w:t>
      </w:r>
      <w:r>
        <w:rPr>
          <w:i/>
          <w:color w:val="231F20"/>
          <w:spacing w:val="-2"/>
          <w:sz w:val="24"/>
        </w:rPr>
        <w:t>L’art.</w:t>
      </w:r>
      <w:r>
        <w:rPr>
          <w:i/>
          <w:color w:val="231F20"/>
          <w:spacing w:val="-13"/>
          <w:sz w:val="24"/>
        </w:rPr>
        <w:t> </w:t>
      </w:r>
      <w:r>
        <w:rPr>
          <w:i/>
          <w:color w:val="231F20"/>
          <w:spacing w:val="-2"/>
          <w:sz w:val="24"/>
        </w:rPr>
        <w:t>47</w:t>
      </w:r>
      <w:r>
        <w:rPr>
          <w:i/>
          <w:color w:val="231F20"/>
          <w:spacing w:val="-13"/>
          <w:sz w:val="24"/>
        </w:rPr>
        <w:t> </w:t>
      </w:r>
      <w:r>
        <w:rPr>
          <w:i/>
          <w:color w:val="231F20"/>
          <w:spacing w:val="-2"/>
          <w:sz w:val="24"/>
        </w:rPr>
        <w:t>della</w:t>
      </w:r>
      <w:r>
        <w:rPr>
          <w:i/>
          <w:color w:val="231F20"/>
          <w:spacing w:val="-13"/>
          <w:sz w:val="24"/>
        </w:rPr>
        <w:t> </w:t>
      </w:r>
      <w:r>
        <w:rPr>
          <w:i/>
          <w:color w:val="231F20"/>
          <w:spacing w:val="-2"/>
          <w:sz w:val="24"/>
        </w:rPr>
        <w:t>Carta </w:t>
      </w:r>
      <w:r>
        <w:rPr>
          <w:i/>
          <w:color w:val="231F20"/>
          <w:sz w:val="24"/>
        </w:rPr>
        <w:t>conferisce al soggetto detentore delle informazioni, il diritto di impugnare la decisione</w:t>
      </w:r>
      <w:r>
        <w:rPr>
          <w:i/>
          <w:color w:val="231F20"/>
          <w:spacing w:val="-1"/>
          <w:sz w:val="24"/>
        </w:rPr>
        <w:t> </w:t>
      </w:r>
      <w:r>
        <w:rPr>
          <w:i/>
          <w:color w:val="231F20"/>
          <w:sz w:val="24"/>
        </w:rPr>
        <w:t>di</w:t>
      </w:r>
      <w:r>
        <w:rPr>
          <w:i/>
          <w:color w:val="231F20"/>
          <w:spacing w:val="-1"/>
          <w:sz w:val="24"/>
        </w:rPr>
        <w:t> </w:t>
      </w:r>
      <w:r>
        <w:rPr>
          <w:i/>
          <w:color w:val="231F20"/>
          <w:sz w:val="24"/>
        </w:rPr>
        <w:t>ingiunzione</w:t>
      </w:r>
      <w:r>
        <w:rPr>
          <w:i/>
          <w:color w:val="231F20"/>
          <w:spacing w:val="-1"/>
          <w:sz w:val="24"/>
        </w:rPr>
        <w:t> </w:t>
      </w:r>
      <w:r>
        <w:rPr>
          <w:i/>
          <w:color w:val="231F20"/>
          <w:sz w:val="24"/>
        </w:rPr>
        <w:t>dell’autorità</w:t>
      </w:r>
      <w:r>
        <w:rPr>
          <w:i/>
          <w:color w:val="231F20"/>
          <w:spacing w:val="-1"/>
          <w:sz w:val="24"/>
        </w:rPr>
        <w:t> </w:t>
      </w:r>
      <w:r>
        <w:rPr>
          <w:i/>
          <w:color w:val="231F20"/>
          <w:sz w:val="24"/>
        </w:rPr>
        <w:t>interpellata</w:t>
      </w:r>
      <w:r>
        <w:rPr>
          <w:i/>
          <w:color w:val="231F20"/>
          <w:spacing w:val="-1"/>
          <w:sz w:val="24"/>
        </w:rPr>
        <w:t> </w:t>
      </w:r>
      <w:r>
        <w:rPr>
          <w:i/>
          <w:color w:val="231F20"/>
          <w:sz w:val="24"/>
        </w:rPr>
        <w:t>-</w:t>
      </w:r>
      <w:r>
        <w:rPr>
          <w:i/>
          <w:color w:val="231F20"/>
          <w:spacing w:val="-1"/>
          <w:sz w:val="24"/>
        </w:rPr>
        <w:t> </w:t>
      </w:r>
      <w:r>
        <w:rPr>
          <w:i/>
          <w:color w:val="231F20"/>
          <w:sz w:val="24"/>
        </w:rPr>
        <w:t>2.1.3</w:t>
      </w:r>
      <w:r>
        <w:rPr>
          <w:i/>
          <w:color w:val="231F20"/>
          <w:spacing w:val="-1"/>
          <w:sz w:val="24"/>
        </w:rPr>
        <w:t> </w:t>
      </w:r>
      <w:r>
        <w:rPr>
          <w:i/>
          <w:color w:val="231F20"/>
          <w:sz w:val="24"/>
        </w:rPr>
        <w:t>La</w:t>
      </w:r>
      <w:r>
        <w:rPr>
          <w:i/>
          <w:color w:val="231F20"/>
          <w:spacing w:val="-1"/>
          <w:sz w:val="24"/>
        </w:rPr>
        <w:t> </w:t>
      </w:r>
      <w:r>
        <w:rPr>
          <w:i/>
          <w:color w:val="231F20"/>
          <w:sz w:val="24"/>
        </w:rPr>
        <w:t>definizione</w:t>
      </w:r>
      <w:r>
        <w:rPr>
          <w:i/>
          <w:color w:val="231F20"/>
          <w:spacing w:val="-1"/>
          <w:sz w:val="24"/>
        </w:rPr>
        <w:t> </w:t>
      </w:r>
      <w:r>
        <w:rPr>
          <w:i/>
          <w:color w:val="231F20"/>
          <w:sz w:val="24"/>
        </w:rPr>
        <w:t>della</w:t>
      </w:r>
    </w:p>
    <w:p>
      <w:pPr>
        <w:spacing w:line="230" w:lineRule="auto" w:before="9"/>
        <w:ind w:left="100" w:right="176" w:firstLine="0"/>
        <w:jc w:val="both"/>
        <w:rPr>
          <w:i/>
          <w:sz w:val="24"/>
        </w:rPr>
      </w:pPr>
      <w:r>
        <w:rPr>
          <w:i/>
          <w:color w:val="231F20"/>
          <w:sz w:val="24"/>
        </w:rPr>
        <w:t>«prevedibile pertinenza» delle informazioni richieste dall’autorità interpellata</w:t>
      </w:r>
      <w:r>
        <w:rPr>
          <w:i/>
          <w:color w:val="231F20"/>
          <w:sz w:val="24"/>
        </w:rPr>
        <w:t> al</w:t>
      </w:r>
      <w:r>
        <w:rPr>
          <w:i/>
          <w:color w:val="231F20"/>
          <w:spacing w:val="-5"/>
          <w:sz w:val="24"/>
        </w:rPr>
        <w:t> </w:t>
      </w:r>
      <w:r>
        <w:rPr>
          <w:i/>
          <w:color w:val="231F20"/>
          <w:sz w:val="24"/>
        </w:rPr>
        <w:t>soggetto</w:t>
      </w:r>
      <w:r>
        <w:rPr>
          <w:i/>
          <w:color w:val="231F20"/>
          <w:spacing w:val="-5"/>
          <w:sz w:val="24"/>
        </w:rPr>
        <w:t> </w:t>
      </w:r>
      <w:r>
        <w:rPr>
          <w:i/>
          <w:color w:val="231F20"/>
          <w:sz w:val="24"/>
        </w:rPr>
        <w:t>detentore</w:t>
      </w:r>
      <w:r>
        <w:rPr>
          <w:i/>
          <w:color w:val="231F20"/>
          <w:spacing w:val="-5"/>
          <w:sz w:val="24"/>
        </w:rPr>
        <w:t> </w:t>
      </w:r>
      <w:r>
        <w:rPr>
          <w:i/>
          <w:color w:val="231F20"/>
          <w:sz w:val="24"/>
        </w:rPr>
        <w:t>dell’informazioni</w:t>
      </w:r>
      <w:r>
        <w:rPr>
          <w:i/>
          <w:color w:val="231F20"/>
          <w:spacing w:val="-5"/>
          <w:sz w:val="24"/>
        </w:rPr>
        <w:t> </w:t>
      </w:r>
      <w:r>
        <w:rPr>
          <w:i/>
          <w:color w:val="231F20"/>
          <w:sz w:val="24"/>
        </w:rPr>
        <w:t>-</w:t>
      </w:r>
      <w:r>
        <w:rPr>
          <w:i/>
          <w:color w:val="231F20"/>
          <w:spacing w:val="-5"/>
          <w:sz w:val="24"/>
        </w:rPr>
        <w:t> </w:t>
      </w:r>
      <w:r>
        <w:rPr>
          <w:i/>
          <w:color w:val="231F20"/>
          <w:sz w:val="24"/>
        </w:rPr>
        <w:t>2.1.4.</w:t>
      </w:r>
      <w:r>
        <w:rPr>
          <w:i/>
          <w:color w:val="231F20"/>
          <w:spacing w:val="-5"/>
          <w:sz w:val="24"/>
        </w:rPr>
        <w:t> </w:t>
      </w:r>
      <w:r>
        <w:rPr>
          <w:i/>
          <w:color w:val="231F20"/>
          <w:sz w:val="24"/>
        </w:rPr>
        <w:t>Estensione</w:t>
      </w:r>
      <w:r>
        <w:rPr>
          <w:i/>
          <w:color w:val="231F20"/>
          <w:spacing w:val="-5"/>
          <w:sz w:val="24"/>
        </w:rPr>
        <w:t> </w:t>
      </w:r>
      <w:r>
        <w:rPr>
          <w:i/>
          <w:color w:val="231F20"/>
          <w:sz w:val="24"/>
        </w:rPr>
        <w:t>dei</w:t>
      </w:r>
      <w:r>
        <w:rPr>
          <w:i/>
          <w:color w:val="231F20"/>
          <w:spacing w:val="-5"/>
          <w:sz w:val="24"/>
        </w:rPr>
        <w:t> </w:t>
      </w:r>
      <w:r>
        <w:rPr>
          <w:i/>
          <w:color w:val="231F20"/>
          <w:sz w:val="24"/>
        </w:rPr>
        <w:t>poteri</w:t>
      </w:r>
      <w:r>
        <w:rPr>
          <w:i/>
          <w:color w:val="231F20"/>
          <w:spacing w:val="-5"/>
          <w:sz w:val="24"/>
        </w:rPr>
        <w:t> </w:t>
      </w:r>
      <w:r>
        <w:rPr>
          <w:i/>
          <w:color w:val="231F20"/>
          <w:sz w:val="24"/>
        </w:rPr>
        <w:t>di</w:t>
      </w:r>
      <w:r>
        <w:rPr>
          <w:i/>
          <w:color w:val="231F20"/>
          <w:spacing w:val="-5"/>
          <w:sz w:val="24"/>
        </w:rPr>
        <w:t> </w:t>
      </w:r>
      <w:r>
        <w:rPr>
          <w:i/>
          <w:color w:val="231F20"/>
          <w:sz w:val="24"/>
        </w:rPr>
        <w:t>verifica</w:t>
      </w:r>
    </w:p>
    <w:p>
      <w:pPr>
        <w:spacing w:after="0" w:line="230" w:lineRule="auto"/>
        <w:jc w:val="both"/>
        <w:rPr>
          <w:sz w:val="24"/>
        </w:rPr>
        <w:sectPr>
          <w:pgSz w:w="9640" w:h="13610"/>
          <w:pgMar w:header="0" w:footer="625" w:top="1260" w:bottom="820" w:left="1260" w:right="1240"/>
        </w:sectPr>
      </w:pPr>
    </w:p>
    <w:p>
      <w:pPr>
        <w:spacing w:line="230" w:lineRule="auto" w:before="113"/>
        <w:ind w:left="157" w:right="118" w:firstLine="0"/>
        <w:jc w:val="both"/>
        <w:rPr>
          <w:i/>
          <w:sz w:val="24"/>
        </w:rPr>
      </w:pPr>
      <w:r>
        <w:rPr/>
        <mc:AlternateContent>
          <mc:Choice Requires="wps">
            <w:drawing>
              <wp:anchor distT="0" distB="0" distL="0" distR="0" allowOverlap="1" layoutInCell="1" locked="0" behindDoc="0" simplePos="0" relativeHeight="15749632">
                <wp:simplePos x="0" y="0"/>
                <wp:positionH relativeFrom="page">
                  <wp:posOffset>5608609</wp:posOffset>
                </wp:positionH>
                <wp:positionV relativeFrom="page">
                  <wp:posOffset>2376001</wp:posOffset>
                </wp:positionV>
                <wp:extent cx="511809" cy="2412365"/>
                <wp:effectExtent l="0" t="0" r="0" b="0"/>
                <wp:wrapNone/>
                <wp:docPr id="76" name="Group 76"/>
                <wp:cNvGraphicFramePr>
                  <a:graphicFrameLocks/>
                </wp:cNvGraphicFramePr>
                <a:graphic>
                  <a:graphicData uri="http://schemas.microsoft.com/office/word/2010/wordprocessingGroup">
                    <wpg:wgp>
                      <wpg:cNvPr id="76" name="Group 76"/>
                      <wpg:cNvGrpSpPr/>
                      <wpg:grpSpPr>
                        <a:xfrm>
                          <a:off x="0" y="0"/>
                          <a:ext cx="511809" cy="2412365"/>
                          <a:chExt cx="511809" cy="2412365"/>
                        </a:xfrm>
                      </wpg:grpSpPr>
                      <wps:wsp>
                        <wps:cNvPr id="77" name="Graphic 77"/>
                        <wps:cNvSpPr/>
                        <wps:spPr>
                          <a:xfrm>
                            <a:off x="7393" y="3"/>
                            <a:ext cx="504190" cy="360045"/>
                          </a:xfrm>
                          <a:custGeom>
                            <a:avLst/>
                            <a:gdLst/>
                            <a:ahLst/>
                            <a:cxnLst/>
                            <a:rect l="l" t="t" r="r" b="b"/>
                            <a:pathLst>
                              <a:path w="504190" h="360045">
                                <a:moveTo>
                                  <a:pt x="503999" y="0"/>
                                </a:moveTo>
                                <a:lnTo>
                                  <a:pt x="0" y="0"/>
                                </a:lnTo>
                                <a:lnTo>
                                  <a:pt x="0" y="359994"/>
                                </a:lnTo>
                                <a:lnTo>
                                  <a:pt x="503999" y="359994"/>
                                </a:lnTo>
                                <a:lnTo>
                                  <a:pt x="503999" y="0"/>
                                </a:lnTo>
                                <a:close/>
                              </a:path>
                            </a:pathLst>
                          </a:custGeom>
                          <a:solidFill>
                            <a:srgbClr val="939598"/>
                          </a:solidFill>
                        </wps:spPr>
                        <wps:bodyPr wrap="square" lIns="0" tIns="0" rIns="0" bIns="0" rtlCol="0">
                          <a:prstTxWarp prst="textNoShape">
                            <a:avLst/>
                          </a:prstTxWarp>
                          <a:noAutofit/>
                        </wps:bodyPr>
                      </wps:wsp>
                      <wps:wsp>
                        <wps:cNvPr id="78" name="Graphic 78"/>
                        <wps:cNvSpPr/>
                        <wps:spPr>
                          <a:xfrm>
                            <a:off x="6350" y="0"/>
                            <a:ext cx="1270" cy="2412365"/>
                          </a:xfrm>
                          <a:custGeom>
                            <a:avLst/>
                            <a:gdLst/>
                            <a:ahLst/>
                            <a:cxnLst/>
                            <a:rect l="l" t="t" r="r" b="b"/>
                            <a:pathLst>
                              <a:path w="0" h="2412365">
                                <a:moveTo>
                                  <a:pt x="0" y="0"/>
                                </a:moveTo>
                                <a:lnTo>
                                  <a:pt x="0" y="2411996"/>
                                </a:lnTo>
                              </a:path>
                            </a:pathLst>
                          </a:custGeom>
                          <a:ln w="12700">
                            <a:solidFill>
                              <a:srgbClr val="939598"/>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441.622803pt;margin-top:187.0867pt;width:40.3pt;height:189.95pt;mso-position-horizontal-relative:page;mso-position-vertical-relative:page;z-index:15749632" id="docshapegroup63" coordorigin="8832,3742" coordsize="806,3799">
                <v:rect style="position:absolute;left:8844;top:3741;width:794;height:567" id="docshape64" filled="true" fillcolor="#939598" stroked="false">
                  <v:fill type="solid"/>
                </v:rect>
                <v:line style="position:absolute" from="8842,3742" to="8842,7540" stroked="true" strokeweight="1pt" strokecolor="#939598">
                  <v:stroke dashstyle="solid"/>
                </v:line>
                <w10:wrap type="none"/>
              </v:group>
            </w:pict>
          </mc:Fallback>
        </mc:AlternateContent>
      </w:r>
      <w:r>
        <w:rPr/>
        <mc:AlternateContent>
          <mc:Choice Requires="wps">
            <w:drawing>
              <wp:anchor distT="0" distB="0" distL="0" distR="0" allowOverlap="1" layoutInCell="1" locked="0" behindDoc="0" simplePos="0" relativeHeight="15750144">
                <wp:simplePos x="0" y="0"/>
                <wp:positionH relativeFrom="page">
                  <wp:posOffset>5635147</wp:posOffset>
                </wp:positionH>
                <wp:positionV relativeFrom="page">
                  <wp:posOffset>2795300</wp:posOffset>
                </wp:positionV>
                <wp:extent cx="299720" cy="1995805"/>
                <wp:effectExtent l="0" t="0" r="0" b="0"/>
                <wp:wrapNone/>
                <wp:docPr id="79" name="Textbox 79"/>
                <wp:cNvGraphicFramePr>
                  <a:graphicFrameLocks/>
                </wp:cNvGraphicFramePr>
                <a:graphic>
                  <a:graphicData uri="http://schemas.microsoft.com/office/word/2010/wordprocessingShape">
                    <wps:wsp>
                      <wps:cNvPr id="79" name="Textbox 79"/>
                      <wps:cNvSpPr txBox="1"/>
                      <wps:spPr>
                        <a:xfrm>
                          <a:off x="0" y="0"/>
                          <a:ext cx="299720" cy="1995805"/>
                        </a:xfrm>
                        <a:prstGeom prst="rect">
                          <a:avLst/>
                        </a:prstGeom>
                      </wps:spPr>
                      <wps:txbx>
                        <w:txbxContent>
                          <w:p>
                            <w:pPr>
                              <w:spacing w:before="20"/>
                              <w:ind w:left="20" w:right="0" w:firstLine="0"/>
                              <w:jc w:val="left"/>
                              <w:rPr>
                                <w:rFonts w:ascii="Minion Pro"/>
                                <w:sz w:val="32"/>
                              </w:rPr>
                            </w:pPr>
                            <w:r>
                              <w:rPr>
                                <w:rFonts w:ascii="Minion Pro"/>
                                <w:color w:val="231F20"/>
                                <w:sz w:val="32"/>
                              </w:rPr>
                              <w:t>Commented</w:t>
                            </w:r>
                            <w:r>
                              <w:rPr>
                                <w:rFonts w:ascii="Minion Pro"/>
                                <w:color w:val="231F20"/>
                                <w:spacing w:val="-10"/>
                                <w:sz w:val="32"/>
                              </w:rPr>
                              <w:t> </w:t>
                            </w:r>
                            <w:r>
                              <w:rPr>
                                <w:rFonts w:ascii="Minion Pro"/>
                                <w:color w:val="231F20"/>
                                <w:spacing w:val="-2"/>
                                <w:sz w:val="32"/>
                              </w:rPr>
                              <w:t>documents</w:t>
                            </w:r>
                          </w:p>
                        </w:txbxContent>
                      </wps:txbx>
                      <wps:bodyPr wrap="square" lIns="0" tIns="0" rIns="0" bIns="0" rtlCol="0" vert="vert">
                        <a:noAutofit/>
                      </wps:bodyPr>
                    </wps:wsp>
                  </a:graphicData>
                </a:graphic>
              </wp:anchor>
            </w:drawing>
          </mc:Choice>
          <mc:Fallback>
            <w:pict>
              <v:shape style="position:absolute;margin-left:443.712402pt;margin-top:220.102402pt;width:23.6pt;height:157.15pt;mso-position-horizontal-relative:page;mso-position-vertical-relative:page;z-index:15750144" type="#_x0000_t202" id="docshape65" filled="false" stroked="false">
                <v:textbox inset="0,0,0,0" style="layout-flow:vertical">
                  <w:txbxContent>
                    <w:p>
                      <w:pPr>
                        <w:spacing w:before="20"/>
                        <w:ind w:left="20" w:right="0" w:firstLine="0"/>
                        <w:jc w:val="left"/>
                        <w:rPr>
                          <w:rFonts w:ascii="Minion Pro"/>
                          <w:sz w:val="32"/>
                        </w:rPr>
                      </w:pPr>
                      <w:r>
                        <w:rPr>
                          <w:rFonts w:ascii="Minion Pro"/>
                          <w:color w:val="231F20"/>
                          <w:sz w:val="32"/>
                        </w:rPr>
                        <w:t>Commented</w:t>
                      </w:r>
                      <w:r>
                        <w:rPr>
                          <w:rFonts w:ascii="Minion Pro"/>
                          <w:color w:val="231F20"/>
                          <w:spacing w:val="-10"/>
                          <w:sz w:val="32"/>
                        </w:rPr>
                        <w:t> </w:t>
                      </w:r>
                      <w:r>
                        <w:rPr>
                          <w:rFonts w:ascii="Minion Pro"/>
                          <w:color w:val="231F20"/>
                          <w:spacing w:val="-2"/>
                          <w:sz w:val="32"/>
                        </w:rPr>
                        <w:t>documents</w:t>
                      </w:r>
                    </w:p>
                  </w:txbxContent>
                </v:textbox>
                <w10:wrap type="none"/>
              </v:shape>
            </w:pict>
          </mc:Fallback>
        </mc:AlternateContent>
      </w:r>
      <w:r>
        <w:rPr>
          <w:i/>
          <w:color w:val="231F20"/>
          <w:sz w:val="24"/>
        </w:rPr>
        <w:t>dell’autorità interpellata e del giudice competente in ordine alla «prevedibile</w:t>
      </w:r>
      <w:r>
        <w:rPr>
          <w:i/>
          <w:color w:val="231F20"/>
          <w:sz w:val="24"/>
        </w:rPr>
        <w:t> pertinenza» delle informazioni richieste – 2.1.5. Diritto di accesso, da parte del</w:t>
      </w:r>
      <w:r>
        <w:rPr>
          <w:i/>
          <w:color w:val="231F20"/>
          <w:spacing w:val="-10"/>
          <w:sz w:val="24"/>
        </w:rPr>
        <w:t> </w:t>
      </w:r>
      <w:r>
        <w:rPr>
          <w:i/>
          <w:color w:val="231F20"/>
          <w:sz w:val="24"/>
        </w:rPr>
        <w:t>giudice</w:t>
      </w:r>
      <w:r>
        <w:rPr>
          <w:i/>
          <w:color w:val="231F20"/>
          <w:spacing w:val="-10"/>
          <w:sz w:val="24"/>
        </w:rPr>
        <w:t> </w:t>
      </w:r>
      <w:r>
        <w:rPr>
          <w:i/>
          <w:color w:val="231F20"/>
          <w:sz w:val="24"/>
        </w:rPr>
        <w:t>competente</w:t>
      </w:r>
      <w:r>
        <w:rPr>
          <w:i/>
          <w:color w:val="231F20"/>
          <w:spacing w:val="-10"/>
          <w:sz w:val="24"/>
        </w:rPr>
        <w:t> </w:t>
      </w:r>
      <w:r>
        <w:rPr>
          <w:i/>
          <w:color w:val="231F20"/>
          <w:sz w:val="24"/>
        </w:rPr>
        <w:t>e</w:t>
      </w:r>
      <w:r>
        <w:rPr>
          <w:i/>
          <w:color w:val="231F20"/>
          <w:spacing w:val="-10"/>
          <w:sz w:val="24"/>
        </w:rPr>
        <w:t> </w:t>
      </w:r>
      <w:r>
        <w:rPr>
          <w:i/>
          <w:color w:val="231F20"/>
          <w:sz w:val="24"/>
        </w:rPr>
        <w:t>del</w:t>
      </w:r>
      <w:r>
        <w:rPr>
          <w:i/>
          <w:color w:val="231F20"/>
          <w:spacing w:val="-10"/>
          <w:sz w:val="24"/>
        </w:rPr>
        <w:t> </w:t>
      </w:r>
      <w:r>
        <w:rPr>
          <w:i/>
          <w:color w:val="231F20"/>
          <w:sz w:val="24"/>
        </w:rPr>
        <w:t>soggetto</w:t>
      </w:r>
      <w:r>
        <w:rPr>
          <w:i/>
          <w:color w:val="231F20"/>
          <w:spacing w:val="-10"/>
          <w:sz w:val="24"/>
        </w:rPr>
        <w:t> </w:t>
      </w:r>
      <w:r>
        <w:rPr>
          <w:i/>
          <w:color w:val="231F20"/>
          <w:sz w:val="24"/>
        </w:rPr>
        <w:t>detentore</w:t>
      </w:r>
      <w:r>
        <w:rPr>
          <w:i/>
          <w:color w:val="231F20"/>
          <w:spacing w:val="-10"/>
          <w:sz w:val="24"/>
        </w:rPr>
        <w:t> </w:t>
      </w:r>
      <w:r>
        <w:rPr>
          <w:i/>
          <w:color w:val="231F20"/>
          <w:sz w:val="24"/>
        </w:rPr>
        <w:t>delle</w:t>
      </w:r>
      <w:r>
        <w:rPr>
          <w:i/>
          <w:color w:val="231F20"/>
          <w:spacing w:val="-10"/>
          <w:sz w:val="24"/>
        </w:rPr>
        <w:t> </w:t>
      </w:r>
      <w:r>
        <w:rPr>
          <w:i/>
          <w:color w:val="231F20"/>
          <w:sz w:val="24"/>
        </w:rPr>
        <w:t>informazioni,</w:t>
      </w:r>
      <w:r>
        <w:rPr>
          <w:i/>
          <w:color w:val="231F20"/>
          <w:spacing w:val="-10"/>
          <w:sz w:val="24"/>
        </w:rPr>
        <w:t> </w:t>
      </w:r>
      <w:r>
        <w:rPr>
          <w:i/>
          <w:color w:val="231F20"/>
          <w:sz w:val="24"/>
        </w:rPr>
        <w:t>alla</w:t>
      </w:r>
      <w:r>
        <w:rPr>
          <w:i/>
          <w:color w:val="231F20"/>
          <w:spacing w:val="-10"/>
          <w:sz w:val="24"/>
        </w:rPr>
        <w:t> </w:t>
      </w:r>
      <w:r>
        <w:rPr>
          <w:i/>
          <w:color w:val="231F20"/>
          <w:sz w:val="24"/>
        </w:rPr>
        <w:t>richiesta dell’autorità richiedente -</w:t>
      </w:r>
      <w:r>
        <w:rPr>
          <w:i/>
          <w:color w:val="231F20"/>
          <w:spacing w:val="80"/>
          <w:sz w:val="24"/>
        </w:rPr>
        <w:t> </w:t>
      </w:r>
      <w:r>
        <w:rPr>
          <w:i/>
          <w:color w:val="231F20"/>
          <w:sz w:val="24"/>
        </w:rPr>
        <w:t>2.2. La sentenza nelle cause riunite C-245/19 e</w:t>
      </w:r>
      <w:r>
        <w:rPr>
          <w:i/>
          <w:color w:val="231F20"/>
          <w:spacing w:val="40"/>
          <w:sz w:val="24"/>
        </w:rPr>
        <w:t> </w:t>
      </w:r>
      <w:r>
        <w:rPr>
          <w:i/>
          <w:color w:val="231F20"/>
          <w:sz w:val="24"/>
        </w:rPr>
        <w:t>C-246/19, État luxembourgeois contro B e contro B, C, D e F.C. -</w:t>
      </w:r>
      <w:r>
        <w:rPr>
          <w:i/>
          <w:color w:val="231F20"/>
          <w:spacing w:val="40"/>
          <w:sz w:val="24"/>
        </w:rPr>
        <w:t> </w:t>
      </w:r>
      <w:r>
        <w:rPr>
          <w:i/>
          <w:color w:val="231F20"/>
          <w:sz w:val="24"/>
        </w:rPr>
        <w:t>2.2.1. </w:t>
      </w:r>
      <w:r>
        <w:rPr>
          <w:i/>
          <w:color w:val="231F20"/>
          <w:spacing w:val="-2"/>
          <w:sz w:val="24"/>
        </w:rPr>
        <w:t>Diritto</w:t>
      </w:r>
      <w:r>
        <w:rPr>
          <w:i/>
          <w:color w:val="231F20"/>
          <w:spacing w:val="-6"/>
          <w:sz w:val="24"/>
        </w:rPr>
        <w:t> </w:t>
      </w:r>
      <w:r>
        <w:rPr>
          <w:i/>
          <w:color w:val="231F20"/>
          <w:spacing w:val="-2"/>
          <w:sz w:val="24"/>
        </w:rPr>
        <w:t>ad</w:t>
      </w:r>
      <w:r>
        <w:rPr>
          <w:i/>
          <w:color w:val="231F20"/>
          <w:spacing w:val="-6"/>
          <w:sz w:val="24"/>
        </w:rPr>
        <w:t> </w:t>
      </w:r>
      <w:r>
        <w:rPr>
          <w:i/>
          <w:color w:val="231F20"/>
          <w:spacing w:val="-2"/>
          <w:sz w:val="24"/>
        </w:rPr>
        <w:t>un</w:t>
      </w:r>
      <w:r>
        <w:rPr>
          <w:i/>
          <w:color w:val="231F20"/>
          <w:spacing w:val="-6"/>
          <w:sz w:val="24"/>
        </w:rPr>
        <w:t> </w:t>
      </w:r>
      <w:r>
        <w:rPr>
          <w:i/>
          <w:color w:val="231F20"/>
          <w:spacing w:val="-2"/>
          <w:sz w:val="24"/>
        </w:rPr>
        <w:t>ricorso</w:t>
      </w:r>
      <w:r>
        <w:rPr>
          <w:i/>
          <w:color w:val="231F20"/>
          <w:spacing w:val="-6"/>
          <w:sz w:val="24"/>
        </w:rPr>
        <w:t> </w:t>
      </w:r>
      <w:r>
        <w:rPr>
          <w:i/>
          <w:color w:val="231F20"/>
          <w:spacing w:val="-2"/>
          <w:sz w:val="24"/>
        </w:rPr>
        <w:t>effettivo</w:t>
      </w:r>
      <w:r>
        <w:rPr>
          <w:i/>
          <w:color w:val="231F20"/>
          <w:spacing w:val="-6"/>
          <w:sz w:val="24"/>
        </w:rPr>
        <w:t> </w:t>
      </w:r>
      <w:r>
        <w:rPr>
          <w:i/>
          <w:color w:val="231F20"/>
          <w:spacing w:val="-2"/>
          <w:sz w:val="24"/>
        </w:rPr>
        <w:t>del</w:t>
      </w:r>
      <w:r>
        <w:rPr>
          <w:i/>
          <w:color w:val="231F20"/>
          <w:spacing w:val="-6"/>
          <w:sz w:val="24"/>
        </w:rPr>
        <w:t> </w:t>
      </w:r>
      <w:r>
        <w:rPr>
          <w:i/>
          <w:color w:val="231F20"/>
          <w:spacing w:val="-2"/>
          <w:sz w:val="24"/>
        </w:rPr>
        <w:t>detentore</w:t>
      </w:r>
      <w:r>
        <w:rPr>
          <w:i/>
          <w:color w:val="231F20"/>
          <w:spacing w:val="-6"/>
          <w:sz w:val="24"/>
        </w:rPr>
        <w:t> </w:t>
      </w:r>
      <w:r>
        <w:rPr>
          <w:i/>
          <w:color w:val="231F20"/>
          <w:spacing w:val="-2"/>
          <w:sz w:val="24"/>
        </w:rPr>
        <w:t>delle</w:t>
      </w:r>
      <w:r>
        <w:rPr>
          <w:i/>
          <w:color w:val="231F20"/>
          <w:spacing w:val="-6"/>
          <w:sz w:val="24"/>
        </w:rPr>
        <w:t> </w:t>
      </w:r>
      <w:r>
        <w:rPr>
          <w:i/>
          <w:color w:val="231F20"/>
          <w:spacing w:val="-2"/>
          <w:sz w:val="24"/>
        </w:rPr>
        <w:t>informazioni</w:t>
      </w:r>
      <w:r>
        <w:rPr>
          <w:i/>
          <w:color w:val="231F20"/>
          <w:spacing w:val="-6"/>
          <w:sz w:val="24"/>
        </w:rPr>
        <w:t> </w:t>
      </w:r>
      <w:r>
        <w:rPr>
          <w:i/>
          <w:color w:val="231F20"/>
          <w:spacing w:val="-2"/>
          <w:sz w:val="24"/>
        </w:rPr>
        <w:t>destinatario</w:t>
      </w:r>
      <w:r>
        <w:rPr>
          <w:i/>
          <w:color w:val="231F20"/>
          <w:spacing w:val="-6"/>
          <w:sz w:val="24"/>
        </w:rPr>
        <w:t> </w:t>
      </w:r>
      <w:r>
        <w:rPr>
          <w:i/>
          <w:color w:val="231F20"/>
          <w:spacing w:val="-2"/>
          <w:sz w:val="24"/>
        </w:rPr>
        <w:t>della </w:t>
      </w:r>
      <w:r>
        <w:rPr>
          <w:i/>
          <w:color w:val="231F20"/>
          <w:sz w:val="24"/>
        </w:rPr>
        <w:t>decisione di ingiunzione - 2.2.2. Assenza di un diritto ad un ricorso effettivo in</w:t>
      </w:r>
      <w:r>
        <w:rPr>
          <w:i/>
          <w:color w:val="231F20"/>
          <w:spacing w:val="-7"/>
          <w:sz w:val="24"/>
        </w:rPr>
        <w:t> </w:t>
      </w:r>
      <w:r>
        <w:rPr>
          <w:i/>
          <w:color w:val="231F20"/>
          <w:sz w:val="24"/>
        </w:rPr>
        <w:t>capo</w:t>
      </w:r>
      <w:r>
        <w:rPr>
          <w:i/>
          <w:color w:val="231F20"/>
          <w:spacing w:val="-7"/>
          <w:sz w:val="24"/>
        </w:rPr>
        <w:t> </w:t>
      </w:r>
      <w:r>
        <w:rPr>
          <w:i/>
          <w:color w:val="231F20"/>
          <w:sz w:val="24"/>
        </w:rPr>
        <w:t>al</w:t>
      </w:r>
      <w:r>
        <w:rPr>
          <w:i/>
          <w:color w:val="231F20"/>
          <w:spacing w:val="-7"/>
          <w:sz w:val="24"/>
        </w:rPr>
        <w:t> </w:t>
      </w:r>
      <w:r>
        <w:rPr>
          <w:i/>
          <w:color w:val="231F20"/>
          <w:sz w:val="24"/>
        </w:rPr>
        <w:t>contribuente</w:t>
      </w:r>
      <w:r>
        <w:rPr>
          <w:i/>
          <w:color w:val="231F20"/>
          <w:spacing w:val="-7"/>
          <w:sz w:val="24"/>
        </w:rPr>
        <w:t> </w:t>
      </w:r>
      <w:r>
        <w:rPr>
          <w:i/>
          <w:color w:val="231F20"/>
          <w:sz w:val="24"/>
        </w:rPr>
        <w:t>oggetto</w:t>
      </w:r>
      <w:r>
        <w:rPr>
          <w:i/>
          <w:color w:val="231F20"/>
          <w:spacing w:val="-7"/>
          <w:sz w:val="24"/>
        </w:rPr>
        <w:t> </w:t>
      </w:r>
      <w:r>
        <w:rPr>
          <w:i/>
          <w:color w:val="231F20"/>
          <w:sz w:val="24"/>
        </w:rPr>
        <w:t>dell’accertamento</w:t>
      </w:r>
      <w:r>
        <w:rPr>
          <w:i/>
          <w:color w:val="231F20"/>
          <w:spacing w:val="-7"/>
          <w:sz w:val="24"/>
        </w:rPr>
        <w:t> </w:t>
      </w:r>
      <w:r>
        <w:rPr>
          <w:i/>
          <w:color w:val="231F20"/>
          <w:sz w:val="24"/>
        </w:rPr>
        <w:t>-</w:t>
      </w:r>
      <w:r>
        <w:rPr>
          <w:i/>
          <w:color w:val="231F20"/>
          <w:spacing w:val="-7"/>
          <w:sz w:val="24"/>
        </w:rPr>
        <w:t> </w:t>
      </w:r>
      <w:r>
        <w:rPr>
          <w:i/>
          <w:color w:val="231F20"/>
          <w:sz w:val="24"/>
        </w:rPr>
        <w:t>2.2.3.</w:t>
      </w:r>
      <w:r>
        <w:rPr>
          <w:i/>
          <w:color w:val="231F20"/>
          <w:spacing w:val="-7"/>
          <w:sz w:val="24"/>
        </w:rPr>
        <w:t> </w:t>
      </w:r>
      <w:r>
        <w:rPr>
          <w:i/>
          <w:color w:val="231F20"/>
          <w:sz w:val="24"/>
        </w:rPr>
        <w:t>Assenza</w:t>
      </w:r>
      <w:r>
        <w:rPr>
          <w:i/>
          <w:color w:val="231F20"/>
          <w:spacing w:val="-7"/>
          <w:sz w:val="24"/>
        </w:rPr>
        <w:t> </w:t>
      </w:r>
      <w:r>
        <w:rPr>
          <w:i/>
          <w:color w:val="231F20"/>
          <w:sz w:val="24"/>
        </w:rPr>
        <w:t>di</w:t>
      </w:r>
      <w:r>
        <w:rPr>
          <w:i/>
          <w:color w:val="231F20"/>
          <w:spacing w:val="-7"/>
          <w:sz w:val="24"/>
        </w:rPr>
        <w:t> </w:t>
      </w:r>
      <w:r>
        <w:rPr>
          <w:i/>
          <w:color w:val="231F20"/>
          <w:sz w:val="24"/>
        </w:rPr>
        <w:t>un</w:t>
      </w:r>
      <w:r>
        <w:rPr>
          <w:i/>
          <w:color w:val="231F20"/>
          <w:spacing w:val="-7"/>
          <w:sz w:val="24"/>
        </w:rPr>
        <w:t> </w:t>
      </w:r>
      <w:r>
        <w:rPr>
          <w:i/>
          <w:color w:val="231F20"/>
          <w:sz w:val="24"/>
        </w:rPr>
        <w:t>diritto ad</w:t>
      </w:r>
      <w:r>
        <w:rPr>
          <w:i/>
          <w:color w:val="231F20"/>
          <w:spacing w:val="-4"/>
          <w:sz w:val="24"/>
        </w:rPr>
        <w:t> </w:t>
      </w:r>
      <w:r>
        <w:rPr>
          <w:i/>
          <w:color w:val="231F20"/>
          <w:sz w:val="24"/>
        </w:rPr>
        <w:t>un</w:t>
      </w:r>
      <w:r>
        <w:rPr>
          <w:i/>
          <w:color w:val="231F20"/>
          <w:spacing w:val="-4"/>
          <w:sz w:val="24"/>
        </w:rPr>
        <w:t> </w:t>
      </w:r>
      <w:r>
        <w:rPr>
          <w:i/>
          <w:color w:val="231F20"/>
          <w:sz w:val="24"/>
        </w:rPr>
        <w:t>ricorso</w:t>
      </w:r>
      <w:r>
        <w:rPr>
          <w:i/>
          <w:color w:val="231F20"/>
          <w:spacing w:val="-4"/>
          <w:sz w:val="24"/>
        </w:rPr>
        <w:t> </w:t>
      </w:r>
      <w:r>
        <w:rPr>
          <w:i/>
          <w:color w:val="231F20"/>
          <w:sz w:val="24"/>
        </w:rPr>
        <w:t>effettivo</w:t>
      </w:r>
      <w:r>
        <w:rPr>
          <w:i/>
          <w:color w:val="231F20"/>
          <w:spacing w:val="-4"/>
          <w:sz w:val="24"/>
        </w:rPr>
        <w:t> </w:t>
      </w:r>
      <w:r>
        <w:rPr>
          <w:i/>
          <w:color w:val="231F20"/>
          <w:sz w:val="24"/>
        </w:rPr>
        <w:t>in</w:t>
      </w:r>
      <w:r>
        <w:rPr>
          <w:i/>
          <w:color w:val="231F20"/>
          <w:spacing w:val="-4"/>
          <w:sz w:val="24"/>
        </w:rPr>
        <w:t> </w:t>
      </w:r>
      <w:r>
        <w:rPr>
          <w:i/>
          <w:color w:val="231F20"/>
          <w:sz w:val="24"/>
        </w:rPr>
        <w:t>capo</w:t>
      </w:r>
      <w:r>
        <w:rPr>
          <w:i/>
          <w:color w:val="231F20"/>
          <w:spacing w:val="-4"/>
          <w:sz w:val="24"/>
        </w:rPr>
        <w:t> </w:t>
      </w:r>
      <w:r>
        <w:rPr>
          <w:i/>
          <w:color w:val="231F20"/>
          <w:sz w:val="24"/>
        </w:rPr>
        <w:t>ad</w:t>
      </w:r>
      <w:r>
        <w:rPr>
          <w:i/>
          <w:color w:val="231F20"/>
          <w:spacing w:val="-4"/>
          <w:sz w:val="24"/>
        </w:rPr>
        <w:t> </w:t>
      </w:r>
      <w:r>
        <w:rPr>
          <w:i/>
          <w:color w:val="231F20"/>
          <w:sz w:val="24"/>
        </w:rPr>
        <w:t>altri</w:t>
      </w:r>
      <w:r>
        <w:rPr>
          <w:i/>
          <w:color w:val="231F20"/>
          <w:spacing w:val="-4"/>
          <w:sz w:val="24"/>
        </w:rPr>
        <w:t> </w:t>
      </w:r>
      <w:r>
        <w:rPr>
          <w:i/>
          <w:color w:val="231F20"/>
          <w:sz w:val="24"/>
        </w:rPr>
        <w:t>terzi</w:t>
      </w:r>
      <w:r>
        <w:rPr>
          <w:i/>
          <w:color w:val="231F20"/>
          <w:spacing w:val="-4"/>
          <w:sz w:val="24"/>
        </w:rPr>
        <w:t> </w:t>
      </w:r>
      <w:r>
        <w:rPr>
          <w:i/>
          <w:color w:val="231F20"/>
          <w:sz w:val="24"/>
        </w:rPr>
        <w:t>interessati</w:t>
      </w:r>
      <w:r>
        <w:rPr>
          <w:i/>
          <w:color w:val="231F20"/>
          <w:spacing w:val="-4"/>
          <w:sz w:val="24"/>
        </w:rPr>
        <w:t> </w:t>
      </w:r>
      <w:r>
        <w:rPr>
          <w:i/>
          <w:color w:val="231F20"/>
          <w:sz w:val="24"/>
        </w:rPr>
        <w:t>-</w:t>
      </w:r>
      <w:r>
        <w:rPr>
          <w:i/>
          <w:color w:val="231F20"/>
          <w:spacing w:val="-4"/>
          <w:sz w:val="24"/>
        </w:rPr>
        <w:t> </w:t>
      </w:r>
      <w:r>
        <w:rPr>
          <w:i/>
          <w:color w:val="231F20"/>
          <w:sz w:val="24"/>
        </w:rPr>
        <w:t>2.2.4.</w:t>
      </w:r>
      <w:r>
        <w:rPr>
          <w:i/>
          <w:color w:val="231F20"/>
          <w:spacing w:val="-4"/>
          <w:sz w:val="24"/>
        </w:rPr>
        <w:t> </w:t>
      </w:r>
      <w:r>
        <w:rPr>
          <w:i/>
          <w:color w:val="231F20"/>
          <w:sz w:val="24"/>
        </w:rPr>
        <w:t>Definizione</w:t>
      </w:r>
      <w:r>
        <w:rPr>
          <w:i/>
          <w:color w:val="231F20"/>
          <w:spacing w:val="-4"/>
          <w:sz w:val="24"/>
        </w:rPr>
        <w:t> </w:t>
      </w:r>
      <w:r>
        <w:rPr>
          <w:i/>
          <w:color w:val="231F20"/>
          <w:sz w:val="24"/>
        </w:rPr>
        <w:t>del livello</w:t>
      </w:r>
      <w:r>
        <w:rPr>
          <w:i/>
          <w:color w:val="231F20"/>
          <w:spacing w:val="-3"/>
          <w:sz w:val="24"/>
        </w:rPr>
        <w:t> </w:t>
      </w:r>
      <w:r>
        <w:rPr>
          <w:i/>
          <w:color w:val="231F20"/>
          <w:sz w:val="24"/>
        </w:rPr>
        <w:t>di</w:t>
      </w:r>
      <w:r>
        <w:rPr>
          <w:i/>
          <w:color w:val="231F20"/>
          <w:spacing w:val="-3"/>
          <w:sz w:val="24"/>
        </w:rPr>
        <w:t> </w:t>
      </w:r>
      <w:r>
        <w:rPr>
          <w:i/>
          <w:color w:val="231F20"/>
          <w:sz w:val="24"/>
        </w:rPr>
        <w:t>precisione</w:t>
      </w:r>
      <w:r>
        <w:rPr>
          <w:i/>
          <w:color w:val="231F20"/>
          <w:spacing w:val="-3"/>
          <w:sz w:val="24"/>
        </w:rPr>
        <w:t> </w:t>
      </w:r>
      <w:r>
        <w:rPr>
          <w:i/>
          <w:color w:val="231F20"/>
          <w:sz w:val="24"/>
        </w:rPr>
        <w:t>delle</w:t>
      </w:r>
      <w:r>
        <w:rPr>
          <w:i/>
          <w:color w:val="231F20"/>
          <w:spacing w:val="-3"/>
          <w:sz w:val="24"/>
        </w:rPr>
        <w:t> </w:t>
      </w:r>
      <w:r>
        <w:rPr>
          <w:i/>
          <w:color w:val="231F20"/>
          <w:sz w:val="24"/>
        </w:rPr>
        <w:t>informazioni</w:t>
      </w:r>
      <w:r>
        <w:rPr>
          <w:i/>
          <w:color w:val="231F20"/>
          <w:spacing w:val="-3"/>
          <w:sz w:val="24"/>
        </w:rPr>
        <w:t> </w:t>
      </w:r>
      <w:r>
        <w:rPr>
          <w:i/>
          <w:color w:val="231F20"/>
          <w:sz w:val="24"/>
        </w:rPr>
        <w:t>che</w:t>
      </w:r>
      <w:r>
        <w:rPr>
          <w:i/>
          <w:color w:val="231F20"/>
          <w:spacing w:val="-3"/>
          <w:sz w:val="24"/>
        </w:rPr>
        <w:t> </w:t>
      </w:r>
      <w:r>
        <w:rPr>
          <w:i/>
          <w:color w:val="231F20"/>
          <w:sz w:val="24"/>
        </w:rPr>
        <w:t>possono</w:t>
      </w:r>
      <w:r>
        <w:rPr>
          <w:i/>
          <w:color w:val="231F20"/>
          <w:spacing w:val="-3"/>
          <w:sz w:val="24"/>
        </w:rPr>
        <w:t> </w:t>
      </w:r>
      <w:r>
        <w:rPr>
          <w:i/>
          <w:color w:val="231F20"/>
          <w:sz w:val="24"/>
        </w:rPr>
        <w:t>essere</w:t>
      </w:r>
      <w:r>
        <w:rPr>
          <w:i/>
          <w:color w:val="231F20"/>
          <w:spacing w:val="-3"/>
          <w:sz w:val="24"/>
        </w:rPr>
        <w:t> </w:t>
      </w:r>
      <w:r>
        <w:rPr>
          <w:i/>
          <w:color w:val="231F20"/>
          <w:sz w:val="24"/>
        </w:rPr>
        <w:t>richieste</w:t>
      </w:r>
      <w:r>
        <w:rPr>
          <w:i/>
          <w:color w:val="231F20"/>
          <w:spacing w:val="-3"/>
          <w:sz w:val="24"/>
        </w:rPr>
        <w:t> </w:t>
      </w:r>
      <w:r>
        <w:rPr>
          <w:i/>
          <w:color w:val="231F20"/>
          <w:sz w:val="24"/>
        </w:rPr>
        <w:t>dall’autorità interpellata al detentore delle informazioni stesse - 2.3. La sentenza del 25 novembre 2021, C-437/19, État luxembourgois contro L - 2.3.1. Persone oggetto</w:t>
      </w:r>
      <w:r>
        <w:rPr>
          <w:i/>
          <w:color w:val="231F20"/>
          <w:spacing w:val="-4"/>
          <w:sz w:val="24"/>
        </w:rPr>
        <w:t> </w:t>
      </w:r>
      <w:r>
        <w:rPr>
          <w:i/>
          <w:color w:val="231F20"/>
          <w:sz w:val="24"/>
        </w:rPr>
        <w:t>di</w:t>
      </w:r>
      <w:r>
        <w:rPr>
          <w:i/>
          <w:color w:val="231F20"/>
          <w:spacing w:val="-4"/>
          <w:sz w:val="24"/>
        </w:rPr>
        <w:t> </w:t>
      </w:r>
      <w:r>
        <w:rPr>
          <w:i/>
          <w:color w:val="231F20"/>
          <w:sz w:val="24"/>
        </w:rPr>
        <w:t>verifica</w:t>
      </w:r>
      <w:r>
        <w:rPr>
          <w:i/>
          <w:color w:val="231F20"/>
          <w:spacing w:val="-4"/>
          <w:sz w:val="24"/>
        </w:rPr>
        <w:t> </w:t>
      </w:r>
      <w:r>
        <w:rPr>
          <w:i/>
          <w:color w:val="231F20"/>
          <w:sz w:val="24"/>
        </w:rPr>
        <w:t>fiscale</w:t>
      </w:r>
      <w:r>
        <w:rPr>
          <w:i/>
          <w:color w:val="231F20"/>
          <w:spacing w:val="-4"/>
          <w:sz w:val="24"/>
        </w:rPr>
        <w:t> </w:t>
      </w:r>
      <w:r>
        <w:rPr>
          <w:i/>
          <w:color w:val="231F20"/>
          <w:sz w:val="24"/>
        </w:rPr>
        <w:t>identificate</w:t>
      </w:r>
      <w:r>
        <w:rPr>
          <w:i/>
          <w:color w:val="231F20"/>
          <w:spacing w:val="-4"/>
          <w:sz w:val="24"/>
        </w:rPr>
        <w:t> </w:t>
      </w:r>
      <w:r>
        <w:rPr>
          <w:i/>
          <w:color w:val="231F20"/>
          <w:sz w:val="24"/>
        </w:rPr>
        <w:t>non</w:t>
      </w:r>
      <w:r>
        <w:rPr>
          <w:i/>
          <w:color w:val="231F20"/>
          <w:spacing w:val="-4"/>
          <w:sz w:val="24"/>
        </w:rPr>
        <w:t> </w:t>
      </w:r>
      <w:r>
        <w:rPr>
          <w:i/>
          <w:color w:val="231F20"/>
          <w:sz w:val="24"/>
        </w:rPr>
        <w:t>nominativamente,</w:t>
      </w:r>
      <w:r>
        <w:rPr>
          <w:i/>
          <w:color w:val="231F20"/>
          <w:spacing w:val="-4"/>
          <w:sz w:val="24"/>
        </w:rPr>
        <w:t> </w:t>
      </w:r>
      <w:r>
        <w:rPr>
          <w:i/>
          <w:color w:val="231F20"/>
          <w:sz w:val="24"/>
        </w:rPr>
        <w:t>ma</w:t>
      </w:r>
      <w:r>
        <w:rPr>
          <w:i/>
          <w:color w:val="231F20"/>
          <w:spacing w:val="-4"/>
          <w:sz w:val="24"/>
        </w:rPr>
        <w:t> </w:t>
      </w:r>
      <w:r>
        <w:rPr>
          <w:i/>
          <w:color w:val="231F20"/>
          <w:sz w:val="24"/>
        </w:rPr>
        <w:t>come</w:t>
      </w:r>
      <w:r>
        <w:rPr>
          <w:i/>
          <w:color w:val="231F20"/>
          <w:spacing w:val="-4"/>
          <w:sz w:val="24"/>
        </w:rPr>
        <w:t> </w:t>
      </w:r>
      <w:r>
        <w:rPr>
          <w:i/>
          <w:color w:val="231F20"/>
          <w:sz w:val="24"/>
        </w:rPr>
        <w:t>«gruppo circoscritto</w:t>
      </w:r>
      <w:r>
        <w:rPr>
          <w:i/>
          <w:color w:val="231F20"/>
          <w:spacing w:val="-10"/>
          <w:sz w:val="24"/>
        </w:rPr>
        <w:t> </w:t>
      </w:r>
      <w:r>
        <w:rPr>
          <w:i/>
          <w:color w:val="231F20"/>
          <w:sz w:val="24"/>
        </w:rPr>
        <w:t>di</w:t>
      </w:r>
      <w:r>
        <w:rPr>
          <w:i/>
          <w:color w:val="231F20"/>
          <w:spacing w:val="-10"/>
          <w:sz w:val="24"/>
        </w:rPr>
        <w:t> </w:t>
      </w:r>
      <w:r>
        <w:rPr>
          <w:i/>
          <w:color w:val="231F20"/>
          <w:sz w:val="24"/>
        </w:rPr>
        <w:t>persone»</w:t>
      </w:r>
      <w:r>
        <w:rPr>
          <w:i/>
          <w:color w:val="231F20"/>
          <w:spacing w:val="-10"/>
          <w:sz w:val="24"/>
        </w:rPr>
        <w:t> </w:t>
      </w:r>
      <w:r>
        <w:rPr>
          <w:i/>
          <w:color w:val="231F20"/>
          <w:sz w:val="24"/>
        </w:rPr>
        <w:t>con</w:t>
      </w:r>
      <w:r>
        <w:rPr>
          <w:i/>
          <w:color w:val="231F20"/>
          <w:spacing w:val="-10"/>
          <w:sz w:val="24"/>
        </w:rPr>
        <w:t> </w:t>
      </w:r>
      <w:r>
        <w:rPr>
          <w:i/>
          <w:color w:val="231F20"/>
          <w:sz w:val="24"/>
        </w:rPr>
        <w:t>caratteristiche</w:t>
      </w:r>
      <w:r>
        <w:rPr>
          <w:i/>
          <w:color w:val="231F20"/>
          <w:spacing w:val="-10"/>
          <w:sz w:val="24"/>
        </w:rPr>
        <w:t> </w:t>
      </w:r>
      <w:r>
        <w:rPr>
          <w:i/>
          <w:color w:val="231F20"/>
          <w:sz w:val="24"/>
        </w:rPr>
        <w:t>comuni</w:t>
      </w:r>
      <w:r>
        <w:rPr>
          <w:i/>
          <w:color w:val="231F20"/>
          <w:spacing w:val="-10"/>
          <w:sz w:val="24"/>
        </w:rPr>
        <w:t> </w:t>
      </w:r>
      <w:r>
        <w:rPr>
          <w:i/>
          <w:color w:val="231F20"/>
          <w:sz w:val="24"/>
        </w:rPr>
        <w:t>-</w:t>
      </w:r>
      <w:r>
        <w:rPr>
          <w:i/>
          <w:color w:val="231F20"/>
          <w:spacing w:val="-10"/>
          <w:sz w:val="24"/>
        </w:rPr>
        <w:t> </w:t>
      </w:r>
      <w:r>
        <w:rPr>
          <w:i/>
          <w:color w:val="231F20"/>
          <w:sz w:val="24"/>
        </w:rPr>
        <w:t>2.3.2.</w:t>
      </w:r>
      <w:r>
        <w:rPr>
          <w:i/>
          <w:color w:val="231F20"/>
          <w:spacing w:val="-10"/>
          <w:sz w:val="24"/>
        </w:rPr>
        <w:t> </w:t>
      </w:r>
      <w:r>
        <w:rPr>
          <w:i/>
          <w:color w:val="231F20"/>
          <w:sz w:val="24"/>
        </w:rPr>
        <w:t>Diritto</w:t>
      </w:r>
      <w:r>
        <w:rPr>
          <w:i/>
          <w:color w:val="231F20"/>
          <w:spacing w:val="-10"/>
          <w:sz w:val="24"/>
        </w:rPr>
        <w:t> </w:t>
      </w:r>
      <w:r>
        <w:rPr>
          <w:i/>
          <w:color w:val="231F20"/>
          <w:sz w:val="24"/>
        </w:rPr>
        <w:t>del</w:t>
      </w:r>
      <w:r>
        <w:rPr>
          <w:i/>
          <w:color w:val="231F20"/>
          <w:spacing w:val="-10"/>
          <w:sz w:val="24"/>
        </w:rPr>
        <w:t> </w:t>
      </w:r>
      <w:r>
        <w:rPr>
          <w:i/>
          <w:color w:val="231F20"/>
          <w:sz w:val="24"/>
        </w:rPr>
        <w:t>detentore di</w:t>
      </w:r>
      <w:r>
        <w:rPr>
          <w:i/>
          <w:color w:val="231F20"/>
          <w:spacing w:val="17"/>
          <w:sz w:val="24"/>
        </w:rPr>
        <w:t> </w:t>
      </w:r>
      <w:r>
        <w:rPr>
          <w:i/>
          <w:color w:val="231F20"/>
          <w:sz w:val="24"/>
        </w:rPr>
        <w:t>informazioni</w:t>
      </w:r>
      <w:r>
        <w:rPr>
          <w:i/>
          <w:color w:val="231F20"/>
          <w:spacing w:val="19"/>
          <w:sz w:val="24"/>
        </w:rPr>
        <w:t> </w:t>
      </w:r>
      <w:r>
        <w:rPr>
          <w:i/>
          <w:color w:val="231F20"/>
          <w:sz w:val="24"/>
        </w:rPr>
        <w:t>ad</w:t>
      </w:r>
      <w:r>
        <w:rPr>
          <w:i/>
          <w:color w:val="231F20"/>
          <w:spacing w:val="19"/>
          <w:sz w:val="24"/>
        </w:rPr>
        <w:t> </w:t>
      </w:r>
      <w:r>
        <w:rPr>
          <w:i/>
          <w:color w:val="231F20"/>
          <w:sz w:val="24"/>
        </w:rPr>
        <w:t>un</w:t>
      </w:r>
      <w:r>
        <w:rPr>
          <w:i/>
          <w:color w:val="231F20"/>
          <w:spacing w:val="19"/>
          <w:sz w:val="24"/>
        </w:rPr>
        <w:t> </w:t>
      </w:r>
      <w:r>
        <w:rPr>
          <w:i/>
          <w:color w:val="231F20"/>
          <w:sz w:val="24"/>
        </w:rPr>
        <w:t>termine</w:t>
      </w:r>
      <w:r>
        <w:rPr>
          <w:i/>
          <w:color w:val="231F20"/>
          <w:spacing w:val="19"/>
          <w:sz w:val="24"/>
        </w:rPr>
        <w:t> </w:t>
      </w:r>
      <w:r>
        <w:rPr>
          <w:i/>
          <w:color w:val="231F20"/>
          <w:sz w:val="24"/>
        </w:rPr>
        <w:t>sospensivo</w:t>
      </w:r>
      <w:r>
        <w:rPr>
          <w:i/>
          <w:color w:val="231F20"/>
          <w:spacing w:val="19"/>
          <w:sz w:val="24"/>
        </w:rPr>
        <w:t> </w:t>
      </w:r>
      <w:r>
        <w:rPr>
          <w:i/>
          <w:color w:val="231F20"/>
          <w:sz w:val="24"/>
        </w:rPr>
        <w:t>per</w:t>
      </w:r>
      <w:r>
        <w:rPr>
          <w:i/>
          <w:color w:val="231F20"/>
          <w:spacing w:val="19"/>
          <w:sz w:val="24"/>
        </w:rPr>
        <w:t> </w:t>
      </w:r>
      <w:r>
        <w:rPr>
          <w:i/>
          <w:color w:val="231F20"/>
          <w:sz w:val="24"/>
        </w:rPr>
        <w:t>il</w:t>
      </w:r>
      <w:r>
        <w:rPr>
          <w:i/>
          <w:color w:val="231F20"/>
          <w:spacing w:val="19"/>
          <w:sz w:val="24"/>
        </w:rPr>
        <w:t> </w:t>
      </w:r>
      <w:r>
        <w:rPr>
          <w:i/>
          <w:color w:val="231F20"/>
          <w:sz w:val="24"/>
        </w:rPr>
        <w:t>pagamento</w:t>
      </w:r>
      <w:r>
        <w:rPr>
          <w:i/>
          <w:color w:val="231F20"/>
          <w:spacing w:val="19"/>
          <w:sz w:val="24"/>
        </w:rPr>
        <w:t> </w:t>
      </w:r>
      <w:r>
        <w:rPr>
          <w:i/>
          <w:color w:val="231F20"/>
          <w:sz w:val="24"/>
        </w:rPr>
        <w:t>della</w:t>
      </w:r>
      <w:r>
        <w:rPr>
          <w:i/>
          <w:color w:val="231F20"/>
          <w:spacing w:val="19"/>
          <w:sz w:val="24"/>
        </w:rPr>
        <w:t> </w:t>
      </w:r>
      <w:r>
        <w:rPr>
          <w:i/>
          <w:color w:val="231F20"/>
          <w:sz w:val="24"/>
        </w:rPr>
        <w:t>sanzione</w:t>
      </w:r>
      <w:r>
        <w:rPr>
          <w:i/>
          <w:color w:val="231F20"/>
          <w:spacing w:val="19"/>
          <w:sz w:val="24"/>
        </w:rPr>
        <w:t> </w:t>
      </w:r>
      <w:r>
        <w:rPr>
          <w:i/>
          <w:color w:val="231F20"/>
          <w:spacing w:val="-10"/>
          <w:sz w:val="24"/>
        </w:rPr>
        <w:t>-</w:t>
      </w:r>
    </w:p>
    <w:p>
      <w:pPr>
        <w:spacing w:line="269" w:lineRule="exact" w:before="0"/>
        <w:ind w:left="157" w:right="0" w:firstLine="0"/>
        <w:jc w:val="both"/>
        <w:rPr>
          <w:i/>
          <w:sz w:val="24"/>
        </w:rPr>
      </w:pPr>
      <w:r>
        <w:rPr>
          <w:i/>
          <w:color w:val="231F20"/>
          <w:sz w:val="24"/>
        </w:rPr>
        <w:t>2.4.</w:t>
      </w:r>
      <w:r>
        <w:rPr>
          <w:i/>
          <w:color w:val="231F20"/>
          <w:spacing w:val="17"/>
          <w:sz w:val="24"/>
        </w:rPr>
        <w:t> </w:t>
      </w:r>
      <w:r>
        <w:rPr>
          <w:i/>
          <w:color w:val="231F20"/>
          <w:sz w:val="24"/>
        </w:rPr>
        <w:t>La</w:t>
      </w:r>
      <w:r>
        <w:rPr>
          <w:i/>
          <w:color w:val="231F20"/>
          <w:spacing w:val="17"/>
          <w:sz w:val="24"/>
        </w:rPr>
        <w:t> </w:t>
      </w:r>
      <w:r>
        <w:rPr>
          <w:i/>
          <w:color w:val="231F20"/>
          <w:sz w:val="24"/>
        </w:rPr>
        <w:t>sentenza</w:t>
      </w:r>
      <w:r>
        <w:rPr>
          <w:i/>
          <w:color w:val="231F20"/>
          <w:spacing w:val="18"/>
          <w:sz w:val="24"/>
        </w:rPr>
        <w:t> </w:t>
      </w:r>
      <w:r>
        <w:rPr>
          <w:i/>
          <w:color w:val="231F20"/>
          <w:sz w:val="24"/>
        </w:rPr>
        <w:t>del</w:t>
      </w:r>
      <w:r>
        <w:rPr>
          <w:i/>
          <w:color w:val="231F20"/>
          <w:spacing w:val="17"/>
          <w:sz w:val="24"/>
        </w:rPr>
        <w:t> </w:t>
      </w:r>
      <w:r>
        <w:rPr>
          <w:i/>
          <w:color w:val="231F20"/>
          <w:sz w:val="24"/>
        </w:rPr>
        <w:t>8</w:t>
      </w:r>
      <w:r>
        <w:rPr>
          <w:i/>
          <w:color w:val="231F20"/>
          <w:spacing w:val="17"/>
          <w:sz w:val="24"/>
        </w:rPr>
        <w:t> </w:t>
      </w:r>
      <w:r>
        <w:rPr>
          <w:i/>
          <w:color w:val="231F20"/>
          <w:sz w:val="24"/>
        </w:rPr>
        <w:t>dicembre</w:t>
      </w:r>
      <w:r>
        <w:rPr>
          <w:i/>
          <w:color w:val="231F20"/>
          <w:spacing w:val="18"/>
          <w:sz w:val="24"/>
        </w:rPr>
        <w:t> </w:t>
      </w:r>
      <w:r>
        <w:rPr>
          <w:i/>
          <w:color w:val="231F20"/>
          <w:sz w:val="24"/>
        </w:rPr>
        <w:t>2022,</w:t>
      </w:r>
      <w:r>
        <w:rPr>
          <w:i/>
          <w:color w:val="231F20"/>
          <w:spacing w:val="17"/>
          <w:sz w:val="24"/>
        </w:rPr>
        <w:t> </w:t>
      </w:r>
      <w:r>
        <w:rPr>
          <w:i/>
          <w:color w:val="231F20"/>
          <w:sz w:val="24"/>
        </w:rPr>
        <w:t>C-694/20,</w:t>
      </w:r>
      <w:r>
        <w:rPr>
          <w:i/>
          <w:color w:val="231F20"/>
          <w:spacing w:val="17"/>
          <w:sz w:val="24"/>
        </w:rPr>
        <w:t> </w:t>
      </w:r>
      <w:r>
        <w:rPr>
          <w:i/>
          <w:color w:val="231F20"/>
          <w:sz w:val="24"/>
        </w:rPr>
        <w:t>Ordine</w:t>
      </w:r>
      <w:r>
        <w:rPr>
          <w:i/>
          <w:color w:val="231F20"/>
          <w:spacing w:val="18"/>
          <w:sz w:val="24"/>
        </w:rPr>
        <w:t> </w:t>
      </w:r>
      <w:r>
        <w:rPr>
          <w:i/>
          <w:color w:val="231F20"/>
          <w:sz w:val="24"/>
        </w:rPr>
        <w:t>degli</w:t>
      </w:r>
      <w:r>
        <w:rPr>
          <w:i/>
          <w:color w:val="231F20"/>
          <w:spacing w:val="17"/>
          <w:sz w:val="24"/>
        </w:rPr>
        <w:t> </w:t>
      </w:r>
      <w:r>
        <w:rPr>
          <w:i/>
          <w:color w:val="231F20"/>
          <w:sz w:val="24"/>
        </w:rPr>
        <w:t>avvocati</w:t>
      </w:r>
      <w:r>
        <w:rPr>
          <w:i/>
          <w:color w:val="231F20"/>
          <w:spacing w:val="18"/>
          <w:sz w:val="24"/>
        </w:rPr>
        <w:t> </w:t>
      </w:r>
      <w:r>
        <w:rPr>
          <w:i/>
          <w:color w:val="231F20"/>
          <w:spacing w:val="-5"/>
          <w:sz w:val="24"/>
        </w:rPr>
        <w:t>di</w:t>
      </w:r>
    </w:p>
    <w:p>
      <w:pPr>
        <w:spacing w:line="230" w:lineRule="auto" w:before="2"/>
        <w:ind w:left="157" w:right="118" w:firstLine="0"/>
        <w:jc w:val="both"/>
        <w:rPr>
          <w:i/>
          <w:sz w:val="24"/>
        </w:rPr>
      </w:pPr>
      <w:r>
        <w:rPr>
          <w:i/>
          <w:color w:val="231F20"/>
          <w:sz w:val="24"/>
        </w:rPr>
        <w:t>Fiandra contro Governo della Fiandra: la tutela del segreto professionale</w:t>
      </w:r>
      <w:r>
        <w:rPr>
          <w:i/>
          <w:color w:val="231F20"/>
          <w:spacing w:val="80"/>
          <w:w w:val="150"/>
          <w:sz w:val="24"/>
        </w:rPr>
        <w:t> </w:t>
      </w:r>
      <w:r>
        <w:rPr>
          <w:i/>
          <w:color w:val="231F20"/>
          <w:sz w:val="24"/>
        </w:rPr>
        <w:t>degli avvocati tributaristi - 2.4.1. Invalidità della norma della direttiva che impone all’avvocato di notificare ad un altro intermediario il proprio obbligo di</w:t>
      </w:r>
      <w:r>
        <w:rPr>
          <w:i/>
          <w:color w:val="231F20"/>
          <w:spacing w:val="20"/>
          <w:sz w:val="24"/>
        </w:rPr>
        <w:t> </w:t>
      </w:r>
      <w:r>
        <w:rPr>
          <w:i/>
          <w:color w:val="231F20"/>
          <w:sz w:val="24"/>
        </w:rPr>
        <w:t>comunicazione</w:t>
      </w:r>
      <w:r>
        <w:rPr>
          <w:i/>
          <w:color w:val="231F20"/>
          <w:spacing w:val="20"/>
          <w:sz w:val="24"/>
        </w:rPr>
        <w:t> </w:t>
      </w:r>
      <w:r>
        <w:rPr>
          <w:i/>
          <w:color w:val="231F20"/>
          <w:sz w:val="24"/>
        </w:rPr>
        <w:t>dei</w:t>
      </w:r>
      <w:r>
        <w:rPr>
          <w:i/>
          <w:color w:val="231F20"/>
          <w:spacing w:val="20"/>
          <w:sz w:val="24"/>
        </w:rPr>
        <w:t> </w:t>
      </w:r>
      <w:r>
        <w:rPr>
          <w:i/>
          <w:color w:val="231F20"/>
          <w:sz w:val="24"/>
        </w:rPr>
        <w:t>meccanismi</w:t>
      </w:r>
      <w:r>
        <w:rPr>
          <w:i/>
          <w:color w:val="231F20"/>
          <w:spacing w:val="20"/>
          <w:sz w:val="24"/>
        </w:rPr>
        <w:t> </w:t>
      </w:r>
      <w:r>
        <w:rPr>
          <w:i/>
          <w:color w:val="231F20"/>
          <w:sz w:val="24"/>
        </w:rPr>
        <w:t>transfrontalieri</w:t>
      </w:r>
      <w:r>
        <w:rPr>
          <w:i/>
          <w:color w:val="231F20"/>
          <w:spacing w:val="20"/>
          <w:sz w:val="24"/>
        </w:rPr>
        <w:t> </w:t>
      </w:r>
      <w:r>
        <w:rPr>
          <w:i/>
          <w:color w:val="231F20"/>
          <w:sz w:val="24"/>
        </w:rPr>
        <w:t>di</w:t>
      </w:r>
      <w:r>
        <w:rPr>
          <w:i/>
          <w:color w:val="231F20"/>
          <w:spacing w:val="20"/>
          <w:sz w:val="24"/>
        </w:rPr>
        <w:t> </w:t>
      </w:r>
      <w:r>
        <w:rPr>
          <w:i/>
          <w:color w:val="231F20"/>
          <w:sz w:val="24"/>
        </w:rPr>
        <w:t>pianificazione</w:t>
      </w:r>
      <w:r>
        <w:rPr>
          <w:i/>
          <w:color w:val="231F20"/>
          <w:spacing w:val="20"/>
          <w:sz w:val="24"/>
        </w:rPr>
        <w:t> </w:t>
      </w:r>
      <w:r>
        <w:rPr>
          <w:i/>
          <w:color w:val="231F20"/>
          <w:sz w:val="24"/>
        </w:rPr>
        <w:t>fiscale</w:t>
      </w:r>
      <w:r>
        <w:rPr>
          <w:i/>
          <w:color w:val="231F20"/>
          <w:spacing w:val="20"/>
          <w:sz w:val="24"/>
        </w:rPr>
        <w:t> </w:t>
      </w:r>
      <w:r>
        <w:rPr>
          <w:i/>
          <w:color w:val="231F20"/>
          <w:sz w:val="24"/>
        </w:rPr>
        <w:t>–</w:t>
      </w:r>
    </w:p>
    <w:p>
      <w:pPr>
        <w:spacing w:line="230" w:lineRule="auto" w:before="0"/>
        <w:ind w:left="157" w:right="118" w:firstLine="0"/>
        <w:jc w:val="both"/>
        <w:rPr>
          <w:i/>
          <w:sz w:val="24"/>
        </w:rPr>
      </w:pPr>
      <w:r>
        <w:rPr>
          <w:i/>
          <w:color w:val="231F20"/>
          <w:sz w:val="24"/>
        </w:rPr>
        <w:t>2.5. La sentenza del 29 luglio 2024, C-623/22, Belgian Association of Tax</w:t>
      </w:r>
      <w:r>
        <w:rPr>
          <w:i/>
          <w:color w:val="231F20"/>
          <w:sz w:val="24"/>
        </w:rPr>
        <w:t> Lawyers contro Primo ministro: la tutela del diritto fondamentale al rispetto della</w:t>
      </w:r>
      <w:r>
        <w:rPr>
          <w:i/>
          <w:color w:val="231F20"/>
          <w:spacing w:val="-9"/>
          <w:sz w:val="24"/>
        </w:rPr>
        <w:t> </w:t>
      </w:r>
      <w:r>
        <w:rPr>
          <w:i/>
          <w:color w:val="231F20"/>
          <w:sz w:val="24"/>
        </w:rPr>
        <w:t>vita</w:t>
      </w:r>
      <w:r>
        <w:rPr>
          <w:i/>
          <w:color w:val="231F20"/>
          <w:spacing w:val="-9"/>
          <w:sz w:val="24"/>
        </w:rPr>
        <w:t> </w:t>
      </w:r>
      <w:r>
        <w:rPr>
          <w:i/>
          <w:color w:val="231F20"/>
          <w:sz w:val="24"/>
        </w:rPr>
        <w:t>privata</w:t>
      </w:r>
      <w:r>
        <w:rPr>
          <w:i/>
          <w:color w:val="231F20"/>
          <w:spacing w:val="-9"/>
          <w:sz w:val="24"/>
        </w:rPr>
        <w:t> </w:t>
      </w:r>
      <w:r>
        <w:rPr>
          <w:i/>
          <w:color w:val="231F20"/>
          <w:sz w:val="24"/>
        </w:rPr>
        <w:t>-</w:t>
      </w:r>
      <w:r>
        <w:rPr>
          <w:i/>
          <w:color w:val="231F20"/>
          <w:spacing w:val="-9"/>
          <w:sz w:val="24"/>
        </w:rPr>
        <w:t> </w:t>
      </w:r>
      <w:r>
        <w:rPr>
          <w:i/>
          <w:color w:val="231F20"/>
          <w:sz w:val="24"/>
        </w:rPr>
        <w:t>2.5.1.</w:t>
      </w:r>
      <w:r>
        <w:rPr>
          <w:i/>
          <w:color w:val="231F20"/>
          <w:spacing w:val="-9"/>
          <w:sz w:val="24"/>
        </w:rPr>
        <w:t> </w:t>
      </w:r>
      <w:r>
        <w:rPr>
          <w:i/>
          <w:color w:val="231F20"/>
          <w:sz w:val="24"/>
        </w:rPr>
        <w:t>La</w:t>
      </w:r>
      <w:r>
        <w:rPr>
          <w:i/>
          <w:color w:val="231F20"/>
          <w:spacing w:val="-9"/>
          <w:sz w:val="24"/>
        </w:rPr>
        <w:t> </w:t>
      </w:r>
      <w:r>
        <w:rPr>
          <w:i/>
          <w:color w:val="231F20"/>
          <w:sz w:val="24"/>
        </w:rPr>
        <w:t>tutela</w:t>
      </w:r>
      <w:r>
        <w:rPr>
          <w:i/>
          <w:color w:val="231F20"/>
          <w:spacing w:val="-9"/>
          <w:sz w:val="24"/>
        </w:rPr>
        <w:t> </w:t>
      </w:r>
      <w:r>
        <w:rPr>
          <w:i/>
          <w:color w:val="231F20"/>
          <w:sz w:val="24"/>
        </w:rPr>
        <w:t>del</w:t>
      </w:r>
      <w:r>
        <w:rPr>
          <w:i/>
          <w:color w:val="231F20"/>
          <w:spacing w:val="-9"/>
          <w:sz w:val="24"/>
        </w:rPr>
        <w:t> </w:t>
      </w:r>
      <w:r>
        <w:rPr>
          <w:i/>
          <w:color w:val="231F20"/>
          <w:sz w:val="24"/>
        </w:rPr>
        <w:t>segreto</w:t>
      </w:r>
      <w:r>
        <w:rPr>
          <w:i/>
          <w:color w:val="231F20"/>
          <w:spacing w:val="-9"/>
          <w:sz w:val="24"/>
        </w:rPr>
        <w:t> </w:t>
      </w:r>
      <w:r>
        <w:rPr>
          <w:i/>
          <w:color w:val="231F20"/>
          <w:sz w:val="24"/>
        </w:rPr>
        <w:t>professionale</w:t>
      </w:r>
      <w:r>
        <w:rPr>
          <w:i/>
          <w:color w:val="231F20"/>
          <w:spacing w:val="-9"/>
          <w:sz w:val="24"/>
        </w:rPr>
        <w:t> </w:t>
      </w:r>
      <w:r>
        <w:rPr>
          <w:i/>
          <w:color w:val="231F20"/>
          <w:sz w:val="24"/>
        </w:rPr>
        <w:t>è</w:t>
      </w:r>
      <w:r>
        <w:rPr>
          <w:i/>
          <w:color w:val="231F20"/>
          <w:spacing w:val="-9"/>
          <w:sz w:val="24"/>
        </w:rPr>
        <w:t> </w:t>
      </w:r>
      <w:r>
        <w:rPr>
          <w:i/>
          <w:color w:val="231F20"/>
          <w:sz w:val="24"/>
        </w:rPr>
        <w:t>più</w:t>
      </w:r>
      <w:r>
        <w:rPr>
          <w:i/>
          <w:color w:val="231F20"/>
          <w:spacing w:val="-9"/>
          <w:sz w:val="24"/>
        </w:rPr>
        <w:t> </w:t>
      </w:r>
      <w:r>
        <w:rPr>
          <w:i/>
          <w:color w:val="231F20"/>
          <w:sz w:val="24"/>
        </w:rPr>
        <w:t>limitata</w:t>
      </w:r>
      <w:r>
        <w:rPr>
          <w:i/>
          <w:color w:val="231F20"/>
          <w:spacing w:val="-9"/>
          <w:sz w:val="24"/>
        </w:rPr>
        <w:t> </w:t>
      </w:r>
      <w:r>
        <w:rPr>
          <w:i/>
          <w:color w:val="231F20"/>
          <w:sz w:val="24"/>
        </w:rPr>
        <w:t>per</w:t>
      </w:r>
      <w:r>
        <w:rPr>
          <w:i/>
          <w:color w:val="231F20"/>
          <w:spacing w:val="-9"/>
          <w:sz w:val="24"/>
        </w:rPr>
        <w:t> </w:t>
      </w:r>
      <w:r>
        <w:rPr>
          <w:i/>
          <w:color w:val="231F20"/>
          <w:sz w:val="24"/>
        </w:rPr>
        <w:t>i consulenti</w:t>
      </w:r>
      <w:r>
        <w:rPr>
          <w:i/>
          <w:color w:val="231F20"/>
          <w:spacing w:val="-15"/>
          <w:sz w:val="24"/>
        </w:rPr>
        <w:t> </w:t>
      </w:r>
      <w:r>
        <w:rPr>
          <w:i/>
          <w:color w:val="231F20"/>
          <w:sz w:val="24"/>
        </w:rPr>
        <w:t>fiscali</w:t>
      </w:r>
      <w:r>
        <w:rPr>
          <w:i/>
          <w:color w:val="231F20"/>
          <w:spacing w:val="-15"/>
          <w:sz w:val="24"/>
        </w:rPr>
        <w:t> </w:t>
      </w:r>
      <w:r>
        <w:rPr>
          <w:i/>
          <w:color w:val="231F20"/>
          <w:sz w:val="24"/>
        </w:rPr>
        <w:t>che</w:t>
      </w:r>
      <w:r>
        <w:rPr>
          <w:i/>
          <w:color w:val="231F20"/>
          <w:spacing w:val="-15"/>
          <w:sz w:val="24"/>
        </w:rPr>
        <w:t> </w:t>
      </w:r>
      <w:r>
        <w:rPr>
          <w:i/>
          <w:color w:val="231F20"/>
          <w:sz w:val="24"/>
        </w:rPr>
        <w:t>non</w:t>
      </w:r>
      <w:r>
        <w:rPr>
          <w:i/>
          <w:color w:val="231F20"/>
          <w:spacing w:val="-15"/>
          <w:sz w:val="24"/>
        </w:rPr>
        <w:t> </w:t>
      </w:r>
      <w:r>
        <w:rPr>
          <w:i/>
          <w:color w:val="231F20"/>
          <w:sz w:val="24"/>
        </w:rPr>
        <w:t>sono</w:t>
      </w:r>
      <w:r>
        <w:rPr>
          <w:i/>
          <w:color w:val="231F20"/>
          <w:spacing w:val="-15"/>
          <w:sz w:val="24"/>
        </w:rPr>
        <w:t> </w:t>
      </w:r>
      <w:r>
        <w:rPr>
          <w:i/>
          <w:color w:val="231F20"/>
          <w:sz w:val="24"/>
        </w:rPr>
        <w:t>avvocati</w:t>
      </w:r>
      <w:r>
        <w:rPr>
          <w:i/>
          <w:color w:val="231F20"/>
          <w:spacing w:val="-15"/>
          <w:sz w:val="24"/>
        </w:rPr>
        <w:t> </w:t>
      </w:r>
      <w:r>
        <w:rPr>
          <w:i/>
          <w:color w:val="231F20"/>
          <w:sz w:val="24"/>
        </w:rPr>
        <w:t>-</w:t>
      </w:r>
      <w:r>
        <w:rPr>
          <w:i/>
          <w:color w:val="231F20"/>
          <w:spacing w:val="-15"/>
          <w:sz w:val="24"/>
        </w:rPr>
        <w:t> </w:t>
      </w:r>
      <w:r>
        <w:rPr>
          <w:i/>
          <w:color w:val="231F20"/>
          <w:sz w:val="24"/>
        </w:rPr>
        <w:t>2.5.2.</w:t>
      </w:r>
      <w:r>
        <w:rPr>
          <w:i/>
          <w:color w:val="231F20"/>
          <w:spacing w:val="-15"/>
          <w:sz w:val="24"/>
        </w:rPr>
        <w:t> </w:t>
      </w:r>
      <w:r>
        <w:rPr>
          <w:i/>
          <w:color w:val="231F20"/>
          <w:sz w:val="24"/>
        </w:rPr>
        <w:t>Legittimità,</w:t>
      </w:r>
      <w:r>
        <w:rPr>
          <w:i/>
          <w:color w:val="231F20"/>
          <w:spacing w:val="-15"/>
          <w:sz w:val="24"/>
        </w:rPr>
        <w:t> </w:t>
      </w:r>
      <w:r>
        <w:rPr>
          <w:i/>
          <w:color w:val="231F20"/>
          <w:sz w:val="24"/>
        </w:rPr>
        <w:t>in</w:t>
      </w:r>
      <w:r>
        <w:rPr>
          <w:i/>
          <w:color w:val="231F20"/>
          <w:spacing w:val="-15"/>
          <w:sz w:val="24"/>
        </w:rPr>
        <w:t> </w:t>
      </w:r>
      <w:r>
        <w:rPr>
          <w:i/>
          <w:color w:val="231F20"/>
          <w:sz w:val="24"/>
        </w:rPr>
        <w:t>relazione</w:t>
      </w:r>
      <w:r>
        <w:rPr>
          <w:i/>
          <w:color w:val="231F20"/>
          <w:spacing w:val="-15"/>
          <w:sz w:val="24"/>
        </w:rPr>
        <w:t> </w:t>
      </w:r>
      <w:r>
        <w:rPr>
          <w:i/>
          <w:color w:val="231F20"/>
          <w:sz w:val="24"/>
        </w:rPr>
        <w:t>all’art. 7 CDF, dell’obbligo di comunicazione all’amministrazione dei «meccanismi di</w:t>
      </w:r>
      <w:r>
        <w:rPr>
          <w:i/>
          <w:color w:val="231F20"/>
          <w:spacing w:val="-1"/>
          <w:sz w:val="24"/>
        </w:rPr>
        <w:t> </w:t>
      </w:r>
      <w:r>
        <w:rPr>
          <w:i/>
          <w:color w:val="231F20"/>
          <w:sz w:val="24"/>
        </w:rPr>
        <w:t>pianificazione</w:t>
      </w:r>
      <w:r>
        <w:rPr>
          <w:i/>
          <w:color w:val="231F20"/>
          <w:spacing w:val="-1"/>
          <w:sz w:val="24"/>
        </w:rPr>
        <w:t> </w:t>
      </w:r>
      <w:r>
        <w:rPr>
          <w:i/>
          <w:color w:val="231F20"/>
          <w:sz w:val="24"/>
        </w:rPr>
        <w:t>fiscale</w:t>
      </w:r>
      <w:r>
        <w:rPr>
          <w:i/>
          <w:color w:val="231F20"/>
          <w:spacing w:val="-1"/>
          <w:sz w:val="24"/>
        </w:rPr>
        <w:t> </w:t>
      </w:r>
      <w:r>
        <w:rPr>
          <w:i/>
          <w:color w:val="231F20"/>
          <w:sz w:val="24"/>
        </w:rPr>
        <w:t>aggressiva»</w:t>
      </w:r>
      <w:r>
        <w:rPr>
          <w:i/>
          <w:color w:val="231F20"/>
          <w:spacing w:val="-1"/>
          <w:sz w:val="24"/>
        </w:rPr>
        <w:t> </w:t>
      </w:r>
      <w:r>
        <w:rPr>
          <w:i/>
          <w:color w:val="231F20"/>
          <w:sz w:val="24"/>
        </w:rPr>
        <w:t>-</w:t>
      </w:r>
      <w:r>
        <w:rPr>
          <w:i/>
          <w:color w:val="231F20"/>
          <w:spacing w:val="-1"/>
          <w:sz w:val="24"/>
        </w:rPr>
        <w:t> </w:t>
      </w:r>
      <w:r>
        <w:rPr>
          <w:i/>
          <w:color w:val="231F20"/>
          <w:sz w:val="24"/>
        </w:rPr>
        <w:t>2.6.</w:t>
      </w:r>
      <w:r>
        <w:rPr>
          <w:i/>
          <w:color w:val="231F20"/>
          <w:spacing w:val="-1"/>
          <w:sz w:val="24"/>
        </w:rPr>
        <w:t> </w:t>
      </w:r>
      <w:r>
        <w:rPr>
          <w:i/>
          <w:color w:val="231F20"/>
          <w:sz w:val="24"/>
        </w:rPr>
        <w:t>La</w:t>
      </w:r>
      <w:r>
        <w:rPr>
          <w:i/>
          <w:color w:val="231F20"/>
          <w:spacing w:val="-1"/>
          <w:sz w:val="24"/>
        </w:rPr>
        <w:t> </w:t>
      </w:r>
      <w:r>
        <w:rPr>
          <w:i/>
          <w:color w:val="231F20"/>
          <w:sz w:val="24"/>
        </w:rPr>
        <w:t>sentenza</w:t>
      </w:r>
      <w:r>
        <w:rPr>
          <w:i/>
          <w:color w:val="231F20"/>
          <w:spacing w:val="-1"/>
          <w:sz w:val="24"/>
        </w:rPr>
        <w:t> </w:t>
      </w:r>
      <w:r>
        <w:rPr>
          <w:i/>
          <w:color w:val="231F20"/>
          <w:sz w:val="24"/>
        </w:rPr>
        <w:t>del</w:t>
      </w:r>
      <w:r>
        <w:rPr>
          <w:i/>
          <w:color w:val="231F20"/>
          <w:spacing w:val="-1"/>
          <w:sz w:val="24"/>
        </w:rPr>
        <w:t> </w:t>
      </w:r>
      <w:r>
        <w:rPr>
          <w:i/>
          <w:color w:val="231F20"/>
          <w:sz w:val="24"/>
        </w:rPr>
        <w:t>26</w:t>
      </w:r>
      <w:r>
        <w:rPr>
          <w:i/>
          <w:color w:val="231F20"/>
          <w:spacing w:val="-1"/>
          <w:sz w:val="24"/>
        </w:rPr>
        <w:t> </w:t>
      </w:r>
      <w:r>
        <w:rPr>
          <w:i/>
          <w:color w:val="231F20"/>
          <w:sz w:val="24"/>
        </w:rPr>
        <w:t>settembre</w:t>
      </w:r>
      <w:r>
        <w:rPr>
          <w:i/>
          <w:color w:val="231F20"/>
          <w:spacing w:val="-1"/>
          <w:sz w:val="24"/>
        </w:rPr>
        <w:t> </w:t>
      </w:r>
      <w:r>
        <w:rPr>
          <w:i/>
          <w:color w:val="231F20"/>
          <w:sz w:val="24"/>
        </w:rPr>
        <w:t>2024, C-432/23, (Studio legale) FSCS e Ordine degli avvocati del Lussemburgo contro Amministrazione delle imposte dirette: confermata la tutela del segreto professionale degli avvocati – 2.6.1. Incompatibilità con l’art. 7 della Carta, della norma legislativa lussemburghese che escludeva dalla tutela del segreto professionale</w:t>
      </w:r>
      <w:r>
        <w:rPr>
          <w:i/>
          <w:color w:val="231F20"/>
          <w:spacing w:val="40"/>
          <w:sz w:val="24"/>
        </w:rPr>
        <w:t> </w:t>
      </w:r>
      <w:r>
        <w:rPr>
          <w:i/>
          <w:color w:val="231F20"/>
          <w:sz w:val="24"/>
        </w:rPr>
        <w:t>le</w:t>
      </w:r>
      <w:r>
        <w:rPr>
          <w:i/>
          <w:color w:val="231F20"/>
          <w:spacing w:val="40"/>
          <w:sz w:val="24"/>
        </w:rPr>
        <w:t> </w:t>
      </w:r>
      <w:r>
        <w:rPr>
          <w:i/>
          <w:color w:val="231F20"/>
          <w:sz w:val="24"/>
        </w:rPr>
        <w:t>consulenze</w:t>
      </w:r>
      <w:r>
        <w:rPr>
          <w:i/>
          <w:color w:val="231F20"/>
          <w:spacing w:val="40"/>
          <w:sz w:val="24"/>
        </w:rPr>
        <w:t> </w:t>
      </w:r>
      <w:r>
        <w:rPr>
          <w:i/>
          <w:color w:val="231F20"/>
          <w:sz w:val="24"/>
        </w:rPr>
        <w:t>degli</w:t>
      </w:r>
      <w:r>
        <w:rPr>
          <w:i/>
          <w:color w:val="231F20"/>
          <w:spacing w:val="40"/>
          <w:sz w:val="24"/>
        </w:rPr>
        <w:t> </w:t>
      </w:r>
      <w:r>
        <w:rPr>
          <w:i/>
          <w:color w:val="231F20"/>
          <w:sz w:val="24"/>
        </w:rPr>
        <w:t>avvocati</w:t>
      </w:r>
      <w:r>
        <w:rPr>
          <w:i/>
          <w:color w:val="231F20"/>
          <w:spacing w:val="40"/>
          <w:sz w:val="24"/>
        </w:rPr>
        <w:t> </w:t>
      </w:r>
      <w:r>
        <w:rPr>
          <w:i/>
          <w:color w:val="231F20"/>
          <w:sz w:val="24"/>
        </w:rPr>
        <w:t>nell’ambito</w:t>
      </w:r>
      <w:r>
        <w:rPr>
          <w:i/>
          <w:color w:val="231F20"/>
          <w:spacing w:val="40"/>
          <w:sz w:val="24"/>
        </w:rPr>
        <w:t> </w:t>
      </w:r>
      <w:r>
        <w:rPr>
          <w:i/>
          <w:color w:val="231F20"/>
          <w:sz w:val="24"/>
        </w:rPr>
        <w:t>del</w:t>
      </w:r>
      <w:r>
        <w:rPr>
          <w:i/>
          <w:color w:val="231F20"/>
          <w:spacing w:val="40"/>
          <w:sz w:val="24"/>
        </w:rPr>
        <w:t> </w:t>
      </w:r>
      <w:r>
        <w:rPr>
          <w:i/>
          <w:color w:val="231F20"/>
          <w:sz w:val="24"/>
        </w:rPr>
        <w:t>diritto</w:t>
      </w:r>
      <w:r>
        <w:rPr>
          <w:i/>
          <w:color w:val="231F20"/>
          <w:spacing w:val="40"/>
          <w:sz w:val="24"/>
        </w:rPr>
        <w:t> </w:t>
      </w:r>
      <w:r>
        <w:rPr>
          <w:i/>
          <w:color w:val="231F20"/>
          <w:sz w:val="24"/>
        </w:rPr>
        <w:t>tributario</w:t>
      </w:r>
    </w:p>
    <w:p>
      <w:pPr>
        <w:pStyle w:val="ListParagraph"/>
        <w:numPr>
          <w:ilvl w:val="0"/>
          <w:numId w:val="3"/>
        </w:numPr>
        <w:tabs>
          <w:tab w:pos="321" w:val="left" w:leader="none"/>
        </w:tabs>
        <w:spacing w:line="230" w:lineRule="auto" w:before="0" w:after="0"/>
        <w:ind w:left="157" w:right="118" w:firstLine="0"/>
        <w:jc w:val="both"/>
        <w:rPr>
          <w:i/>
          <w:sz w:val="24"/>
        </w:rPr>
      </w:pPr>
      <w:r>
        <w:rPr>
          <w:i/>
          <w:color w:val="231F20"/>
          <w:sz w:val="24"/>
        </w:rPr>
        <w:t>3. Le sentenze aventi ad oggetto l’interpretazione del regolamento (UE) n.</w:t>
      </w:r>
      <w:r>
        <w:rPr>
          <w:i/>
          <w:color w:val="231F20"/>
          <w:sz w:val="24"/>
        </w:rPr>
        <w:t> </w:t>
      </w:r>
      <w:r>
        <w:rPr>
          <w:i/>
          <w:color w:val="231F20"/>
          <w:spacing w:val="-2"/>
          <w:sz w:val="24"/>
        </w:rPr>
        <w:t>904/2010</w:t>
      </w:r>
      <w:r>
        <w:rPr>
          <w:i/>
          <w:color w:val="231F20"/>
          <w:spacing w:val="-9"/>
          <w:sz w:val="24"/>
        </w:rPr>
        <w:t> </w:t>
      </w:r>
      <w:r>
        <w:rPr>
          <w:i/>
          <w:color w:val="231F20"/>
          <w:spacing w:val="-2"/>
          <w:sz w:val="24"/>
        </w:rPr>
        <w:t>«relativo</w:t>
      </w:r>
      <w:r>
        <w:rPr>
          <w:i/>
          <w:color w:val="231F20"/>
          <w:spacing w:val="-9"/>
          <w:sz w:val="24"/>
        </w:rPr>
        <w:t> </w:t>
      </w:r>
      <w:r>
        <w:rPr>
          <w:i/>
          <w:color w:val="231F20"/>
          <w:spacing w:val="-2"/>
          <w:sz w:val="24"/>
        </w:rPr>
        <w:t>alla</w:t>
      </w:r>
      <w:r>
        <w:rPr>
          <w:i/>
          <w:color w:val="231F20"/>
          <w:spacing w:val="-9"/>
          <w:sz w:val="24"/>
        </w:rPr>
        <w:t> </w:t>
      </w:r>
      <w:r>
        <w:rPr>
          <w:i/>
          <w:color w:val="231F20"/>
          <w:spacing w:val="-2"/>
          <w:sz w:val="24"/>
        </w:rPr>
        <w:t>cooperazione</w:t>
      </w:r>
      <w:r>
        <w:rPr>
          <w:i/>
          <w:color w:val="231F20"/>
          <w:spacing w:val="-9"/>
          <w:sz w:val="24"/>
        </w:rPr>
        <w:t> </w:t>
      </w:r>
      <w:r>
        <w:rPr>
          <w:i/>
          <w:color w:val="231F20"/>
          <w:spacing w:val="-2"/>
          <w:sz w:val="24"/>
        </w:rPr>
        <w:t>amministrativa</w:t>
      </w:r>
      <w:r>
        <w:rPr>
          <w:i/>
          <w:color w:val="231F20"/>
          <w:spacing w:val="-9"/>
          <w:sz w:val="24"/>
        </w:rPr>
        <w:t> </w:t>
      </w:r>
      <w:r>
        <w:rPr>
          <w:i/>
          <w:color w:val="231F20"/>
          <w:spacing w:val="-2"/>
          <w:sz w:val="24"/>
        </w:rPr>
        <w:t>e</w:t>
      </w:r>
      <w:r>
        <w:rPr>
          <w:i/>
          <w:color w:val="231F20"/>
          <w:spacing w:val="-9"/>
          <w:sz w:val="24"/>
        </w:rPr>
        <w:t> </w:t>
      </w:r>
      <w:r>
        <w:rPr>
          <w:i/>
          <w:color w:val="231F20"/>
          <w:spacing w:val="-2"/>
          <w:sz w:val="24"/>
        </w:rPr>
        <w:t>alla</w:t>
      </w:r>
      <w:r>
        <w:rPr>
          <w:i/>
          <w:color w:val="231F20"/>
          <w:spacing w:val="-9"/>
          <w:sz w:val="24"/>
        </w:rPr>
        <w:t> </w:t>
      </w:r>
      <w:r>
        <w:rPr>
          <w:i/>
          <w:color w:val="231F20"/>
          <w:spacing w:val="-2"/>
          <w:sz w:val="24"/>
        </w:rPr>
        <w:t>lotta</w:t>
      </w:r>
      <w:r>
        <w:rPr>
          <w:i/>
          <w:color w:val="231F20"/>
          <w:spacing w:val="-9"/>
          <w:sz w:val="24"/>
        </w:rPr>
        <w:t> </w:t>
      </w:r>
      <w:r>
        <w:rPr>
          <w:i/>
          <w:color w:val="231F20"/>
          <w:spacing w:val="-2"/>
          <w:sz w:val="24"/>
        </w:rPr>
        <w:t>contro</w:t>
      </w:r>
      <w:r>
        <w:rPr>
          <w:i/>
          <w:color w:val="231F20"/>
          <w:spacing w:val="-9"/>
          <w:sz w:val="24"/>
        </w:rPr>
        <w:t> </w:t>
      </w:r>
      <w:r>
        <w:rPr>
          <w:i/>
          <w:color w:val="231F20"/>
          <w:spacing w:val="-2"/>
          <w:sz w:val="24"/>
        </w:rPr>
        <w:t>la</w:t>
      </w:r>
      <w:r>
        <w:rPr>
          <w:i/>
          <w:color w:val="231F20"/>
          <w:spacing w:val="-9"/>
          <w:sz w:val="24"/>
        </w:rPr>
        <w:t> </w:t>
      </w:r>
      <w:r>
        <w:rPr>
          <w:i/>
          <w:color w:val="231F20"/>
          <w:spacing w:val="-2"/>
          <w:sz w:val="24"/>
        </w:rPr>
        <w:t>frode </w:t>
      </w:r>
      <w:r>
        <w:rPr>
          <w:i/>
          <w:color w:val="231F20"/>
          <w:sz w:val="24"/>
        </w:rPr>
        <w:t>in</w:t>
      </w:r>
      <w:r>
        <w:rPr>
          <w:i/>
          <w:color w:val="231F20"/>
          <w:spacing w:val="-3"/>
          <w:sz w:val="24"/>
        </w:rPr>
        <w:t> </w:t>
      </w:r>
      <w:r>
        <w:rPr>
          <w:i/>
          <w:color w:val="231F20"/>
          <w:sz w:val="24"/>
        </w:rPr>
        <w:t>materia</w:t>
      </w:r>
      <w:r>
        <w:rPr>
          <w:i/>
          <w:color w:val="231F20"/>
          <w:spacing w:val="-3"/>
          <w:sz w:val="24"/>
        </w:rPr>
        <w:t> </w:t>
      </w:r>
      <w:r>
        <w:rPr>
          <w:i/>
          <w:color w:val="231F20"/>
          <w:sz w:val="24"/>
        </w:rPr>
        <w:t>di</w:t>
      </w:r>
      <w:r>
        <w:rPr>
          <w:i/>
          <w:color w:val="231F20"/>
          <w:spacing w:val="-3"/>
          <w:sz w:val="24"/>
        </w:rPr>
        <w:t> </w:t>
      </w:r>
      <w:r>
        <w:rPr>
          <w:i/>
          <w:color w:val="231F20"/>
          <w:sz w:val="24"/>
        </w:rPr>
        <w:t>imposta</w:t>
      </w:r>
      <w:r>
        <w:rPr>
          <w:i/>
          <w:color w:val="231F20"/>
          <w:spacing w:val="-3"/>
          <w:sz w:val="24"/>
        </w:rPr>
        <w:t> </w:t>
      </w:r>
      <w:r>
        <w:rPr>
          <w:i/>
          <w:color w:val="231F20"/>
          <w:sz w:val="24"/>
        </w:rPr>
        <w:t>sul</w:t>
      </w:r>
      <w:r>
        <w:rPr>
          <w:i/>
          <w:color w:val="231F20"/>
          <w:spacing w:val="-3"/>
          <w:sz w:val="24"/>
        </w:rPr>
        <w:t> </w:t>
      </w:r>
      <w:r>
        <w:rPr>
          <w:i/>
          <w:color w:val="231F20"/>
          <w:sz w:val="24"/>
        </w:rPr>
        <w:t>valore</w:t>
      </w:r>
      <w:r>
        <w:rPr>
          <w:i/>
          <w:color w:val="231F20"/>
          <w:spacing w:val="-3"/>
          <w:sz w:val="24"/>
        </w:rPr>
        <w:t> </w:t>
      </w:r>
      <w:r>
        <w:rPr>
          <w:i/>
          <w:color w:val="231F20"/>
          <w:sz w:val="24"/>
        </w:rPr>
        <w:t>aggiunto»</w:t>
      </w:r>
      <w:r>
        <w:rPr>
          <w:i/>
          <w:color w:val="231F20"/>
          <w:spacing w:val="-3"/>
          <w:sz w:val="24"/>
        </w:rPr>
        <w:t> </w:t>
      </w:r>
      <w:r>
        <w:rPr>
          <w:i/>
          <w:color w:val="231F20"/>
          <w:sz w:val="24"/>
        </w:rPr>
        <w:t>-</w:t>
      </w:r>
      <w:r>
        <w:rPr>
          <w:i/>
          <w:color w:val="231F20"/>
          <w:spacing w:val="-3"/>
          <w:sz w:val="24"/>
        </w:rPr>
        <w:t> </w:t>
      </w:r>
      <w:r>
        <w:rPr>
          <w:i/>
          <w:color w:val="231F20"/>
          <w:sz w:val="24"/>
        </w:rPr>
        <w:t>3.1.</w:t>
      </w:r>
      <w:r>
        <w:rPr>
          <w:i/>
          <w:color w:val="231F20"/>
          <w:spacing w:val="-3"/>
          <w:sz w:val="24"/>
        </w:rPr>
        <w:t> </w:t>
      </w:r>
      <w:r>
        <w:rPr>
          <w:i/>
          <w:color w:val="231F20"/>
          <w:sz w:val="24"/>
        </w:rPr>
        <w:t>La</w:t>
      </w:r>
      <w:r>
        <w:rPr>
          <w:i/>
          <w:color w:val="231F20"/>
          <w:spacing w:val="-3"/>
          <w:sz w:val="24"/>
        </w:rPr>
        <w:t> </w:t>
      </w:r>
      <w:r>
        <w:rPr>
          <w:i/>
          <w:color w:val="231F20"/>
          <w:sz w:val="24"/>
        </w:rPr>
        <w:t>sentenza</w:t>
      </w:r>
      <w:r>
        <w:rPr>
          <w:i/>
          <w:color w:val="231F20"/>
          <w:spacing w:val="-3"/>
          <w:sz w:val="24"/>
        </w:rPr>
        <w:t> </w:t>
      </w:r>
      <w:r>
        <w:rPr>
          <w:i/>
          <w:color w:val="231F20"/>
          <w:sz w:val="24"/>
        </w:rPr>
        <w:t>del</w:t>
      </w:r>
      <w:r>
        <w:rPr>
          <w:i/>
          <w:color w:val="231F20"/>
          <w:spacing w:val="-3"/>
          <w:sz w:val="24"/>
        </w:rPr>
        <w:t> </w:t>
      </w:r>
      <w:r>
        <w:rPr>
          <w:i/>
          <w:color w:val="231F20"/>
          <w:sz w:val="24"/>
        </w:rPr>
        <w:t>17</w:t>
      </w:r>
      <w:r>
        <w:rPr>
          <w:i/>
          <w:color w:val="231F20"/>
          <w:spacing w:val="-3"/>
          <w:sz w:val="24"/>
        </w:rPr>
        <w:t> </w:t>
      </w:r>
      <w:r>
        <w:rPr>
          <w:i/>
          <w:color w:val="231F20"/>
          <w:sz w:val="24"/>
        </w:rPr>
        <w:t>dicembre 2015,</w:t>
      </w:r>
      <w:r>
        <w:rPr>
          <w:i/>
          <w:color w:val="231F20"/>
          <w:spacing w:val="-15"/>
          <w:sz w:val="24"/>
        </w:rPr>
        <w:t> </w:t>
      </w:r>
      <w:r>
        <w:rPr>
          <w:i/>
          <w:color w:val="231F20"/>
          <w:sz w:val="24"/>
        </w:rPr>
        <w:t>C-419/14,</w:t>
      </w:r>
      <w:r>
        <w:rPr>
          <w:i/>
          <w:color w:val="231F20"/>
          <w:spacing w:val="-15"/>
          <w:sz w:val="24"/>
        </w:rPr>
        <w:t> </w:t>
      </w:r>
      <w:r>
        <w:rPr>
          <w:i/>
          <w:color w:val="231F20"/>
          <w:sz w:val="24"/>
        </w:rPr>
        <w:t>WebMind</w:t>
      </w:r>
      <w:r>
        <w:rPr>
          <w:i/>
          <w:color w:val="231F20"/>
          <w:spacing w:val="-15"/>
          <w:sz w:val="24"/>
        </w:rPr>
        <w:t> </w:t>
      </w:r>
      <w:r>
        <w:rPr>
          <w:i/>
          <w:color w:val="231F20"/>
          <w:sz w:val="24"/>
        </w:rPr>
        <w:t>Licences:</w:t>
      </w:r>
      <w:r>
        <w:rPr>
          <w:i/>
          <w:color w:val="231F20"/>
          <w:spacing w:val="-15"/>
          <w:sz w:val="24"/>
        </w:rPr>
        <w:t> </w:t>
      </w:r>
      <w:r>
        <w:rPr>
          <w:i/>
          <w:color w:val="231F20"/>
          <w:sz w:val="24"/>
        </w:rPr>
        <w:t>in</w:t>
      </w:r>
      <w:r>
        <w:rPr>
          <w:i/>
          <w:color w:val="231F20"/>
          <w:spacing w:val="-15"/>
          <w:sz w:val="24"/>
        </w:rPr>
        <w:t> </w:t>
      </w:r>
      <w:r>
        <w:rPr>
          <w:i/>
          <w:color w:val="231F20"/>
          <w:sz w:val="24"/>
        </w:rPr>
        <w:t>quali</w:t>
      </w:r>
      <w:r>
        <w:rPr>
          <w:i/>
          <w:color w:val="231F20"/>
          <w:spacing w:val="-15"/>
          <w:sz w:val="24"/>
        </w:rPr>
        <w:t> </w:t>
      </w:r>
      <w:r>
        <w:rPr>
          <w:i/>
          <w:color w:val="231F20"/>
          <w:sz w:val="24"/>
        </w:rPr>
        <w:t>casi</w:t>
      </w:r>
      <w:r>
        <w:rPr>
          <w:i/>
          <w:color w:val="231F20"/>
          <w:spacing w:val="-15"/>
          <w:sz w:val="24"/>
        </w:rPr>
        <w:t> </w:t>
      </w:r>
      <w:r>
        <w:rPr>
          <w:i/>
          <w:color w:val="231F20"/>
          <w:sz w:val="24"/>
        </w:rPr>
        <w:t>vi</w:t>
      </w:r>
      <w:r>
        <w:rPr>
          <w:i/>
          <w:color w:val="231F20"/>
          <w:spacing w:val="-15"/>
          <w:sz w:val="24"/>
        </w:rPr>
        <w:t> </w:t>
      </w:r>
      <w:r>
        <w:rPr>
          <w:i/>
          <w:color w:val="231F20"/>
          <w:sz w:val="24"/>
        </w:rPr>
        <w:t>è</w:t>
      </w:r>
      <w:r>
        <w:rPr>
          <w:i/>
          <w:color w:val="231F20"/>
          <w:spacing w:val="-15"/>
          <w:sz w:val="24"/>
        </w:rPr>
        <w:t> </w:t>
      </w:r>
      <w:r>
        <w:rPr>
          <w:i/>
          <w:color w:val="231F20"/>
          <w:sz w:val="24"/>
        </w:rPr>
        <w:t>un</w:t>
      </w:r>
      <w:r>
        <w:rPr>
          <w:i/>
          <w:color w:val="231F20"/>
          <w:spacing w:val="-15"/>
          <w:sz w:val="24"/>
        </w:rPr>
        <w:t> </w:t>
      </w:r>
      <w:r>
        <w:rPr>
          <w:i/>
          <w:color w:val="231F20"/>
          <w:sz w:val="24"/>
        </w:rPr>
        <w:t>obbligo</w:t>
      </w:r>
      <w:r>
        <w:rPr>
          <w:i/>
          <w:color w:val="231F20"/>
          <w:spacing w:val="-15"/>
          <w:sz w:val="24"/>
        </w:rPr>
        <w:t> </w:t>
      </w:r>
      <w:r>
        <w:rPr>
          <w:i/>
          <w:color w:val="231F20"/>
          <w:sz w:val="24"/>
        </w:rPr>
        <w:t>di</w:t>
      </w:r>
      <w:r>
        <w:rPr>
          <w:i/>
          <w:color w:val="231F20"/>
          <w:spacing w:val="-15"/>
          <w:sz w:val="24"/>
        </w:rPr>
        <w:t> </w:t>
      </w:r>
      <w:r>
        <w:rPr>
          <w:i/>
          <w:color w:val="231F20"/>
          <w:sz w:val="24"/>
        </w:rPr>
        <w:t>richiedere informazioni</w:t>
      </w:r>
      <w:r>
        <w:rPr>
          <w:i/>
          <w:color w:val="231F20"/>
          <w:spacing w:val="-17"/>
          <w:sz w:val="24"/>
        </w:rPr>
        <w:t> </w:t>
      </w:r>
      <w:r>
        <w:rPr>
          <w:i/>
          <w:color w:val="231F20"/>
          <w:sz w:val="24"/>
        </w:rPr>
        <w:t>all’amministrazione</w:t>
      </w:r>
      <w:r>
        <w:rPr>
          <w:i/>
          <w:color w:val="231F20"/>
          <w:spacing w:val="-15"/>
          <w:sz w:val="24"/>
        </w:rPr>
        <w:t> </w:t>
      </w:r>
      <w:r>
        <w:rPr>
          <w:i/>
          <w:color w:val="231F20"/>
          <w:sz w:val="24"/>
        </w:rPr>
        <w:t>di</w:t>
      </w:r>
      <w:r>
        <w:rPr>
          <w:i/>
          <w:color w:val="231F20"/>
          <w:spacing w:val="-15"/>
          <w:sz w:val="24"/>
        </w:rPr>
        <w:t> </w:t>
      </w:r>
      <w:r>
        <w:rPr>
          <w:i/>
          <w:color w:val="231F20"/>
          <w:sz w:val="24"/>
        </w:rPr>
        <w:t>un</w:t>
      </w:r>
      <w:r>
        <w:rPr>
          <w:i/>
          <w:color w:val="231F20"/>
          <w:spacing w:val="-15"/>
          <w:sz w:val="24"/>
        </w:rPr>
        <w:t> </w:t>
      </w:r>
      <w:r>
        <w:rPr>
          <w:i/>
          <w:color w:val="231F20"/>
          <w:sz w:val="24"/>
        </w:rPr>
        <w:t>altro</w:t>
      </w:r>
      <w:r>
        <w:rPr>
          <w:i/>
          <w:color w:val="231F20"/>
          <w:spacing w:val="-15"/>
          <w:sz w:val="24"/>
        </w:rPr>
        <w:t> </w:t>
      </w:r>
      <w:r>
        <w:rPr>
          <w:i/>
          <w:color w:val="231F20"/>
          <w:sz w:val="24"/>
        </w:rPr>
        <w:t>Stato</w:t>
      </w:r>
      <w:r>
        <w:rPr>
          <w:i/>
          <w:color w:val="231F20"/>
          <w:spacing w:val="-15"/>
          <w:sz w:val="24"/>
        </w:rPr>
        <w:t> </w:t>
      </w:r>
      <w:r>
        <w:rPr>
          <w:i/>
          <w:color w:val="231F20"/>
          <w:sz w:val="24"/>
        </w:rPr>
        <w:t>membro</w:t>
      </w:r>
      <w:r>
        <w:rPr>
          <w:i/>
          <w:color w:val="231F20"/>
          <w:spacing w:val="-15"/>
          <w:sz w:val="24"/>
        </w:rPr>
        <w:t> </w:t>
      </w:r>
      <w:r>
        <w:rPr>
          <w:i/>
          <w:color w:val="231F20"/>
          <w:sz w:val="24"/>
        </w:rPr>
        <w:t>–</w:t>
      </w:r>
      <w:r>
        <w:rPr>
          <w:i/>
          <w:color w:val="231F20"/>
          <w:spacing w:val="-15"/>
          <w:sz w:val="24"/>
        </w:rPr>
        <w:t> </w:t>
      </w:r>
      <w:r>
        <w:rPr>
          <w:i/>
          <w:color w:val="231F20"/>
          <w:sz w:val="24"/>
        </w:rPr>
        <w:t>3.2.</w:t>
      </w:r>
      <w:r>
        <w:rPr>
          <w:i/>
          <w:color w:val="231F20"/>
          <w:spacing w:val="-15"/>
          <w:sz w:val="24"/>
        </w:rPr>
        <w:t> </w:t>
      </w:r>
      <w:r>
        <w:rPr>
          <w:i/>
          <w:color w:val="231F20"/>
          <w:sz w:val="24"/>
        </w:rPr>
        <w:t>La</w:t>
      </w:r>
      <w:r>
        <w:rPr>
          <w:i/>
          <w:color w:val="231F20"/>
          <w:spacing w:val="-15"/>
          <w:sz w:val="24"/>
        </w:rPr>
        <w:t> </w:t>
      </w:r>
      <w:r>
        <w:rPr>
          <w:i/>
          <w:color w:val="231F20"/>
          <w:sz w:val="24"/>
        </w:rPr>
        <w:t>sentenza del 20 giugno 2018, C-108/17, Enteco Baltic: inesistenza di un obbligo di richiedere informazioni al fine di accertare i presupposti di un’esenzione IVA</w:t>
      </w:r>
    </w:p>
    <w:p>
      <w:pPr>
        <w:spacing w:after="0" w:line="230" w:lineRule="auto"/>
        <w:jc w:val="both"/>
        <w:rPr>
          <w:sz w:val="24"/>
        </w:rPr>
        <w:sectPr>
          <w:pgSz w:w="9640" w:h="13610"/>
          <w:pgMar w:header="0" w:footer="625" w:top="1260" w:bottom="820" w:left="1260" w:right="1240"/>
        </w:sectPr>
      </w:pPr>
    </w:p>
    <w:p>
      <w:pPr>
        <w:spacing w:line="230" w:lineRule="auto" w:before="113"/>
        <w:ind w:left="100" w:right="176" w:firstLine="0"/>
        <w:jc w:val="both"/>
        <w:rPr>
          <w:i/>
          <w:sz w:val="24"/>
        </w:rPr>
      </w:pPr>
      <w:r>
        <w:rPr>
          <w:i/>
          <w:color w:val="231F20"/>
          <w:sz w:val="24"/>
        </w:rPr>
        <w:t>all’importazione – 3.3. La sentenza del 18 giugno 2020, C-276/18, KrakVet</w:t>
      </w:r>
      <w:r>
        <w:rPr>
          <w:i/>
          <w:color w:val="231F20"/>
          <w:sz w:val="24"/>
        </w:rPr>
        <w:t> </w:t>
      </w:r>
      <w:r>
        <w:rPr>
          <w:i/>
          <w:color w:val="231F20"/>
          <w:spacing w:val="-4"/>
          <w:sz w:val="24"/>
        </w:rPr>
        <w:t>Marek</w:t>
      </w:r>
      <w:r>
        <w:rPr>
          <w:i/>
          <w:color w:val="231F20"/>
          <w:spacing w:val="-5"/>
          <w:sz w:val="24"/>
        </w:rPr>
        <w:t> </w:t>
      </w:r>
      <w:r>
        <w:rPr>
          <w:i/>
          <w:color w:val="231F20"/>
          <w:spacing w:val="-4"/>
          <w:sz w:val="24"/>
        </w:rPr>
        <w:t>Batko</w:t>
      </w:r>
      <w:r>
        <w:rPr>
          <w:i/>
          <w:color w:val="231F20"/>
          <w:spacing w:val="-5"/>
          <w:sz w:val="24"/>
        </w:rPr>
        <w:t> </w:t>
      </w:r>
      <w:r>
        <w:rPr>
          <w:i/>
          <w:color w:val="231F20"/>
          <w:spacing w:val="-4"/>
          <w:sz w:val="24"/>
        </w:rPr>
        <w:t>–</w:t>
      </w:r>
      <w:r>
        <w:rPr>
          <w:i/>
          <w:color w:val="231F20"/>
          <w:spacing w:val="-5"/>
          <w:sz w:val="24"/>
        </w:rPr>
        <w:t> </w:t>
      </w:r>
      <w:r>
        <w:rPr>
          <w:i/>
          <w:color w:val="231F20"/>
          <w:spacing w:val="-4"/>
          <w:sz w:val="24"/>
        </w:rPr>
        <w:t>3.3.1.</w:t>
      </w:r>
      <w:r>
        <w:rPr>
          <w:i/>
          <w:color w:val="231F20"/>
          <w:spacing w:val="-5"/>
          <w:sz w:val="24"/>
        </w:rPr>
        <w:t> </w:t>
      </w:r>
      <w:r>
        <w:rPr>
          <w:i/>
          <w:color w:val="231F20"/>
          <w:spacing w:val="-4"/>
          <w:sz w:val="24"/>
        </w:rPr>
        <w:t>Il</w:t>
      </w:r>
      <w:r>
        <w:rPr>
          <w:i/>
          <w:color w:val="231F20"/>
          <w:spacing w:val="-5"/>
          <w:sz w:val="24"/>
        </w:rPr>
        <w:t> </w:t>
      </w:r>
      <w:r>
        <w:rPr>
          <w:i/>
          <w:color w:val="231F20"/>
          <w:spacing w:val="-4"/>
          <w:sz w:val="24"/>
        </w:rPr>
        <w:t>dovere</w:t>
      </w:r>
      <w:r>
        <w:rPr>
          <w:i/>
          <w:color w:val="231F20"/>
          <w:spacing w:val="-5"/>
          <w:sz w:val="24"/>
        </w:rPr>
        <w:t> </w:t>
      </w:r>
      <w:r>
        <w:rPr>
          <w:i/>
          <w:color w:val="231F20"/>
          <w:spacing w:val="-4"/>
          <w:sz w:val="24"/>
        </w:rPr>
        <w:t>di</w:t>
      </w:r>
      <w:r>
        <w:rPr>
          <w:i/>
          <w:color w:val="231F20"/>
          <w:spacing w:val="-5"/>
          <w:sz w:val="24"/>
        </w:rPr>
        <w:t> </w:t>
      </w:r>
      <w:r>
        <w:rPr>
          <w:i/>
          <w:color w:val="231F20"/>
          <w:spacing w:val="-4"/>
          <w:sz w:val="24"/>
        </w:rPr>
        <w:t>cooperazione</w:t>
      </w:r>
      <w:r>
        <w:rPr>
          <w:i/>
          <w:color w:val="231F20"/>
          <w:spacing w:val="-5"/>
          <w:sz w:val="24"/>
        </w:rPr>
        <w:t> </w:t>
      </w:r>
      <w:r>
        <w:rPr>
          <w:i/>
          <w:color w:val="231F20"/>
          <w:spacing w:val="-4"/>
          <w:sz w:val="24"/>
        </w:rPr>
        <w:t>fra</w:t>
      </w:r>
      <w:r>
        <w:rPr>
          <w:i/>
          <w:color w:val="231F20"/>
          <w:spacing w:val="-5"/>
          <w:sz w:val="24"/>
        </w:rPr>
        <w:t> </w:t>
      </w:r>
      <w:r>
        <w:rPr>
          <w:i/>
          <w:color w:val="231F20"/>
          <w:spacing w:val="-4"/>
          <w:sz w:val="24"/>
        </w:rPr>
        <w:t>amministrazioni</w:t>
      </w:r>
      <w:r>
        <w:rPr>
          <w:i/>
          <w:color w:val="231F20"/>
          <w:spacing w:val="-5"/>
          <w:sz w:val="24"/>
        </w:rPr>
        <w:t> </w:t>
      </w:r>
      <w:r>
        <w:rPr>
          <w:i/>
          <w:color w:val="231F20"/>
          <w:spacing w:val="-4"/>
          <w:sz w:val="24"/>
        </w:rPr>
        <w:t>non</w:t>
      </w:r>
      <w:r>
        <w:rPr>
          <w:i/>
          <w:color w:val="231F20"/>
          <w:spacing w:val="-5"/>
          <w:sz w:val="24"/>
        </w:rPr>
        <w:t> </w:t>
      </w:r>
      <w:r>
        <w:rPr>
          <w:i/>
          <w:color w:val="231F20"/>
          <w:spacing w:val="-4"/>
          <w:sz w:val="24"/>
        </w:rPr>
        <w:t>include </w:t>
      </w:r>
      <w:r>
        <w:rPr>
          <w:i/>
          <w:color w:val="231F20"/>
          <w:spacing w:val="-2"/>
          <w:sz w:val="24"/>
        </w:rPr>
        <w:t>l’obbligo</w:t>
      </w:r>
      <w:r>
        <w:rPr>
          <w:i/>
          <w:color w:val="231F20"/>
          <w:spacing w:val="-28"/>
          <w:sz w:val="24"/>
        </w:rPr>
        <w:t> </w:t>
      </w:r>
      <w:r>
        <w:rPr>
          <w:i/>
          <w:color w:val="231F20"/>
          <w:spacing w:val="-2"/>
          <w:sz w:val="24"/>
        </w:rPr>
        <w:t>di</w:t>
      </w:r>
      <w:r>
        <w:rPr>
          <w:i/>
          <w:color w:val="231F20"/>
          <w:spacing w:val="-28"/>
          <w:sz w:val="24"/>
        </w:rPr>
        <w:t> </w:t>
      </w:r>
      <w:r>
        <w:rPr>
          <w:i/>
          <w:color w:val="231F20"/>
          <w:spacing w:val="-2"/>
          <w:sz w:val="24"/>
        </w:rPr>
        <w:t>evitare</w:t>
      </w:r>
      <w:r>
        <w:rPr>
          <w:i/>
          <w:color w:val="231F20"/>
          <w:spacing w:val="-28"/>
          <w:sz w:val="24"/>
        </w:rPr>
        <w:t> </w:t>
      </w:r>
      <w:r>
        <w:rPr>
          <w:i/>
          <w:color w:val="231F20"/>
          <w:spacing w:val="-2"/>
          <w:sz w:val="24"/>
        </w:rPr>
        <w:t>una</w:t>
      </w:r>
      <w:r>
        <w:rPr>
          <w:i/>
          <w:color w:val="231F20"/>
          <w:spacing w:val="-28"/>
          <w:sz w:val="24"/>
        </w:rPr>
        <w:t> </w:t>
      </w:r>
      <w:r>
        <w:rPr>
          <w:i/>
          <w:color w:val="231F20"/>
          <w:spacing w:val="-2"/>
          <w:sz w:val="24"/>
        </w:rPr>
        <w:t>doppia</w:t>
      </w:r>
      <w:r>
        <w:rPr>
          <w:i/>
          <w:color w:val="231F20"/>
          <w:spacing w:val="-28"/>
          <w:sz w:val="24"/>
        </w:rPr>
        <w:t> </w:t>
      </w:r>
      <w:r>
        <w:rPr>
          <w:i/>
          <w:color w:val="231F20"/>
          <w:spacing w:val="-2"/>
          <w:sz w:val="24"/>
        </w:rPr>
        <w:t>imposizione</w:t>
      </w:r>
      <w:r>
        <w:rPr>
          <w:i/>
          <w:color w:val="231F20"/>
          <w:spacing w:val="-28"/>
          <w:sz w:val="24"/>
        </w:rPr>
        <w:t> </w:t>
      </w:r>
      <w:r>
        <w:rPr>
          <w:i/>
          <w:color w:val="231F20"/>
          <w:spacing w:val="-2"/>
          <w:sz w:val="24"/>
        </w:rPr>
        <w:t>IVA</w:t>
      </w:r>
      <w:r>
        <w:rPr>
          <w:i/>
          <w:color w:val="231F20"/>
          <w:spacing w:val="-28"/>
          <w:sz w:val="24"/>
        </w:rPr>
        <w:t> </w:t>
      </w:r>
      <w:r>
        <w:rPr>
          <w:i/>
          <w:color w:val="231F20"/>
          <w:spacing w:val="-2"/>
          <w:sz w:val="24"/>
        </w:rPr>
        <w:t>della</w:t>
      </w:r>
      <w:r>
        <w:rPr>
          <w:i/>
          <w:color w:val="231F20"/>
          <w:spacing w:val="-28"/>
          <w:sz w:val="24"/>
        </w:rPr>
        <w:t> </w:t>
      </w:r>
      <w:r>
        <w:rPr>
          <w:i/>
          <w:color w:val="231F20"/>
          <w:spacing w:val="-2"/>
          <w:sz w:val="24"/>
        </w:rPr>
        <w:t>stessa</w:t>
      </w:r>
      <w:r>
        <w:rPr>
          <w:i/>
          <w:color w:val="231F20"/>
          <w:spacing w:val="-28"/>
          <w:sz w:val="24"/>
        </w:rPr>
        <w:t> </w:t>
      </w:r>
      <w:r>
        <w:rPr>
          <w:i/>
          <w:color w:val="231F20"/>
          <w:spacing w:val="-2"/>
          <w:sz w:val="24"/>
        </w:rPr>
        <w:t>operazione</w:t>
      </w:r>
      <w:r>
        <w:rPr>
          <w:i/>
          <w:color w:val="231F20"/>
          <w:spacing w:val="-28"/>
          <w:sz w:val="24"/>
        </w:rPr>
        <w:t> </w:t>
      </w:r>
      <w:r>
        <w:rPr>
          <w:i/>
          <w:color w:val="231F20"/>
          <w:spacing w:val="-2"/>
          <w:sz w:val="24"/>
        </w:rPr>
        <w:t>imponibile</w:t>
      </w:r>
    </w:p>
    <w:p>
      <w:pPr>
        <w:pStyle w:val="ListParagraph"/>
        <w:numPr>
          <w:ilvl w:val="0"/>
          <w:numId w:val="3"/>
        </w:numPr>
        <w:tabs>
          <w:tab w:pos="254" w:val="left" w:leader="none"/>
        </w:tabs>
        <w:spacing w:line="230" w:lineRule="auto" w:before="0" w:after="0"/>
        <w:ind w:left="100" w:right="174" w:firstLine="0"/>
        <w:jc w:val="both"/>
        <w:rPr>
          <w:i/>
          <w:sz w:val="24"/>
        </w:rPr>
      </w:pPr>
      <w:r>
        <w:rPr>
          <w:i/>
          <w:color w:val="231F20"/>
          <w:sz w:val="24"/>
        </w:rPr>
        <w:t>3.4. La sentenza del 30 settembre 2021, C-186/20, Hydina SK - 3.4.1. Il</w:t>
      </w:r>
      <w:r>
        <w:rPr>
          <w:i/>
          <w:color w:val="231F20"/>
          <w:sz w:val="24"/>
        </w:rPr>
        <w:t> superamento del termine di tre mesi per la comunicazione delle informazioni </w:t>
      </w:r>
      <w:r>
        <w:rPr>
          <w:i/>
          <w:color w:val="231F20"/>
          <w:spacing w:val="-2"/>
          <w:sz w:val="24"/>
        </w:rPr>
        <w:t>all’autorità</w:t>
      </w:r>
      <w:r>
        <w:rPr>
          <w:i/>
          <w:color w:val="231F20"/>
          <w:spacing w:val="-8"/>
          <w:sz w:val="24"/>
        </w:rPr>
        <w:t> </w:t>
      </w:r>
      <w:r>
        <w:rPr>
          <w:i/>
          <w:color w:val="231F20"/>
          <w:spacing w:val="-2"/>
          <w:sz w:val="24"/>
        </w:rPr>
        <w:t>richiedente</w:t>
      </w:r>
      <w:r>
        <w:rPr>
          <w:i/>
          <w:color w:val="231F20"/>
          <w:spacing w:val="-8"/>
          <w:sz w:val="24"/>
        </w:rPr>
        <w:t> </w:t>
      </w:r>
      <w:r>
        <w:rPr>
          <w:i/>
          <w:color w:val="231F20"/>
          <w:spacing w:val="-2"/>
          <w:sz w:val="24"/>
        </w:rPr>
        <w:t>non</w:t>
      </w:r>
      <w:r>
        <w:rPr>
          <w:i/>
          <w:color w:val="231F20"/>
          <w:spacing w:val="-8"/>
          <w:sz w:val="24"/>
        </w:rPr>
        <w:t> </w:t>
      </w:r>
      <w:r>
        <w:rPr>
          <w:i/>
          <w:color w:val="231F20"/>
          <w:spacing w:val="-2"/>
          <w:sz w:val="24"/>
        </w:rPr>
        <w:t>ha</w:t>
      </w:r>
      <w:r>
        <w:rPr>
          <w:i/>
          <w:color w:val="231F20"/>
          <w:spacing w:val="-8"/>
          <w:sz w:val="24"/>
        </w:rPr>
        <w:t> </w:t>
      </w:r>
      <w:r>
        <w:rPr>
          <w:i/>
          <w:color w:val="231F20"/>
          <w:spacing w:val="-2"/>
          <w:sz w:val="24"/>
        </w:rPr>
        <w:t>conseguenze</w:t>
      </w:r>
      <w:r>
        <w:rPr>
          <w:i/>
          <w:color w:val="231F20"/>
          <w:spacing w:val="-8"/>
          <w:sz w:val="24"/>
        </w:rPr>
        <w:t> </w:t>
      </w:r>
      <w:r>
        <w:rPr>
          <w:i/>
          <w:color w:val="231F20"/>
          <w:spacing w:val="-2"/>
          <w:sz w:val="24"/>
        </w:rPr>
        <w:t>giuridiche</w:t>
      </w:r>
      <w:r>
        <w:rPr>
          <w:i/>
          <w:color w:val="231F20"/>
          <w:spacing w:val="-8"/>
          <w:sz w:val="24"/>
        </w:rPr>
        <w:t> </w:t>
      </w:r>
      <w:r>
        <w:rPr>
          <w:i/>
          <w:color w:val="231F20"/>
          <w:spacing w:val="-2"/>
          <w:sz w:val="24"/>
        </w:rPr>
        <w:t>-</w:t>
      </w:r>
      <w:r>
        <w:rPr>
          <w:i/>
          <w:color w:val="231F20"/>
          <w:spacing w:val="-8"/>
          <w:sz w:val="24"/>
        </w:rPr>
        <w:t> </w:t>
      </w:r>
      <w:r>
        <w:rPr>
          <w:i/>
          <w:color w:val="231F20"/>
          <w:spacing w:val="-2"/>
          <w:sz w:val="24"/>
        </w:rPr>
        <w:t>4.</w:t>
      </w:r>
      <w:r>
        <w:rPr>
          <w:i/>
          <w:color w:val="231F20"/>
          <w:spacing w:val="-8"/>
          <w:sz w:val="24"/>
        </w:rPr>
        <w:t> </w:t>
      </w:r>
      <w:r>
        <w:rPr>
          <w:i/>
          <w:color w:val="231F20"/>
          <w:spacing w:val="-2"/>
          <w:sz w:val="24"/>
        </w:rPr>
        <w:t>Le</w:t>
      </w:r>
      <w:r>
        <w:rPr>
          <w:i/>
          <w:color w:val="231F20"/>
          <w:spacing w:val="-8"/>
          <w:sz w:val="24"/>
        </w:rPr>
        <w:t> </w:t>
      </w:r>
      <w:r>
        <w:rPr>
          <w:i/>
          <w:color w:val="231F20"/>
          <w:spacing w:val="-2"/>
          <w:sz w:val="24"/>
        </w:rPr>
        <w:t>sentenze</w:t>
      </w:r>
      <w:r>
        <w:rPr>
          <w:i/>
          <w:color w:val="231F20"/>
          <w:spacing w:val="-8"/>
          <w:sz w:val="24"/>
        </w:rPr>
        <w:t> </w:t>
      </w:r>
      <w:r>
        <w:rPr>
          <w:i/>
          <w:color w:val="231F20"/>
          <w:spacing w:val="-2"/>
          <w:sz w:val="24"/>
        </w:rPr>
        <w:t>aventi</w:t>
      </w:r>
      <w:r>
        <w:rPr>
          <w:i/>
          <w:color w:val="231F20"/>
          <w:spacing w:val="-8"/>
          <w:sz w:val="24"/>
        </w:rPr>
        <w:t> </w:t>
      </w:r>
      <w:r>
        <w:rPr>
          <w:i/>
          <w:color w:val="231F20"/>
          <w:spacing w:val="-2"/>
          <w:sz w:val="24"/>
        </w:rPr>
        <w:t>ad </w:t>
      </w:r>
      <w:r>
        <w:rPr>
          <w:i/>
          <w:color w:val="231F20"/>
          <w:sz w:val="24"/>
        </w:rPr>
        <w:t>oggetto l’interpretazione della direttiva 2010/24/UE «sull’assistenza reciproca in materia di recupero di crediti risultanti da dazi, imposte ed altre misure» -</w:t>
      </w:r>
    </w:p>
    <w:p>
      <w:pPr>
        <w:spacing w:line="230" w:lineRule="auto" w:before="0"/>
        <w:ind w:left="100" w:right="174" w:firstLine="0"/>
        <w:jc w:val="both"/>
        <w:rPr>
          <w:i/>
          <w:sz w:val="24"/>
        </w:rPr>
      </w:pPr>
      <w:r>
        <w:rPr>
          <w:i/>
          <w:color w:val="231F20"/>
          <w:sz w:val="24"/>
        </w:rPr>
        <w:t>4.1.</w:t>
      </w:r>
      <w:r>
        <w:rPr>
          <w:i/>
          <w:color w:val="231F20"/>
          <w:spacing w:val="-6"/>
          <w:sz w:val="24"/>
        </w:rPr>
        <w:t> </w:t>
      </w:r>
      <w:r>
        <w:rPr>
          <w:i/>
          <w:color w:val="231F20"/>
          <w:sz w:val="24"/>
        </w:rPr>
        <w:t>La</w:t>
      </w:r>
      <w:r>
        <w:rPr>
          <w:i/>
          <w:color w:val="231F20"/>
          <w:spacing w:val="-6"/>
          <w:sz w:val="24"/>
        </w:rPr>
        <w:t> </w:t>
      </w:r>
      <w:r>
        <w:rPr>
          <w:i/>
          <w:color w:val="231F20"/>
          <w:sz w:val="24"/>
        </w:rPr>
        <w:t>sentenza</w:t>
      </w:r>
      <w:r>
        <w:rPr>
          <w:i/>
          <w:color w:val="231F20"/>
          <w:spacing w:val="-6"/>
          <w:sz w:val="24"/>
        </w:rPr>
        <w:t> </w:t>
      </w:r>
      <w:r>
        <w:rPr>
          <w:i/>
          <w:color w:val="231F20"/>
          <w:sz w:val="24"/>
        </w:rPr>
        <w:t>del</w:t>
      </w:r>
      <w:r>
        <w:rPr>
          <w:i/>
          <w:color w:val="231F20"/>
          <w:spacing w:val="-6"/>
          <w:sz w:val="24"/>
        </w:rPr>
        <w:t> </w:t>
      </w:r>
      <w:r>
        <w:rPr>
          <w:i/>
          <w:color w:val="231F20"/>
          <w:sz w:val="24"/>
        </w:rPr>
        <w:t>26</w:t>
      </w:r>
      <w:r>
        <w:rPr>
          <w:i/>
          <w:color w:val="231F20"/>
          <w:spacing w:val="-6"/>
          <w:sz w:val="24"/>
        </w:rPr>
        <w:t> </w:t>
      </w:r>
      <w:r>
        <w:rPr>
          <w:i/>
          <w:color w:val="231F20"/>
          <w:sz w:val="24"/>
        </w:rPr>
        <w:t>aprile</w:t>
      </w:r>
      <w:r>
        <w:rPr>
          <w:i/>
          <w:color w:val="231F20"/>
          <w:spacing w:val="-6"/>
          <w:sz w:val="24"/>
        </w:rPr>
        <w:t> </w:t>
      </w:r>
      <w:r>
        <w:rPr>
          <w:i/>
          <w:color w:val="231F20"/>
          <w:sz w:val="24"/>
        </w:rPr>
        <w:t>2018,</w:t>
      </w:r>
      <w:r>
        <w:rPr>
          <w:i/>
          <w:color w:val="231F20"/>
          <w:spacing w:val="-6"/>
          <w:sz w:val="24"/>
        </w:rPr>
        <w:t> </w:t>
      </w:r>
      <w:r>
        <w:rPr>
          <w:i/>
          <w:color w:val="231F20"/>
          <w:sz w:val="24"/>
        </w:rPr>
        <w:t>C-34/17,</w:t>
      </w:r>
      <w:r>
        <w:rPr>
          <w:i/>
          <w:color w:val="231F20"/>
          <w:spacing w:val="-6"/>
          <w:sz w:val="24"/>
        </w:rPr>
        <w:t> </w:t>
      </w:r>
      <w:r>
        <w:rPr>
          <w:i/>
          <w:color w:val="231F20"/>
          <w:sz w:val="24"/>
        </w:rPr>
        <w:t>Donnellan</w:t>
      </w:r>
      <w:r>
        <w:rPr>
          <w:i/>
          <w:color w:val="231F20"/>
          <w:spacing w:val="-6"/>
          <w:sz w:val="24"/>
        </w:rPr>
        <w:t> </w:t>
      </w:r>
      <w:r>
        <w:rPr>
          <w:i/>
          <w:color w:val="231F20"/>
          <w:sz w:val="24"/>
        </w:rPr>
        <w:t>–</w:t>
      </w:r>
      <w:r>
        <w:rPr>
          <w:i/>
          <w:color w:val="231F20"/>
          <w:spacing w:val="-6"/>
          <w:sz w:val="24"/>
        </w:rPr>
        <w:t> </w:t>
      </w:r>
      <w:r>
        <w:rPr>
          <w:i/>
          <w:color w:val="231F20"/>
          <w:sz w:val="24"/>
        </w:rPr>
        <w:t>4.1.1.</w:t>
      </w:r>
      <w:r>
        <w:rPr>
          <w:i/>
          <w:color w:val="231F20"/>
          <w:spacing w:val="-6"/>
          <w:sz w:val="24"/>
        </w:rPr>
        <w:t> </w:t>
      </w:r>
      <w:r>
        <w:rPr>
          <w:i/>
          <w:color w:val="231F20"/>
          <w:sz w:val="24"/>
        </w:rPr>
        <w:t>Liceità</w:t>
      </w:r>
      <w:r>
        <w:rPr>
          <w:i/>
          <w:color w:val="231F20"/>
          <w:spacing w:val="-6"/>
          <w:sz w:val="24"/>
        </w:rPr>
        <w:t> </w:t>
      </w:r>
      <w:r>
        <w:rPr>
          <w:i/>
          <w:color w:val="231F20"/>
          <w:sz w:val="24"/>
        </w:rPr>
        <w:t>del</w:t>
      </w:r>
      <w:r>
        <w:rPr>
          <w:i/>
          <w:color w:val="231F20"/>
          <w:sz w:val="24"/>
        </w:rPr>
        <w:t> rifiuto</w:t>
      </w:r>
      <w:r>
        <w:rPr>
          <w:i/>
          <w:color w:val="231F20"/>
          <w:spacing w:val="-15"/>
          <w:sz w:val="24"/>
        </w:rPr>
        <w:t> </w:t>
      </w:r>
      <w:r>
        <w:rPr>
          <w:i/>
          <w:color w:val="231F20"/>
          <w:sz w:val="24"/>
        </w:rPr>
        <w:t>di</w:t>
      </w:r>
      <w:r>
        <w:rPr>
          <w:i/>
          <w:color w:val="231F20"/>
          <w:spacing w:val="-15"/>
          <w:sz w:val="24"/>
        </w:rPr>
        <w:t> </w:t>
      </w:r>
      <w:r>
        <w:rPr>
          <w:i/>
          <w:color w:val="231F20"/>
          <w:sz w:val="24"/>
        </w:rPr>
        <w:t>eseguire</w:t>
      </w:r>
      <w:r>
        <w:rPr>
          <w:i/>
          <w:color w:val="231F20"/>
          <w:spacing w:val="-15"/>
          <w:sz w:val="24"/>
        </w:rPr>
        <w:t> </w:t>
      </w:r>
      <w:r>
        <w:rPr>
          <w:i/>
          <w:color w:val="231F20"/>
          <w:sz w:val="24"/>
        </w:rPr>
        <w:t>una</w:t>
      </w:r>
      <w:r>
        <w:rPr>
          <w:i/>
          <w:color w:val="231F20"/>
          <w:spacing w:val="-15"/>
          <w:sz w:val="24"/>
        </w:rPr>
        <w:t> </w:t>
      </w:r>
      <w:r>
        <w:rPr>
          <w:i/>
          <w:color w:val="231F20"/>
          <w:sz w:val="24"/>
        </w:rPr>
        <w:t>domanda</w:t>
      </w:r>
      <w:r>
        <w:rPr>
          <w:i/>
          <w:color w:val="231F20"/>
          <w:spacing w:val="-15"/>
          <w:sz w:val="24"/>
        </w:rPr>
        <w:t> </w:t>
      </w:r>
      <w:r>
        <w:rPr>
          <w:i/>
          <w:color w:val="231F20"/>
          <w:sz w:val="24"/>
        </w:rPr>
        <w:t>di</w:t>
      </w:r>
      <w:r>
        <w:rPr>
          <w:i/>
          <w:color w:val="231F20"/>
          <w:spacing w:val="-15"/>
          <w:sz w:val="24"/>
        </w:rPr>
        <w:t> </w:t>
      </w:r>
      <w:r>
        <w:rPr>
          <w:i/>
          <w:color w:val="231F20"/>
          <w:sz w:val="24"/>
        </w:rPr>
        <w:t>recupero</w:t>
      </w:r>
      <w:r>
        <w:rPr>
          <w:i/>
          <w:color w:val="231F20"/>
          <w:spacing w:val="-15"/>
          <w:sz w:val="24"/>
        </w:rPr>
        <w:t> </w:t>
      </w:r>
      <w:r>
        <w:rPr>
          <w:i/>
          <w:color w:val="231F20"/>
          <w:sz w:val="24"/>
        </w:rPr>
        <w:t>di</w:t>
      </w:r>
      <w:r>
        <w:rPr>
          <w:i/>
          <w:color w:val="231F20"/>
          <w:spacing w:val="-15"/>
          <w:sz w:val="24"/>
        </w:rPr>
        <w:t> </w:t>
      </w:r>
      <w:r>
        <w:rPr>
          <w:i/>
          <w:color w:val="231F20"/>
          <w:sz w:val="24"/>
        </w:rPr>
        <w:t>un</w:t>
      </w:r>
      <w:r>
        <w:rPr>
          <w:i/>
          <w:color w:val="231F20"/>
          <w:spacing w:val="-15"/>
          <w:sz w:val="24"/>
        </w:rPr>
        <w:t> </w:t>
      </w:r>
      <w:r>
        <w:rPr>
          <w:i/>
          <w:color w:val="231F20"/>
          <w:sz w:val="24"/>
        </w:rPr>
        <w:t>credito</w:t>
      </w:r>
      <w:r>
        <w:rPr>
          <w:i/>
          <w:color w:val="231F20"/>
          <w:spacing w:val="-15"/>
          <w:sz w:val="24"/>
        </w:rPr>
        <w:t> </w:t>
      </w:r>
      <w:r>
        <w:rPr>
          <w:i/>
          <w:color w:val="231F20"/>
          <w:sz w:val="24"/>
        </w:rPr>
        <w:t>tributario</w:t>
      </w:r>
      <w:r>
        <w:rPr>
          <w:i/>
          <w:color w:val="231F20"/>
          <w:spacing w:val="-15"/>
          <w:sz w:val="24"/>
        </w:rPr>
        <w:t> </w:t>
      </w:r>
      <w:r>
        <w:rPr>
          <w:i/>
          <w:color w:val="231F20"/>
          <w:sz w:val="24"/>
        </w:rPr>
        <w:t>di</w:t>
      </w:r>
      <w:r>
        <w:rPr>
          <w:i/>
          <w:color w:val="231F20"/>
          <w:spacing w:val="-15"/>
          <w:sz w:val="24"/>
        </w:rPr>
        <w:t> </w:t>
      </w:r>
      <w:r>
        <w:rPr>
          <w:i/>
          <w:color w:val="231F20"/>
          <w:sz w:val="24"/>
        </w:rPr>
        <w:t>un’altra amministrazione se questa non ha notificato al contribuente l’atto costitutivo dello</w:t>
      </w:r>
      <w:r>
        <w:rPr>
          <w:i/>
          <w:color w:val="231F20"/>
          <w:spacing w:val="23"/>
          <w:sz w:val="24"/>
        </w:rPr>
        <w:t> </w:t>
      </w:r>
      <w:r>
        <w:rPr>
          <w:i/>
          <w:color w:val="231F20"/>
          <w:sz w:val="24"/>
        </w:rPr>
        <w:t>stesso</w:t>
      </w:r>
      <w:r>
        <w:rPr>
          <w:i/>
          <w:color w:val="231F20"/>
          <w:spacing w:val="23"/>
          <w:sz w:val="24"/>
        </w:rPr>
        <w:t> </w:t>
      </w:r>
      <w:r>
        <w:rPr>
          <w:i/>
          <w:color w:val="231F20"/>
          <w:sz w:val="24"/>
        </w:rPr>
        <w:t>–</w:t>
      </w:r>
      <w:r>
        <w:rPr>
          <w:i/>
          <w:color w:val="231F20"/>
          <w:spacing w:val="23"/>
          <w:sz w:val="24"/>
        </w:rPr>
        <w:t> </w:t>
      </w:r>
      <w:r>
        <w:rPr>
          <w:i/>
          <w:color w:val="231F20"/>
          <w:sz w:val="24"/>
        </w:rPr>
        <w:t>4.2.</w:t>
      </w:r>
      <w:r>
        <w:rPr>
          <w:i/>
          <w:color w:val="231F20"/>
          <w:spacing w:val="23"/>
          <w:sz w:val="24"/>
        </w:rPr>
        <w:t> </w:t>
      </w:r>
      <w:r>
        <w:rPr>
          <w:i/>
          <w:color w:val="231F20"/>
          <w:sz w:val="24"/>
        </w:rPr>
        <w:t>La</w:t>
      </w:r>
      <w:r>
        <w:rPr>
          <w:i/>
          <w:color w:val="231F20"/>
          <w:spacing w:val="23"/>
          <w:sz w:val="24"/>
        </w:rPr>
        <w:t> </w:t>
      </w:r>
      <w:r>
        <w:rPr>
          <w:i/>
          <w:color w:val="231F20"/>
          <w:sz w:val="24"/>
        </w:rPr>
        <w:t>sentenza</w:t>
      </w:r>
      <w:r>
        <w:rPr>
          <w:i/>
          <w:color w:val="231F20"/>
          <w:spacing w:val="23"/>
          <w:sz w:val="24"/>
        </w:rPr>
        <w:t> </w:t>
      </w:r>
      <w:r>
        <w:rPr>
          <w:i/>
          <w:color w:val="231F20"/>
          <w:sz w:val="24"/>
        </w:rPr>
        <w:t>del</w:t>
      </w:r>
      <w:r>
        <w:rPr>
          <w:i/>
          <w:color w:val="231F20"/>
          <w:spacing w:val="23"/>
          <w:sz w:val="24"/>
        </w:rPr>
        <w:t> </w:t>
      </w:r>
      <w:r>
        <w:rPr>
          <w:i/>
          <w:color w:val="231F20"/>
          <w:sz w:val="24"/>
        </w:rPr>
        <w:t>24</w:t>
      </w:r>
      <w:r>
        <w:rPr>
          <w:i/>
          <w:color w:val="231F20"/>
          <w:spacing w:val="23"/>
          <w:sz w:val="24"/>
        </w:rPr>
        <w:t> </w:t>
      </w:r>
      <w:r>
        <w:rPr>
          <w:i/>
          <w:color w:val="231F20"/>
          <w:sz w:val="24"/>
        </w:rPr>
        <w:t>febbraio</w:t>
      </w:r>
      <w:r>
        <w:rPr>
          <w:i/>
          <w:color w:val="231F20"/>
          <w:spacing w:val="23"/>
          <w:sz w:val="24"/>
        </w:rPr>
        <w:t> </w:t>
      </w:r>
      <w:r>
        <w:rPr>
          <w:i/>
          <w:color w:val="231F20"/>
          <w:sz w:val="24"/>
        </w:rPr>
        <w:t>2021,</w:t>
      </w:r>
      <w:r>
        <w:rPr>
          <w:i/>
          <w:color w:val="231F20"/>
          <w:spacing w:val="23"/>
          <w:sz w:val="24"/>
        </w:rPr>
        <w:t> </w:t>
      </w:r>
      <w:r>
        <w:rPr>
          <w:i/>
          <w:color w:val="231F20"/>
          <w:sz w:val="24"/>
        </w:rPr>
        <w:t>C-95/19,</w:t>
      </w:r>
      <w:r>
        <w:rPr>
          <w:i/>
          <w:color w:val="231F20"/>
          <w:spacing w:val="23"/>
          <w:sz w:val="24"/>
        </w:rPr>
        <w:t> </w:t>
      </w:r>
      <w:r>
        <w:rPr>
          <w:i/>
          <w:color w:val="231F20"/>
          <w:sz w:val="24"/>
        </w:rPr>
        <w:t>Silcompa</w:t>
      </w:r>
      <w:r>
        <w:rPr>
          <w:i/>
          <w:color w:val="231F20"/>
          <w:spacing w:val="23"/>
          <w:sz w:val="24"/>
        </w:rPr>
        <w:t> </w:t>
      </w:r>
      <w:r>
        <w:rPr>
          <w:i/>
          <w:color w:val="231F20"/>
          <w:sz w:val="24"/>
        </w:rPr>
        <w:t>–</w:t>
      </w:r>
    </w:p>
    <w:p>
      <w:pPr>
        <w:spacing w:line="230" w:lineRule="auto" w:before="0"/>
        <w:ind w:left="100" w:right="175" w:firstLine="0"/>
        <w:jc w:val="both"/>
        <w:rPr>
          <w:i/>
          <w:sz w:val="24"/>
        </w:rPr>
      </w:pPr>
      <w:r>
        <w:rPr>
          <w:i/>
          <w:color w:val="231F20"/>
          <w:sz w:val="24"/>
        </w:rPr>
        <w:t>4.2.1. Liceità del rifiuto di eseguire una domanda di recupero di un credito</w:t>
      </w:r>
      <w:r>
        <w:rPr>
          <w:i/>
          <w:color w:val="231F20"/>
          <w:sz w:val="24"/>
        </w:rPr>
        <w:t> tributario di un’altra amministrazione in caso di «duplicazione della pretesa </w:t>
      </w:r>
      <w:r>
        <w:rPr>
          <w:i/>
          <w:color w:val="231F20"/>
          <w:spacing w:val="-2"/>
          <w:sz w:val="24"/>
        </w:rPr>
        <w:t>impositiva»</w:t>
      </w:r>
      <w:r>
        <w:rPr>
          <w:i/>
          <w:color w:val="231F20"/>
          <w:spacing w:val="-11"/>
          <w:sz w:val="24"/>
        </w:rPr>
        <w:t> </w:t>
      </w:r>
      <w:r>
        <w:rPr>
          <w:i/>
          <w:color w:val="231F20"/>
          <w:spacing w:val="-2"/>
          <w:sz w:val="24"/>
        </w:rPr>
        <w:t>–</w:t>
      </w:r>
      <w:r>
        <w:rPr>
          <w:i/>
          <w:color w:val="231F20"/>
          <w:spacing w:val="-11"/>
          <w:sz w:val="24"/>
        </w:rPr>
        <w:t> </w:t>
      </w:r>
      <w:r>
        <w:rPr>
          <w:i/>
          <w:color w:val="231F20"/>
          <w:spacing w:val="-2"/>
          <w:sz w:val="24"/>
        </w:rPr>
        <w:t>5.</w:t>
      </w:r>
      <w:r>
        <w:rPr>
          <w:i/>
          <w:color w:val="231F20"/>
          <w:spacing w:val="-11"/>
          <w:sz w:val="24"/>
        </w:rPr>
        <w:t> </w:t>
      </w:r>
      <w:r>
        <w:rPr>
          <w:i/>
          <w:color w:val="231F20"/>
          <w:spacing w:val="-2"/>
          <w:sz w:val="24"/>
        </w:rPr>
        <w:t>Considerazioni</w:t>
      </w:r>
      <w:r>
        <w:rPr>
          <w:i/>
          <w:color w:val="231F20"/>
          <w:spacing w:val="-11"/>
          <w:sz w:val="24"/>
        </w:rPr>
        <w:t> </w:t>
      </w:r>
      <w:r>
        <w:rPr>
          <w:i/>
          <w:color w:val="231F20"/>
          <w:spacing w:val="-2"/>
          <w:sz w:val="24"/>
        </w:rPr>
        <w:t>conclusive</w:t>
      </w:r>
      <w:r>
        <w:rPr>
          <w:i/>
          <w:color w:val="231F20"/>
          <w:spacing w:val="-11"/>
          <w:sz w:val="24"/>
        </w:rPr>
        <w:t> </w:t>
      </w:r>
      <w:r>
        <w:rPr>
          <w:i/>
          <w:color w:val="231F20"/>
          <w:spacing w:val="-2"/>
          <w:sz w:val="24"/>
        </w:rPr>
        <w:t>–</w:t>
      </w:r>
      <w:r>
        <w:rPr>
          <w:i/>
          <w:color w:val="231F20"/>
          <w:spacing w:val="-11"/>
          <w:sz w:val="24"/>
        </w:rPr>
        <w:t> </w:t>
      </w:r>
      <w:r>
        <w:rPr>
          <w:i/>
          <w:color w:val="231F20"/>
          <w:spacing w:val="-2"/>
          <w:sz w:val="24"/>
        </w:rPr>
        <w:t>5.1.</w:t>
      </w:r>
      <w:r>
        <w:rPr>
          <w:i/>
          <w:color w:val="231F20"/>
          <w:spacing w:val="-11"/>
          <w:sz w:val="24"/>
        </w:rPr>
        <w:t> </w:t>
      </w:r>
      <w:r>
        <w:rPr>
          <w:i/>
          <w:color w:val="231F20"/>
          <w:spacing w:val="-2"/>
          <w:sz w:val="24"/>
        </w:rPr>
        <w:t>Integrazione</w:t>
      </w:r>
      <w:r>
        <w:rPr>
          <w:i/>
          <w:color w:val="231F20"/>
          <w:spacing w:val="-11"/>
          <w:sz w:val="24"/>
        </w:rPr>
        <w:t> </w:t>
      </w:r>
      <w:r>
        <w:rPr>
          <w:i/>
          <w:color w:val="231F20"/>
          <w:spacing w:val="-2"/>
          <w:sz w:val="24"/>
        </w:rPr>
        <w:t>delle</w:t>
      </w:r>
      <w:r>
        <w:rPr>
          <w:i/>
          <w:color w:val="231F20"/>
          <w:spacing w:val="-11"/>
          <w:sz w:val="24"/>
        </w:rPr>
        <w:t> </w:t>
      </w:r>
      <w:r>
        <w:rPr>
          <w:i/>
          <w:color w:val="231F20"/>
          <w:spacing w:val="-2"/>
          <w:sz w:val="24"/>
        </w:rPr>
        <w:t>disposizioni </w:t>
      </w:r>
      <w:r>
        <w:rPr>
          <w:i/>
          <w:color w:val="231F20"/>
          <w:sz w:val="24"/>
        </w:rPr>
        <w:t>delle direttive e dei regolamenti con principi dedotti dalle norme della Carta dei diritti fondamentali – 5.2. Evidenziazione di casi anomali di doppia imposizione anche nell’ambito dell’IVA e delle accise armonizzate.</w:t>
      </w:r>
    </w:p>
    <w:p>
      <w:pPr>
        <w:pStyle w:val="BodyText"/>
        <w:rPr>
          <w:i/>
        </w:rPr>
      </w:pPr>
    </w:p>
    <w:p>
      <w:pPr>
        <w:pStyle w:val="BodyText"/>
        <w:spacing w:before="9"/>
        <w:rPr>
          <w:i/>
        </w:rPr>
      </w:pPr>
    </w:p>
    <w:p>
      <w:pPr>
        <w:pStyle w:val="Heading3"/>
        <w:numPr>
          <w:ilvl w:val="0"/>
          <w:numId w:val="4"/>
        </w:numPr>
        <w:tabs>
          <w:tab w:pos="382" w:val="left" w:leader="none"/>
        </w:tabs>
        <w:spacing w:line="240" w:lineRule="auto" w:before="1" w:after="0"/>
        <w:ind w:left="382" w:right="0" w:hanging="282"/>
        <w:jc w:val="both"/>
        <w:rPr>
          <w:b/>
        </w:rPr>
      </w:pPr>
      <w:r>
        <w:rPr>
          <w:b/>
          <w:color w:val="231F20"/>
          <w:spacing w:val="-2"/>
        </w:rPr>
        <w:t>Introduzione</w:t>
      </w:r>
    </w:p>
    <w:p>
      <w:pPr>
        <w:pStyle w:val="BodyText"/>
        <w:spacing w:line="225" w:lineRule="auto" w:before="257"/>
        <w:ind w:left="100" w:right="174"/>
        <w:jc w:val="both"/>
      </w:pPr>
      <w:r>
        <w:rPr>
          <w:color w:val="231F20"/>
        </w:rPr>
        <w:t>Sono passati quasi cinquant’anni dall’adozione delle prime due </w:t>
      </w:r>
      <w:r>
        <w:rPr>
          <w:color w:val="231F20"/>
        </w:rPr>
        <w:t>direttive del</w:t>
      </w:r>
      <w:r>
        <w:rPr>
          <w:color w:val="231F20"/>
          <w:spacing w:val="-15"/>
        </w:rPr>
        <w:t> </w:t>
      </w:r>
      <w:r>
        <w:rPr>
          <w:color w:val="231F20"/>
        </w:rPr>
        <w:t>Consiglio</w:t>
      </w:r>
      <w:r>
        <w:rPr>
          <w:color w:val="231F20"/>
          <w:spacing w:val="-15"/>
        </w:rPr>
        <w:t> </w:t>
      </w:r>
      <w:r>
        <w:rPr>
          <w:color w:val="231F20"/>
        </w:rPr>
        <w:t>dei</w:t>
      </w:r>
      <w:r>
        <w:rPr>
          <w:color w:val="231F20"/>
          <w:spacing w:val="-15"/>
        </w:rPr>
        <w:t> </w:t>
      </w:r>
      <w:r>
        <w:rPr>
          <w:color w:val="231F20"/>
        </w:rPr>
        <w:t>Ministri</w:t>
      </w:r>
      <w:r>
        <w:rPr>
          <w:color w:val="231F20"/>
          <w:spacing w:val="-15"/>
        </w:rPr>
        <w:t> </w:t>
      </w:r>
      <w:r>
        <w:rPr>
          <w:color w:val="231F20"/>
        </w:rPr>
        <w:t>delle</w:t>
      </w:r>
      <w:r>
        <w:rPr>
          <w:color w:val="231F20"/>
          <w:spacing w:val="-15"/>
        </w:rPr>
        <w:t> </w:t>
      </w:r>
      <w:r>
        <w:rPr>
          <w:color w:val="231F20"/>
        </w:rPr>
        <w:t>Finanze</w:t>
      </w:r>
      <w:r>
        <w:rPr>
          <w:color w:val="231F20"/>
          <w:spacing w:val="-15"/>
        </w:rPr>
        <w:t> </w:t>
      </w:r>
      <w:r>
        <w:rPr>
          <w:color w:val="231F20"/>
        </w:rPr>
        <w:t>della</w:t>
      </w:r>
      <w:r>
        <w:rPr>
          <w:color w:val="231F20"/>
          <w:spacing w:val="-15"/>
        </w:rPr>
        <w:t> </w:t>
      </w:r>
      <w:r>
        <w:rPr>
          <w:color w:val="231F20"/>
        </w:rPr>
        <w:t>(all’epoca)</w:t>
      </w:r>
      <w:r>
        <w:rPr>
          <w:color w:val="231F20"/>
          <w:spacing w:val="-15"/>
        </w:rPr>
        <w:t> </w:t>
      </w:r>
      <w:r>
        <w:rPr>
          <w:color w:val="231F20"/>
        </w:rPr>
        <w:t>Comunità</w:t>
      </w:r>
      <w:r>
        <w:rPr>
          <w:color w:val="231F20"/>
          <w:spacing w:val="-15"/>
        </w:rPr>
        <w:t> </w:t>
      </w:r>
      <w:r>
        <w:rPr>
          <w:color w:val="231F20"/>
        </w:rPr>
        <w:t>europea in materia di cooperazione amministrativa nel settore tributario. La prima (76/308/CEE)</w:t>
      </w:r>
      <w:r>
        <w:rPr>
          <w:color w:val="231F20"/>
          <w:spacing w:val="-2"/>
        </w:rPr>
        <w:t> </w:t>
      </w:r>
      <w:r>
        <w:rPr>
          <w:color w:val="231F20"/>
        </w:rPr>
        <w:t>istituiva</w:t>
      </w:r>
      <w:r>
        <w:rPr>
          <w:color w:val="231F20"/>
          <w:spacing w:val="-2"/>
        </w:rPr>
        <w:t> </w:t>
      </w:r>
      <w:r>
        <w:rPr>
          <w:color w:val="231F20"/>
        </w:rPr>
        <w:t>una</w:t>
      </w:r>
      <w:r>
        <w:rPr>
          <w:color w:val="231F20"/>
          <w:spacing w:val="-2"/>
        </w:rPr>
        <w:t> </w:t>
      </w:r>
      <w:r>
        <w:rPr>
          <w:color w:val="231F20"/>
        </w:rPr>
        <w:t>«assistenza</w:t>
      </w:r>
      <w:r>
        <w:rPr>
          <w:color w:val="231F20"/>
          <w:spacing w:val="-2"/>
        </w:rPr>
        <w:t> </w:t>
      </w:r>
      <w:r>
        <w:rPr>
          <w:color w:val="231F20"/>
        </w:rPr>
        <w:t>reciproca</w:t>
      </w:r>
      <w:r>
        <w:rPr>
          <w:color w:val="231F20"/>
          <w:spacing w:val="-2"/>
        </w:rPr>
        <w:t> </w:t>
      </w:r>
      <w:r>
        <w:rPr>
          <w:color w:val="231F20"/>
        </w:rPr>
        <w:t>in</w:t>
      </w:r>
      <w:r>
        <w:rPr>
          <w:color w:val="231F20"/>
          <w:spacing w:val="-2"/>
        </w:rPr>
        <w:t> </w:t>
      </w:r>
      <w:r>
        <w:rPr>
          <w:color w:val="231F20"/>
        </w:rPr>
        <w:t>materia</w:t>
      </w:r>
      <w:r>
        <w:rPr>
          <w:color w:val="231F20"/>
          <w:spacing w:val="-2"/>
        </w:rPr>
        <w:t> </w:t>
      </w:r>
      <w:r>
        <w:rPr>
          <w:color w:val="231F20"/>
        </w:rPr>
        <w:t>di</w:t>
      </w:r>
      <w:r>
        <w:rPr>
          <w:color w:val="231F20"/>
          <w:spacing w:val="-2"/>
        </w:rPr>
        <w:t> </w:t>
      </w:r>
      <w:r>
        <w:rPr>
          <w:color w:val="231F20"/>
        </w:rPr>
        <w:t>recupero</w:t>
      </w:r>
      <w:r>
        <w:rPr>
          <w:color w:val="231F20"/>
          <w:spacing w:val="-2"/>
        </w:rPr>
        <w:t> </w:t>
      </w:r>
      <w:r>
        <w:rPr>
          <w:color w:val="231F20"/>
        </w:rPr>
        <w:t>di crediti risultanti da dazi e imposte», mentre la seconda direttiva (77/799/ CEE) introduceva una procedura di scambio di informazioni nel settore delle imposte dirette. Per molti anni queste due direttive hanno costituito un sotto-settore di legislazione tributaria europea nettamente secondario rispetto</w:t>
      </w:r>
      <w:r>
        <w:rPr>
          <w:color w:val="231F20"/>
          <w:spacing w:val="-3"/>
        </w:rPr>
        <w:t> </w:t>
      </w:r>
      <w:r>
        <w:rPr>
          <w:color w:val="231F20"/>
        </w:rPr>
        <w:t>alle</w:t>
      </w:r>
      <w:r>
        <w:rPr>
          <w:color w:val="231F20"/>
          <w:spacing w:val="-3"/>
        </w:rPr>
        <w:t> </w:t>
      </w:r>
      <w:r>
        <w:rPr>
          <w:color w:val="231F20"/>
        </w:rPr>
        <w:t>direttive</w:t>
      </w:r>
      <w:r>
        <w:rPr>
          <w:color w:val="231F20"/>
          <w:spacing w:val="-3"/>
        </w:rPr>
        <w:t> </w:t>
      </w:r>
      <w:r>
        <w:rPr>
          <w:color w:val="231F20"/>
        </w:rPr>
        <w:t>di</w:t>
      </w:r>
      <w:r>
        <w:rPr>
          <w:color w:val="231F20"/>
          <w:spacing w:val="-3"/>
        </w:rPr>
        <w:t> </w:t>
      </w:r>
      <w:r>
        <w:rPr>
          <w:color w:val="231F20"/>
        </w:rPr>
        <w:t>ben</w:t>
      </w:r>
      <w:r>
        <w:rPr>
          <w:color w:val="231F20"/>
          <w:spacing w:val="-3"/>
        </w:rPr>
        <w:t> </w:t>
      </w:r>
      <w:r>
        <w:rPr>
          <w:color w:val="231F20"/>
        </w:rPr>
        <w:t>maggiore</w:t>
      </w:r>
      <w:r>
        <w:rPr>
          <w:color w:val="231F20"/>
          <w:spacing w:val="-3"/>
        </w:rPr>
        <w:t> </w:t>
      </w:r>
      <w:r>
        <w:rPr>
          <w:color w:val="231F20"/>
        </w:rPr>
        <w:t>rilevanza</w:t>
      </w:r>
      <w:r>
        <w:rPr>
          <w:color w:val="231F20"/>
          <w:spacing w:val="-3"/>
        </w:rPr>
        <w:t> </w:t>
      </w:r>
      <w:r>
        <w:rPr>
          <w:color w:val="231F20"/>
        </w:rPr>
        <w:t>e</w:t>
      </w:r>
      <w:r>
        <w:rPr>
          <w:color w:val="231F20"/>
          <w:spacing w:val="-3"/>
        </w:rPr>
        <w:t> </w:t>
      </w:r>
      <w:r>
        <w:rPr>
          <w:color w:val="231F20"/>
        </w:rPr>
        <w:t>consistenza</w:t>
      </w:r>
      <w:r>
        <w:rPr>
          <w:color w:val="231F20"/>
          <w:spacing w:val="-3"/>
        </w:rPr>
        <w:t> </w:t>
      </w:r>
      <w:r>
        <w:rPr>
          <w:color w:val="231F20"/>
        </w:rPr>
        <w:t>che</w:t>
      </w:r>
      <w:r>
        <w:rPr>
          <w:color w:val="231F20"/>
          <w:spacing w:val="-3"/>
        </w:rPr>
        <w:t> </w:t>
      </w:r>
      <w:r>
        <w:rPr>
          <w:color w:val="231F20"/>
        </w:rPr>
        <w:t>armoniz- zavano</w:t>
      </w:r>
      <w:r>
        <w:rPr>
          <w:color w:val="231F20"/>
          <w:spacing w:val="-5"/>
        </w:rPr>
        <w:t> </w:t>
      </w:r>
      <w:r>
        <w:rPr>
          <w:color w:val="231F20"/>
        </w:rPr>
        <w:t>le</w:t>
      </w:r>
      <w:r>
        <w:rPr>
          <w:color w:val="231F20"/>
          <w:spacing w:val="-5"/>
        </w:rPr>
        <w:t> </w:t>
      </w:r>
      <w:r>
        <w:rPr>
          <w:color w:val="231F20"/>
        </w:rPr>
        <w:t>legislazioni</w:t>
      </w:r>
      <w:r>
        <w:rPr>
          <w:color w:val="231F20"/>
          <w:spacing w:val="-5"/>
        </w:rPr>
        <w:t> </w:t>
      </w:r>
      <w:r>
        <w:rPr>
          <w:color w:val="231F20"/>
        </w:rPr>
        <w:t>degli</w:t>
      </w:r>
      <w:r>
        <w:rPr>
          <w:color w:val="231F20"/>
          <w:spacing w:val="-5"/>
        </w:rPr>
        <w:t> </w:t>
      </w:r>
      <w:r>
        <w:rPr>
          <w:color w:val="231F20"/>
        </w:rPr>
        <w:t>Stati</w:t>
      </w:r>
      <w:r>
        <w:rPr>
          <w:color w:val="231F20"/>
          <w:spacing w:val="-5"/>
        </w:rPr>
        <w:t> </w:t>
      </w:r>
      <w:r>
        <w:rPr>
          <w:color w:val="231F20"/>
        </w:rPr>
        <w:t>membri</w:t>
      </w:r>
      <w:r>
        <w:rPr>
          <w:color w:val="231F20"/>
          <w:spacing w:val="-5"/>
        </w:rPr>
        <w:t> </w:t>
      </w:r>
      <w:r>
        <w:rPr>
          <w:color w:val="231F20"/>
        </w:rPr>
        <w:t>disciplinanti</w:t>
      </w:r>
      <w:r>
        <w:rPr>
          <w:color w:val="231F20"/>
          <w:spacing w:val="-5"/>
        </w:rPr>
        <w:t> </w:t>
      </w:r>
      <w:r>
        <w:rPr>
          <w:color w:val="231F20"/>
        </w:rPr>
        <w:t>le</w:t>
      </w:r>
      <w:r>
        <w:rPr>
          <w:color w:val="231F20"/>
          <w:spacing w:val="-5"/>
        </w:rPr>
        <w:t> </w:t>
      </w:r>
      <w:r>
        <w:rPr>
          <w:color w:val="231F20"/>
        </w:rPr>
        <w:t>principali</w:t>
      </w:r>
      <w:r>
        <w:rPr>
          <w:color w:val="231F20"/>
          <w:spacing w:val="-5"/>
        </w:rPr>
        <w:t> </w:t>
      </w:r>
      <w:r>
        <w:rPr>
          <w:color w:val="231F20"/>
        </w:rPr>
        <w:t>imposte indirette</w:t>
      </w:r>
      <w:r>
        <w:rPr>
          <w:color w:val="231F20"/>
          <w:spacing w:val="-6"/>
        </w:rPr>
        <w:t> </w:t>
      </w:r>
      <w:r>
        <w:rPr>
          <w:color w:val="231F20"/>
        </w:rPr>
        <w:t>(IVA,</w:t>
      </w:r>
      <w:r>
        <w:rPr>
          <w:color w:val="231F20"/>
          <w:spacing w:val="-6"/>
        </w:rPr>
        <w:t> </w:t>
      </w:r>
      <w:r>
        <w:rPr>
          <w:color w:val="231F20"/>
        </w:rPr>
        <w:t>accise</w:t>
      </w:r>
      <w:r>
        <w:rPr>
          <w:color w:val="231F20"/>
          <w:spacing w:val="-6"/>
        </w:rPr>
        <w:t> </w:t>
      </w:r>
      <w:r>
        <w:rPr>
          <w:color w:val="231F20"/>
        </w:rPr>
        <w:t>e</w:t>
      </w:r>
      <w:r>
        <w:rPr>
          <w:color w:val="231F20"/>
          <w:spacing w:val="-6"/>
        </w:rPr>
        <w:t> </w:t>
      </w:r>
      <w:r>
        <w:rPr>
          <w:color w:val="231F20"/>
        </w:rPr>
        <w:t>imposta</w:t>
      </w:r>
      <w:r>
        <w:rPr>
          <w:color w:val="231F20"/>
          <w:spacing w:val="-6"/>
        </w:rPr>
        <w:t> </w:t>
      </w:r>
      <w:r>
        <w:rPr>
          <w:color w:val="231F20"/>
        </w:rPr>
        <w:t>sui</w:t>
      </w:r>
      <w:r>
        <w:rPr>
          <w:color w:val="231F20"/>
          <w:spacing w:val="-6"/>
        </w:rPr>
        <w:t> </w:t>
      </w:r>
      <w:r>
        <w:rPr>
          <w:color w:val="231F20"/>
        </w:rPr>
        <w:t>conferimenti</w:t>
      </w:r>
      <w:r>
        <w:rPr>
          <w:color w:val="231F20"/>
          <w:spacing w:val="-6"/>
        </w:rPr>
        <w:t> </w:t>
      </w:r>
      <w:r>
        <w:rPr>
          <w:color w:val="231F20"/>
        </w:rPr>
        <w:t>di</w:t>
      </w:r>
      <w:r>
        <w:rPr>
          <w:color w:val="231F20"/>
          <w:spacing w:val="-6"/>
        </w:rPr>
        <w:t> </w:t>
      </w:r>
      <w:r>
        <w:rPr>
          <w:color w:val="231F20"/>
        </w:rPr>
        <w:t>capitale),</w:t>
      </w:r>
      <w:r>
        <w:rPr>
          <w:color w:val="231F20"/>
          <w:spacing w:val="-6"/>
        </w:rPr>
        <w:t> </w:t>
      </w:r>
      <w:r>
        <w:rPr>
          <w:color w:val="231F20"/>
        </w:rPr>
        <w:t>nonché</w:t>
      </w:r>
      <w:r>
        <w:rPr>
          <w:color w:val="231F20"/>
          <w:spacing w:val="-6"/>
        </w:rPr>
        <w:t> </w:t>
      </w:r>
      <w:r>
        <w:rPr>
          <w:color w:val="231F20"/>
        </w:rPr>
        <w:t>alcu- ne</w:t>
      </w:r>
      <w:r>
        <w:rPr>
          <w:color w:val="231F20"/>
          <w:spacing w:val="-3"/>
        </w:rPr>
        <w:t> </w:t>
      </w:r>
      <w:r>
        <w:rPr>
          <w:color w:val="231F20"/>
        </w:rPr>
        <w:t>operazioni</w:t>
      </w:r>
      <w:r>
        <w:rPr>
          <w:color w:val="231F20"/>
          <w:spacing w:val="-3"/>
        </w:rPr>
        <w:t> </w:t>
      </w:r>
      <w:r>
        <w:rPr>
          <w:color w:val="231F20"/>
        </w:rPr>
        <w:t>fra</w:t>
      </w:r>
      <w:r>
        <w:rPr>
          <w:color w:val="231F20"/>
          <w:spacing w:val="-3"/>
        </w:rPr>
        <w:t> </w:t>
      </w:r>
      <w:r>
        <w:rPr>
          <w:color w:val="231F20"/>
        </w:rPr>
        <w:t>società</w:t>
      </w:r>
      <w:r>
        <w:rPr>
          <w:color w:val="231F20"/>
          <w:spacing w:val="-3"/>
        </w:rPr>
        <w:t> </w:t>
      </w:r>
      <w:r>
        <w:rPr>
          <w:color w:val="231F20"/>
        </w:rPr>
        <w:t>collegate</w:t>
      </w:r>
      <w:r>
        <w:rPr>
          <w:color w:val="231F20"/>
          <w:spacing w:val="-3"/>
        </w:rPr>
        <w:t> </w:t>
      </w:r>
      <w:r>
        <w:rPr>
          <w:color w:val="231F20"/>
        </w:rPr>
        <w:t>di</w:t>
      </w:r>
      <w:r>
        <w:rPr>
          <w:color w:val="231F20"/>
          <w:spacing w:val="-3"/>
        </w:rPr>
        <w:t> </w:t>
      </w:r>
      <w:r>
        <w:rPr>
          <w:color w:val="231F20"/>
        </w:rPr>
        <w:t>diversi</w:t>
      </w:r>
      <w:r>
        <w:rPr>
          <w:color w:val="231F20"/>
          <w:spacing w:val="-3"/>
        </w:rPr>
        <w:t> </w:t>
      </w:r>
      <w:r>
        <w:rPr>
          <w:color w:val="231F20"/>
        </w:rPr>
        <w:t>Stati</w:t>
      </w:r>
      <w:r>
        <w:rPr>
          <w:color w:val="231F20"/>
          <w:spacing w:val="-3"/>
        </w:rPr>
        <w:t> </w:t>
      </w:r>
      <w:r>
        <w:rPr>
          <w:color w:val="231F20"/>
        </w:rPr>
        <w:t>membri.</w:t>
      </w:r>
      <w:r>
        <w:rPr>
          <w:color w:val="231F20"/>
          <w:spacing w:val="-3"/>
        </w:rPr>
        <w:t> </w:t>
      </w:r>
      <w:r>
        <w:rPr>
          <w:color w:val="231F20"/>
        </w:rPr>
        <w:t>È</w:t>
      </w:r>
      <w:r>
        <w:rPr>
          <w:color w:val="231F20"/>
          <w:spacing w:val="-3"/>
        </w:rPr>
        <w:t> </w:t>
      </w:r>
      <w:r>
        <w:rPr>
          <w:color w:val="231F20"/>
        </w:rPr>
        <w:t>stato</w:t>
      </w:r>
      <w:r>
        <w:rPr>
          <w:color w:val="231F20"/>
          <w:spacing w:val="-3"/>
        </w:rPr>
        <w:t> </w:t>
      </w:r>
      <w:r>
        <w:rPr>
          <w:color w:val="231F20"/>
        </w:rPr>
        <w:t>a</w:t>
      </w:r>
      <w:r>
        <w:rPr>
          <w:color w:val="231F20"/>
          <w:spacing w:val="-3"/>
        </w:rPr>
        <w:t> </w:t>
      </w:r>
      <w:r>
        <w:rPr>
          <w:color w:val="231F20"/>
        </w:rPr>
        <w:t>partire dall’adozione</w:t>
      </w:r>
      <w:r>
        <w:rPr>
          <w:color w:val="231F20"/>
          <w:spacing w:val="-9"/>
        </w:rPr>
        <w:t> </w:t>
      </w:r>
      <w:r>
        <w:rPr>
          <w:color w:val="231F20"/>
        </w:rPr>
        <w:t>della</w:t>
      </w:r>
      <w:r>
        <w:rPr>
          <w:color w:val="231F20"/>
          <w:spacing w:val="-8"/>
        </w:rPr>
        <w:t> </w:t>
      </w:r>
      <w:r>
        <w:rPr>
          <w:color w:val="231F20"/>
        </w:rPr>
        <w:t>prima</w:t>
      </w:r>
      <w:r>
        <w:rPr>
          <w:color w:val="231F20"/>
          <w:spacing w:val="-8"/>
        </w:rPr>
        <w:t> </w:t>
      </w:r>
      <w:r>
        <w:rPr>
          <w:color w:val="231F20"/>
        </w:rPr>
        <w:t>grande</w:t>
      </w:r>
      <w:r>
        <w:rPr>
          <w:color w:val="231F20"/>
          <w:spacing w:val="-9"/>
        </w:rPr>
        <w:t> </w:t>
      </w:r>
      <w:r>
        <w:rPr>
          <w:color w:val="231F20"/>
        </w:rPr>
        <w:t>direttiva</w:t>
      </w:r>
      <w:r>
        <w:rPr>
          <w:color w:val="231F20"/>
          <w:spacing w:val="-7"/>
        </w:rPr>
        <w:t> </w:t>
      </w:r>
      <w:r>
        <w:rPr>
          <w:color w:val="231F20"/>
        </w:rPr>
        <w:t>2011/16/UE</w:t>
      </w:r>
      <w:r>
        <w:rPr>
          <w:rFonts w:ascii="Times New Roman" w:hAnsi="Times New Roman"/>
          <w:color w:val="231F20"/>
          <w:position w:val="8"/>
          <w:sz w:val="14"/>
        </w:rPr>
        <w:t>58</w:t>
      </w:r>
      <w:r>
        <w:rPr>
          <w:rFonts w:ascii="Times New Roman" w:hAnsi="Times New Roman"/>
          <w:color w:val="231F20"/>
          <w:spacing w:val="18"/>
          <w:position w:val="8"/>
          <w:sz w:val="14"/>
        </w:rPr>
        <w:t> </w:t>
      </w:r>
      <w:r>
        <w:rPr>
          <w:color w:val="231F20"/>
        </w:rPr>
        <w:t>(c.d.</w:t>
      </w:r>
      <w:r>
        <w:rPr>
          <w:color w:val="231F20"/>
          <w:spacing w:val="-9"/>
        </w:rPr>
        <w:t> </w:t>
      </w:r>
      <w:r>
        <w:rPr>
          <w:color w:val="231F20"/>
        </w:rPr>
        <w:t>DAC</w:t>
      </w:r>
      <w:r>
        <w:rPr>
          <w:color w:val="231F20"/>
          <w:spacing w:val="-8"/>
        </w:rPr>
        <w:t> </w:t>
      </w:r>
      <w:r>
        <w:rPr>
          <w:color w:val="231F20"/>
        </w:rPr>
        <w:t>1)</w:t>
      </w:r>
      <w:r>
        <w:rPr>
          <w:color w:val="231F20"/>
          <w:spacing w:val="-7"/>
        </w:rPr>
        <w:t> </w:t>
      </w:r>
      <w:r>
        <w:rPr>
          <w:color w:val="231F20"/>
          <w:spacing w:val="-4"/>
        </w:rPr>
        <w:t>sul-</w:t>
      </w:r>
    </w:p>
    <w:p>
      <w:pPr>
        <w:pStyle w:val="BodyText"/>
        <w:spacing w:before="10"/>
        <w:rPr>
          <w:sz w:val="17"/>
        </w:rPr>
      </w:pPr>
      <w:r>
        <w:rPr/>
        <mc:AlternateContent>
          <mc:Choice Requires="wps">
            <w:drawing>
              <wp:anchor distT="0" distB="0" distL="0" distR="0" allowOverlap="1" layoutInCell="1" locked="0" behindDoc="1" simplePos="0" relativeHeight="487609856">
                <wp:simplePos x="0" y="0"/>
                <wp:positionH relativeFrom="page">
                  <wp:posOffset>864000</wp:posOffset>
                </wp:positionH>
                <wp:positionV relativeFrom="paragraph">
                  <wp:posOffset>159230</wp:posOffset>
                </wp:positionV>
                <wp:extent cx="792480" cy="1270"/>
                <wp:effectExtent l="0" t="0" r="0" b="0"/>
                <wp:wrapTopAndBottom/>
                <wp:docPr id="80" name="Graphic 80"/>
                <wp:cNvGraphicFramePr>
                  <a:graphicFrameLocks/>
                </wp:cNvGraphicFramePr>
                <a:graphic>
                  <a:graphicData uri="http://schemas.microsoft.com/office/word/2010/wordprocessingShape">
                    <wps:wsp>
                      <wps:cNvPr id="80" name="Graphic 80"/>
                      <wps:cNvSpPr/>
                      <wps:spPr>
                        <a:xfrm>
                          <a:off x="0" y="0"/>
                          <a:ext cx="792480" cy="1270"/>
                        </a:xfrm>
                        <a:custGeom>
                          <a:avLst/>
                          <a:gdLst/>
                          <a:ahLst/>
                          <a:cxnLst/>
                          <a:rect l="l" t="t" r="r" b="b"/>
                          <a:pathLst>
                            <a:path w="792480" h="0">
                              <a:moveTo>
                                <a:pt x="0" y="0"/>
                              </a:moveTo>
                              <a:lnTo>
                                <a:pt x="791997"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shape style="position:absolute;margin-left:68.031502pt;margin-top:12.53786pt;width:62.4pt;height:.1pt;mso-position-horizontal-relative:page;mso-position-vertical-relative:paragraph;z-index:-15706624;mso-wrap-distance-left:0;mso-wrap-distance-right:0" id="docshape66" coordorigin="1361,251" coordsize="1248,0" path="m1361,251l2608,251e" filled="false" stroked="true" strokeweight=".5pt" strokecolor="#231f20">
                <v:path arrowok="t"/>
                <v:stroke dashstyle="solid"/>
                <w10:wrap type="topAndBottom"/>
              </v:shape>
            </w:pict>
          </mc:Fallback>
        </mc:AlternateContent>
      </w:r>
    </w:p>
    <w:p>
      <w:pPr>
        <w:tabs>
          <w:tab w:pos="416" w:val="left" w:leader="none"/>
        </w:tabs>
        <w:spacing w:line="225" w:lineRule="auto" w:before="201"/>
        <w:ind w:left="100" w:right="177" w:firstLine="0"/>
        <w:jc w:val="left"/>
        <w:rPr>
          <w:sz w:val="19"/>
        </w:rPr>
      </w:pPr>
      <w:r>
        <w:rPr>
          <w:color w:val="231F20"/>
          <w:spacing w:val="-6"/>
          <w:position w:val="6"/>
          <w:sz w:val="11"/>
        </w:rPr>
        <w:t>58</w:t>
      </w:r>
      <w:r>
        <w:rPr>
          <w:color w:val="231F20"/>
          <w:position w:val="6"/>
          <w:sz w:val="11"/>
        </w:rPr>
        <w:tab/>
      </w:r>
      <w:r>
        <w:rPr>
          <w:color w:val="231F20"/>
          <w:sz w:val="19"/>
        </w:rPr>
        <w:t>Direttiva</w:t>
      </w:r>
      <w:r>
        <w:rPr>
          <w:color w:val="231F20"/>
          <w:spacing w:val="37"/>
          <w:sz w:val="19"/>
        </w:rPr>
        <w:t> </w:t>
      </w:r>
      <w:r>
        <w:rPr>
          <w:color w:val="231F20"/>
          <w:sz w:val="19"/>
        </w:rPr>
        <w:t>2011/16/UE</w:t>
      </w:r>
      <w:r>
        <w:rPr>
          <w:color w:val="231F20"/>
          <w:spacing w:val="37"/>
          <w:sz w:val="19"/>
        </w:rPr>
        <w:t> </w:t>
      </w:r>
      <w:r>
        <w:rPr>
          <w:color w:val="231F20"/>
          <w:sz w:val="19"/>
        </w:rPr>
        <w:t>del</w:t>
      </w:r>
      <w:r>
        <w:rPr>
          <w:color w:val="231F20"/>
          <w:spacing w:val="37"/>
          <w:sz w:val="19"/>
        </w:rPr>
        <w:t> </w:t>
      </w:r>
      <w:r>
        <w:rPr>
          <w:color w:val="231F20"/>
          <w:sz w:val="19"/>
        </w:rPr>
        <w:t>Consiglio</w:t>
      </w:r>
      <w:r>
        <w:rPr>
          <w:color w:val="231F20"/>
          <w:spacing w:val="37"/>
          <w:sz w:val="19"/>
        </w:rPr>
        <w:t> </w:t>
      </w:r>
      <w:r>
        <w:rPr>
          <w:color w:val="231F20"/>
          <w:sz w:val="19"/>
        </w:rPr>
        <w:t>del</w:t>
      </w:r>
      <w:r>
        <w:rPr>
          <w:color w:val="231F20"/>
          <w:spacing w:val="37"/>
          <w:sz w:val="19"/>
        </w:rPr>
        <w:t> </w:t>
      </w:r>
      <w:r>
        <w:rPr>
          <w:color w:val="231F20"/>
          <w:sz w:val="19"/>
        </w:rPr>
        <w:t>15</w:t>
      </w:r>
      <w:r>
        <w:rPr>
          <w:color w:val="231F20"/>
          <w:spacing w:val="37"/>
          <w:sz w:val="19"/>
        </w:rPr>
        <w:t> </w:t>
      </w:r>
      <w:r>
        <w:rPr>
          <w:color w:val="231F20"/>
          <w:sz w:val="19"/>
        </w:rPr>
        <w:t>febbraio</w:t>
      </w:r>
      <w:r>
        <w:rPr>
          <w:color w:val="231F20"/>
          <w:spacing w:val="37"/>
          <w:sz w:val="19"/>
        </w:rPr>
        <w:t> </w:t>
      </w:r>
      <w:r>
        <w:rPr>
          <w:color w:val="231F20"/>
          <w:sz w:val="19"/>
        </w:rPr>
        <w:t>2011</w:t>
      </w:r>
      <w:r>
        <w:rPr>
          <w:color w:val="231F20"/>
          <w:spacing w:val="37"/>
          <w:sz w:val="19"/>
        </w:rPr>
        <w:t> </w:t>
      </w:r>
      <w:r>
        <w:rPr>
          <w:color w:val="231F20"/>
          <w:sz w:val="19"/>
        </w:rPr>
        <w:t>relativa</w:t>
      </w:r>
      <w:r>
        <w:rPr>
          <w:color w:val="231F20"/>
          <w:spacing w:val="37"/>
          <w:sz w:val="19"/>
        </w:rPr>
        <w:t> </w:t>
      </w:r>
      <w:r>
        <w:rPr>
          <w:color w:val="231F20"/>
          <w:sz w:val="19"/>
        </w:rPr>
        <w:t>alla</w:t>
      </w:r>
      <w:r>
        <w:rPr>
          <w:color w:val="231F20"/>
          <w:spacing w:val="37"/>
          <w:sz w:val="19"/>
        </w:rPr>
        <w:t> </w:t>
      </w:r>
      <w:r>
        <w:rPr>
          <w:color w:val="231F20"/>
          <w:sz w:val="19"/>
        </w:rPr>
        <w:t>cooperazione amministrativa nel settore fiscale (GUUE L 64, 11.3.2011, p. 1).</w:t>
      </w:r>
    </w:p>
    <w:p>
      <w:pPr>
        <w:spacing w:after="0" w:line="225" w:lineRule="auto"/>
        <w:jc w:val="left"/>
        <w:rPr>
          <w:sz w:val="19"/>
        </w:rPr>
        <w:sectPr>
          <w:pgSz w:w="9640" w:h="13610"/>
          <w:pgMar w:header="0" w:footer="625" w:top="1260" w:bottom="820" w:left="1260" w:right="1240"/>
        </w:sectPr>
      </w:pPr>
    </w:p>
    <w:p>
      <w:pPr>
        <w:pStyle w:val="BodyText"/>
        <w:spacing w:line="225" w:lineRule="auto" w:before="117"/>
        <w:ind w:left="157" w:right="118"/>
        <w:jc w:val="both"/>
      </w:pPr>
      <w:r>
        <w:rPr/>
        <mc:AlternateContent>
          <mc:Choice Requires="wps">
            <w:drawing>
              <wp:anchor distT="0" distB="0" distL="0" distR="0" allowOverlap="1" layoutInCell="1" locked="0" behindDoc="0" simplePos="0" relativeHeight="15751680">
                <wp:simplePos x="0" y="0"/>
                <wp:positionH relativeFrom="page">
                  <wp:posOffset>5608609</wp:posOffset>
                </wp:positionH>
                <wp:positionV relativeFrom="page">
                  <wp:posOffset>2376001</wp:posOffset>
                </wp:positionV>
                <wp:extent cx="511809" cy="2412365"/>
                <wp:effectExtent l="0" t="0" r="0" b="0"/>
                <wp:wrapNone/>
                <wp:docPr id="81" name="Group 81"/>
                <wp:cNvGraphicFramePr>
                  <a:graphicFrameLocks/>
                </wp:cNvGraphicFramePr>
                <a:graphic>
                  <a:graphicData uri="http://schemas.microsoft.com/office/word/2010/wordprocessingGroup">
                    <wpg:wgp>
                      <wpg:cNvPr id="81" name="Group 81"/>
                      <wpg:cNvGrpSpPr/>
                      <wpg:grpSpPr>
                        <a:xfrm>
                          <a:off x="0" y="0"/>
                          <a:ext cx="511809" cy="2412365"/>
                          <a:chExt cx="511809" cy="2412365"/>
                        </a:xfrm>
                      </wpg:grpSpPr>
                      <wps:wsp>
                        <wps:cNvPr id="82" name="Graphic 82"/>
                        <wps:cNvSpPr/>
                        <wps:spPr>
                          <a:xfrm>
                            <a:off x="7393" y="3"/>
                            <a:ext cx="504190" cy="360045"/>
                          </a:xfrm>
                          <a:custGeom>
                            <a:avLst/>
                            <a:gdLst/>
                            <a:ahLst/>
                            <a:cxnLst/>
                            <a:rect l="l" t="t" r="r" b="b"/>
                            <a:pathLst>
                              <a:path w="504190" h="360045">
                                <a:moveTo>
                                  <a:pt x="503999" y="0"/>
                                </a:moveTo>
                                <a:lnTo>
                                  <a:pt x="0" y="0"/>
                                </a:lnTo>
                                <a:lnTo>
                                  <a:pt x="0" y="359994"/>
                                </a:lnTo>
                                <a:lnTo>
                                  <a:pt x="503999" y="359994"/>
                                </a:lnTo>
                                <a:lnTo>
                                  <a:pt x="503999" y="0"/>
                                </a:lnTo>
                                <a:close/>
                              </a:path>
                            </a:pathLst>
                          </a:custGeom>
                          <a:solidFill>
                            <a:srgbClr val="939598"/>
                          </a:solidFill>
                        </wps:spPr>
                        <wps:bodyPr wrap="square" lIns="0" tIns="0" rIns="0" bIns="0" rtlCol="0">
                          <a:prstTxWarp prst="textNoShape">
                            <a:avLst/>
                          </a:prstTxWarp>
                          <a:noAutofit/>
                        </wps:bodyPr>
                      </wps:wsp>
                      <wps:wsp>
                        <wps:cNvPr id="83" name="Graphic 83"/>
                        <wps:cNvSpPr/>
                        <wps:spPr>
                          <a:xfrm>
                            <a:off x="6350" y="0"/>
                            <a:ext cx="1270" cy="2412365"/>
                          </a:xfrm>
                          <a:custGeom>
                            <a:avLst/>
                            <a:gdLst/>
                            <a:ahLst/>
                            <a:cxnLst/>
                            <a:rect l="l" t="t" r="r" b="b"/>
                            <a:pathLst>
                              <a:path w="0" h="2412365">
                                <a:moveTo>
                                  <a:pt x="0" y="0"/>
                                </a:moveTo>
                                <a:lnTo>
                                  <a:pt x="0" y="2411996"/>
                                </a:lnTo>
                              </a:path>
                            </a:pathLst>
                          </a:custGeom>
                          <a:ln w="12700">
                            <a:solidFill>
                              <a:srgbClr val="939598"/>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441.622803pt;margin-top:187.0867pt;width:40.3pt;height:189.95pt;mso-position-horizontal-relative:page;mso-position-vertical-relative:page;z-index:15751680" id="docshapegroup67" coordorigin="8832,3742" coordsize="806,3799">
                <v:rect style="position:absolute;left:8844;top:3741;width:794;height:567" id="docshape68" filled="true" fillcolor="#939598" stroked="false">
                  <v:fill type="solid"/>
                </v:rect>
                <v:line style="position:absolute" from="8842,3742" to="8842,7540" stroked="true" strokeweight="1pt" strokecolor="#939598">
                  <v:stroke dashstyle="solid"/>
                </v:line>
                <w10:wrap type="none"/>
              </v:group>
            </w:pict>
          </mc:Fallback>
        </mc:AlternateContent>
      </w:r>
      <w:r>
        <w:rPr/>
        <mc:AlternateContent>
          <mc:Choice Requires="wps">
            <w:drawing>
              <wp:anchor distT="0" distB="0" distL="0" distR="0" allowOverlap="1" layoutInCell="1" locked="0" behindDoc="0" simplePos="0" relativeHeight="15752192">
                <wp:simplePos x="0" y="0"/>
                <wp:positionH relativeFrom="page">
                  <wp:posOffset>5635147</wp:posOffset>
                </wp:positionH>
                <wp:positionV relativeFrom="page">
                  <wp:posOffset>2795300</wp:posOffset>
                </wp:positionV>
                <wp:extent cx="299720" cy="1995805"/>
                <wp:effectExtent l="0" t="0" r="0" b="0"/>
                <wp:wrapNone/>
                <wp:docPr id="84" name="Textbox 84"/>
                <wp:cNvGraphicFramePr>
                  <a:graphicFrameLocks/>
                </wp:cNvGraphicFramePr>
                <a:graphic>
                  <a:graphicData uri="http://schemas.microsoft.com/office/word/2010/wordprocessingShape">
                    <wps:wsp>
                      <wps:cNvPr id="84" name="Textbox 84"/>
                      <wps:cNvSpPr txBox="1"/>
                      <wps:spPr>
                        <a:xfrm>
                          <a:off x="0" y="0"/>
                          <a:ext cx="299720" cy="1995805"/>
                        </a:xfrm>
                        <a:prstGeom prst="rect">
                          <a:avLst/>
                        </a:prstGeom>
                      </wps:spPr>
                      <wps:txbx>
                        <w:txbxContent>
                          <w:p>
                            <w:pPr>
                              <w:spacing w:before="20"/>
                              <w:ind w:left="20" w:right="0" w:firstLine="0"/>
                              <w:jc w:val="left"/>
                              <w:rPr>
                                <w:rFonts w:ascii="Minion Pro"/>
                                <w:sz w:val="32"/>
                              </w:rPr>
                            </w:pPr>
                            <w:r>
                              <w:rPr>
                                <w:rFonts w:ascii="Minion Pro"/>
                                <w:color w:val="231F20"/>
                                <w:sz w:val="32"/>
                              </w:rPr>
                              <w:t>Commented</w:t>
                            </w:r>
                            <w:r>
                              <w:rPr>
                                <w:rFonts w:ascii="Minion Pro"/>
                                <w:color w:val="231F20"/>
                                <w:spacing w:val="-10"/>
                                <w:sz w:val="32"/>
                              </w:rPr>
                              <w:t> </w:t>
                            </w:r>
                            <w:r>
                              <w:rPr>
                                <w:rFonts w:ascii="Minion Pro"/>
                                <w:color w:val="231F20"/>
                                <w:spacing w:val="-2"/>
                                <w:sz w:val="32"/>
                              </w:rPr>
                              <w:t>documents</w:t>
                            </w:r>
                          </w:p>
                        </w:txbxContent>
                      </wps:txbx>
                      <wps:bodyPr wrap="square" lIns="0" tIns="0" rIns="0" bIns="0" rtlCol="0" vert="vert">
                        <a:noAutofit/>
                      </wps:bodyPr>
                    </wps:wsp>
                  </a:graphicData>
                </a:graphic>
              </wp:anchor>
            </w:drawing>
          </mc:Choice>
          <mc:Fallback>
            <w:pict>
              <v:shape style="position:absolute;margin-left:443.712402pt;margin-top:220.102402pt;width:23.6pt;height:157.15pt;mso-position-horizontal-relative:page;mso-position-vertical-relative:page;z-index:15752192" type="#_x0000_t202" id="docshape69" filled="false" stroked="false">
                <v:textbox inset="0,0,0,0" style="layout-flow:vertical">
                  <w:txbxContent>
                    <w:p>
                      <w:pPr>
                        <w:spacing w:before="20"/>
                        <w:ind w:left="20" w:right="0" w:firstLine="0"/>
                        <w:jc w:val="left"/>
                        <w:rPr>
                          <w:rFonts w:ascii="Minion Pro"/>
                          <w:sz w:val="32"/>
                        </w:rPr>
                      </w:pPr>
                      <w:r>
                        <w:rPr>
                          <w:rFonts w:ascii="Minion Pro"/>
                          <w:color w:val="231F20"/>
                          <w:sz w:val="32"/>
                        </w:rPr>
                        <w:t>Commented</w:t>
                      </w:r>
                      <w:r>
                        <w:rPr>
                          <w:rFonts w:ascii="Minion Pro"/>
                          <w:color w:val="231F20"/>
                          <w:spacing w:val="-10"/>
                          <w:sz w:val="32"/>
                        </w:rPr>
                        <w:t> </w:t>
                      </w:r>
                      <w:r>
                        <w:rPr>
                          <w:rFonts w:ascii="Minion Pro"/>
                          <w:color w:val="231F20"/>
                          <w:spacing w:val="-2"/>
                          <w:sz w:val="32"/>
                        </w:rPr>
                        <w:t>documents</w:t>
                      </w:r>
                    </w:p>
                  </w:txbxContent>
                </v:textbox>
                <w10:wrap type="none"/>
              </v:shape>
            </w:pict>
          </mc:Fallback>
        </mc:AlternateContent>
      </w:r>
      <w:r>
        <w:rPr>
          <w:color w:val="231F20"/>
        </w:rPr>
        <w:t>la cooperazione amministrativa, poi completata da ben altre sette </w:t>
      </w:r>
      <w:r>
        <w:rPr>
          <w:color w:val="231F20"/>
        </w:rPr>
        <w:t>direttive DAC, che la produzione legislativa dell’Unione europea in tale settore ha conosciuto un rapido, per non dire impetuoso, sviluppo al punto da aver ormai eguagliato in consistenza la legislazione dell’Unione in materia di imposte armonizzate</w:t>
      </w:r>
      <w:r>
        <w:rPr>
          <w:rFonts w:ascii="Times New Roman" w:hAnsi="Times New Roman"/>
          <w:color w:val="231F20"/>
          <w:position w:val="8"/>
          <w:sz w:val="14"/>
        </w:rPr>
        <w:t>59</w:t>
      </w:r>
      <w:r>
        <w:rPr>
          <w:color w:val="231F20"/>
        </w:rPr>
        <w:t>.</w:t>
      </w:r>
    </w:p>
    <w:p>
      <w:pPr>
        <w:pStyle w:val="BodyText"/>
        <w:spacing w:line="225" w:lineRule="auto" w:before="7"/>
        <w:ind w:left="157" w:right="117" w:firstLine="340"/>
        <w:jc w:val="both"/>
      </w:pPr>
      <w:r>
        <w:rPr>
          <w:color w:val="231F20"/>
        </w:rPr>
        <w:t>Per una fortunata coincidenza il 1° dicembre 2009 entrava in vigore con il Trattato di Lisbona, la Carta dei diritti fondamentali dell’Unione europea</w:t>
      </w:r>
      <w:r>
        <w:rPr>
          <w:color w:val="231F20"/>
          <w:spacing w:val="-3"/>
        </w:rPr>
        <w:t> </w:t>
      </w:r>
      <w:r>
        <w:rPr>
          <w:color w:val="231F20"/>
        </w:rPr>
        <w:t>(in</w:t>
      </w:r>
      <w:r>
        <w:rPr>
          <w:color w:val="231F20"/>
          <w:spacing w:val="-3"/>
        </w:rPr>
        <w:t> </w:t>
      </w:r>
      <w:r>
        <w:rPr>
          <w:color w:val="231F20"/>
        </w:rPr>
        <w:t>seguito:</w:t>
      </w:r>
      <w:r>
        <w:rPr>
          <w:color w:val="231F20"/>
          <w:spacing w:val="-3"/>
        </w:rPr>
        <w:t> </w:t>
      </w:r>
      <w:r>
        <w:rPr>
          <w:color w:val="231F20"/>
        </w:rPr>
        <w:t>CDF</w:t>
      </w:r>
      <w:r>
        <w:rPr>
          <w:color w:val="231F20"/>
          <w:spacing w:val="-3"/>
        </w:rPr>
        <w:t> </w:t>
      </w:r>
      <w:r>
        <w:rPr>
          <w:color w:val="231F20"/>
        </w:rPr>
        <w:t>o</w:t>
      </w:r>
      <w:r>
        <w:rPr>
          <w:color w:val="231F20"/>
          <w:spacing w:val="-3"/>
        </w:rPr>
        <w:t> </w:t>
      </w:r>
      <w:r>
        <w:rPr>
          <w:color w:val="231F20"/>
        </w:rPr>
        <w:t>«Carta»),</w:t>
      </w:r>
      <w:r>
        <w:rPr>
          <w:color w:val="231F20"/>
          <w:spacing w:val="-3"/>
        </w:rPr>
        <w:t> </w:t>
      </w:r>
      <w:r>
        <w:rPr>
          <w:color w:val="231F20"/>
        </w:rPr>
        <w:t>fra</w:t>
      </w:r>
      <w:r>
        <w:rPr>
          <w:color w:val="231F20"/>
          <w:spacing w:val="-3"/>
        </w:rPr>
        <w:t> </w:t>
      </w:r>
      <w:r>
        <w:rPr>
          <w:color w:val="231F20"/>
        </w:rPr>
        <w:t>i</w:t>
      </w:r>
      <w:r>
        <w:rPr>
          <w:color w:val="231F20"/>
          <w:spacing w:val="-3"/>
        </w:rPr>
        <w:t> </w:t>
      </w:r>
      <w:r>
        <w:rPr>
          <w:color w:val="231F20"/>
        </w:rPr>
        <w:t>quali</w:t>
      </w:r>
      <w:r>
        <w:rPr>
          <w:color w:val="231F20"/>
          <w:spacing w:val="-3"/>
        </w:rPr>
        <w:t> </w:t>
      </w:r>
      <w:r>
        <w:rPr>
          <w:color w:val="231F20"/>
        </w:rPr>
        <w:t>ve</w:t>
      </w:r>
      <w:r>
        <w:rPr>
          <w:color w:val="231F20"/>
          <w:spacing w:val="-3"/>
        </w:rPr>
        <w:t> </w:t>
      </w:r>
      <w:r>
        <w:rPr>
          <w:color w:val="231F20"/>
        </w:rPr>
        <w:t>n’erano</w:t>
      </w:r>
      <w:r>
        <w:rPr>
          <w:color w:val="231F20"/>
          <w:spacing w:val="-3"/>
        </w:rPr>
        <w:t> </w:t>
      </w:r>
      <w:r>
        <w:rPr>
          <w:color w:val="231F20"/>
        </w:rPr>
        <w:t>almeno</w:t>
      </w:r>
      <w:r>
        <w:rPr>
          <w:color w:val="231F20"/>
          <w:spacing w:val="-3"/>
        </w:rPr>
        <w:t> </w:t>
      </w:r>
      <w:r>
        <w:rPr>
          <w:color w:val="231F20"/>
        </w:rPr>
        <w:t>due</w:t>
      </w:r>
      <w:r>
        <w:rPr>
          <w:color w:val="231F20"/>
          <w:spacing w:val="-3"/>
        </w:rPr>
        <w:t> </w:t>
      </w:r>
      <w:r>
        <w:rPr>
          <w:color w:val="231F20"/>
        </w:rPr>
        <w:t>-</w:t>
      </w:r>
      <w:r>
        <w:rPr>
          <w:color w:val="231F20"/>
          <w:spacing w:val="-3"/>
        </w:rPr>
        <w:t> </w:t>
      </w:r>
      <w:r>
        <w:rPr>
          <w:color w:val="231F20"/>
        </w:rPr>
        <w:t>il diritto</w:t>
      </w:r>
      <w:r>
        <w:rPr>
          <w:color w:val="231F20"/>
          <w:spacing w:val="-12"/>
        </w:rPr>
        <w:t> </w:t>
      </w:r>
      <w:r>
        <w:rPr>
          <w:color w:val="231F20"/>
        </w:rPr>
        <w:t>ad</w:t>
      </w:r>
      <w:r>
        <w:rPr>
          <w:color w:val="231F20"/>
          <w:spacing w:val="-12"/>
        </w:rPr>
        <w:t> </w:t>
      </w:r>
      <w:r>
        <w:rPr>
          <w:color w:val="231F20"/>
        </w:rPr>
        <w:t>un</w:t>
      </w:r>
      <w:r>
        <w:rPr>
          <w:color w:val="231F20"/>
          <w:spacing w:val="-12"/>
        </w:rPr>
        <w:t> </w:t>
      </w:r>
      <w:r>
        <w:rPr>
          <w:color w:val="231F20"/>
        </w:rPr>
        <w:t>ricorso</w:t>
      </w:r>
      <w:r>
        <w:rPr>
          <w:color w:val="231F20"/>
          <w:spacing w:val="-12"/>
        </w:rPr>
        <w:t> </w:t>
      </w:r>
      <w:r>
        <w:rPr>
          <w:color w:val="231F20"/>
        </w:rPr>
        <w:t>giurisdizionale</w:t>
      </w:r>
      <w:r>
        <w:rPr>
          <w:color w:val="231F20"/>
          <w:spacing w:val="-12"/>
        </w:rPr>
        <w:t> </w:t>
      </w:r>
      <w:r>
        <w:rPr>
          <w:color w:val="231F20"/>
        </w:rPr>
        <w:t>effettivo</w:t>
      </w:r>
      <w:r>
        <w:rPr>
          <w:color w:val="231F20"/>
          <w:spacing w:val="-12"/>
        </w:rPr>
        <w:t> </w:t>
      </w:r>
      <w:r>
        <w:rPr>
          <w:color w:val="231F20"/>
        </w:rPr>
        <w:t>e</w:t>
      </w:r>
      <w:r>
        <w:rPr>
          <w:color w:val="231F20"/>
          <w:spacing w:val="-12"/>
        </w:rPr>
        <w:t> </w:t>
      </w:r>
      <w:r>
        <w:rPr>
          <w:color w:val="231F20"/>
        </w:rPr>
        <w:t>il</w:t>
      </w:r>
      <w:r>
        <w:rPr>
          <w:color w:val="231F20"/>
          <w:spacing w:val="-12"/>
        </w:rPr>
        <w:t> </w:t>
      </w:r>
      <w:r>
        <w:rPr>
          <w:color w:val="231F20"/>
        </w:rPr>
        <w:t>diritto</w:t>
      </w:r>
      <w:r>
        <w:rPr>
          <w:color w:val="231F20"/>
          <w:spacing w:val="-12"/>
        </w:rPr>
        <w:t> </w:t>
      </w:r>
      <w:r>
        <w:rPr>
          <w:color w:val="231F20"/>
        </w:rPr>
        <w:t>alla</w:t>
      </w:r>
      <w:r>
        <w:rPr>
          <w:color w:val="231F20"/>
          <w:spacing w:val="-12"/>
        </w:rPr>
        <w:t> </w:t>
      </w:r>
      <w:r>
        <w:rPr>
          <w:color w:val="231F20"/>
        </w:rPr>
        <w:t>riservatezza</w:t>
      </w:r>
      <w:r>
        <w:rPr>
          <w:color w:val="231F20"/>
          <w:spacing w:val="-12"/>
        </w:rPr>
        <w:t> </w:t>
      </w:r>
      <w:r>
        <w:rPr>
          <w:color w:val="231F20"/>
        </w:rPr>
        <w:t>del- la comunicazioni - che interferivano direttamente con l’applicazione delle direttive sulla cooperazione fra le amministrazioni finanziarie degli </w:t>
      </w:r>
      <w:r>
        <w:rPr>
          <w:color w:val="231F20"/>
        </w:rPr>
        <w:t>Stati membri.</w:t>
      </w:r>
      <w:r>
        <w:rPr>
          <w:color w:val="231F20"/>
          <w:spacing w:val="40"/>
        </w:rPr>
        <w:t> </w:t>
      </w:r>
      <w:r>
        <w:rPr>
          <w:color w:val="231F20"/>
        </w:rPr>
        <w:t>Dall’interazione fra la Carta e gli atti di legislazione secondaria sulla cooperazione amministrativa è scaturita una serie di sentenze della Corte di giustizia che, pur essendo limitate in numero, presentano una grande importanza quanto ai principi generali di diritto dell’Unione nel- le stesse enunciati, come dimostra anche la circostanza che alcune di tali pronunce sono state decise dalla Corte stessa nella formazione «Grande sezione»</w:t>
      </w:r>
      <w:r>
        <w:rPr>
          <w:color w:val="231F20"/>
          <w:spacing w:val="-14"/>
        </w:rPr>
        <w:t> </w:t>
      </w:r>
      <w:r>
        <w:rPr>
          <w:color w:val="231F20"/>
        </w:rPr>
        <w:t>(a</w:t>
      </w:r>
      <w:r>
        <w:rPr>
          <w:color w:val="231F20"/>
          <w:spacing w:val="-13"/>
        </w:rPr>
        <w:t> </w:t>
      </w:r>
      <w:r>
        <w:rPr>
          <w:color w:val="231F20"/>
        </w:rPr>
        <w:t>Sezioni</w:t>
      </w:r>
      <w:r>
        <w:rPr>
          <w:color w:val="231F20"/>
          <w:spacing w:val="-14"/>
        </w:rPr>
        <w:t> </w:t>
      </w:r>
      <w:r>
        <w:rPr>
          <w:color w:val="231F20"/>
        </w:rPr>
        <w:t>unite).</w:t>
      </w:r>
      <w:r>
        <w:rPr>
          <w:color w:val="231F20"/>
          <w:spacing w:val="-14"/>
        </w:rPr>
        <w:t> </w:t>
      </w:r>
      <w:r>
        <w:rPr>
          <w:color w:val="231F20"/>
        </w:rPr>
        <w:t>Oggetto</w:t>
      </w:r>
      <w:r>
        <w:rPr>
          <w:color w:val="231F20"/>
          <w:spacing w:val="-13"/>
        </w:rPr>
        <w:t> </w:t>
      </w:r>
      <w:r>
        <w:rPr>
          <w:color w:val="231F20"/>
        </w:rPr>
        <w:t>del</w:t>
      </w:r>
      <w:r>
        <w:rPr>
          <w:color w:val="231F20"/>
          <w:spacing w:val="-14"/>
        </w:rPr>
        <w:t> </w:t>
      </w:r>
      <w:r>
        <w:rPr>
          <w:color w:val="231F20"/>
        </w:rPr>
        <w:t>presente</w:t>
      </w:r>
      <w:r>
        <w:rPr>
          <w:color w:val="231F20"/>
          <w:spacing w:val="-13"/>
        </w:rPr>
        <w:t> </w:t>
      </w:r>
      <w:r>
        <w:rPr>
          <w:color w:val="231F20"/>
        </w:rPr>
        <w:t>studio</w:t>
      </w:r>
      <w:r>
        <w:rPr>
          <w:color w:val="231F20"/>
          <w:spacing w:val="-14"/>
        </w:rPr>
        <w:t> </w:t>
      </w:r>
      <w:r>
        <w:rPr>
          <w:color w:val="231F20"/>
        </w:rPr>
        <w:t>sarà</w:t>
      </w:r>
      <w:r>
        <w:rPr>
          <w:color w:val="231F20"/>
          <w:spacing w:val="-14"/>
        </w:rPr>
        <w:t> </w:t>
      </w:r>
      <w:r>
        <w:rPr>
          <w:color w:val="231F20"/>
        </w:rPr>
        <w:t>proprio</w:t>
      </w:r>
      <w:r>
        <w:rPr>
          <w:color w:val="231F20"/>
          <w:spacing w:val="-14"/>
        </w:rPr>
        <w:t> </w:t>
      </w:r>
      <w:r>
        <w:rPr>
          <w:color w:val="231F20"/>
        </w:rPr>
        <w:t>la</w:t>
      </w:r>
      <w:r>
        <w:rPr>
          <w:color w:val="231F20"/>
          <w:spacing w:val="-13"/>
        </w:rPr>
        <w:t> </w:t>
      </w:r>
      <w:r>
        <w:rPr>
          <w:color w:val="231F20"/>
        </w:rPr>
        <w:t>giuri- sprudenza</w:t>
      </w:r>
      <w:r>
        <w:rPr>
          <w:color w:val="231F20"/>
          <w:spacing w:val="-4"/>
        </w:rPr>
        <w:t> </w:t>
      </w:r>
      <w:r>
        <w:rPr>
          <w:color w:val="231F20"/>
        </w:rPr>
        <w:t>dei</w:t>
      </w:r>
      <w:r>
        <w:rPr>
          <w:color w:val="231F20"/>
          <w:spacing w:val="-4"/>
        </w:rPr>
        <w:t> </w:t>
      </w:r>
      <w:r>
        <w:rPr>
          <w:color w:val="231F20"/>
        </w:rPr>
        <w:t>giudici</w:t>
      </w:r>
      <w:r>
        <w:rPr>
          <w:color w:val="231F20"/>
          <w:spacing w:val="-4"/>
        </w:rPr>
        <w:t> </w:t>
      </w:r>
      <w:r>
        <w:rPr>
          <w:color w:val="231F20"/>
        </w:rPr>
        <w:t>dell’Unione</w:t>
      </w:r>
      <w:r>
        <w:rPr>
          <w:color w:val="231F20"/>
          <w:spacing w:val="-4"/>
        </w:rPr>
        <w:t> </w:t>
      </w:r>
      <w:r>
        <w:rPr>
          <w:color w:val="231F20"/>
        </w:rPr>
        <w:t>in</w:t>
      </w:r>
      <w:r>
        <w:rPr>
          <w:color w:val="231F20"/>
          <w:spacing w:val="-4"/>
        </w:rPr>
        <w:t> </w:t>
      </w:r>
      <w:r>
        <w:rPr>
          <w:color w:val="231F20"/>
        </w:rPr>
        <w:t>materia</w:t>
      </w:r>
      <w:r>
        <w:rPr>
          <w:color w:val="231F20"/>
          <w:spacing w:val="-4"/>
        </w:rPr>
        <w:t> </w:t>
      </w:r>
      <w:r>
        <w:rPr>
          <w:color w:val="231F20"/>
        </w:rPr>
        <w:t>di</w:t>
      </w:r>
      <w:r>
        <w:rPr>
          <w:color w:val="231F20"/>
          <w:spacing w:val="-4"/>
        </w:rPr>
        <w:t> </w:t>
      </w:r>
      <w:r>
        <w:rPr>
          <w:color w:val="231F20"/>
        </w:rPr>
        <w:t>atti</w:t>
      </w:r>
      <w:r>
        <w:rPr>
          <w:color w:val="231F20"/>
          <w:spacing w:val="-4"/>
        </w:rPr>
        <w:t> </w:t>
      </w:r>
      <w:r>
        <w:rPr>
          <w:color w:val="231F20"/>
        </w:rPr>
        <w:t>legislativi</w:t>
      </w:r>
      <w:r>
        <w:rPr>
          <w:color w:val="231F20"/>
          <w:spacing w:val="-4"/>
        </w:rPr>
        <w:t> </w:t>
      </w:r>
      <w:r>
        <w:rPr>
          <w:color w:val="231F20"/>
        </w:rPr>
        <w:t>disciplinanti la cooperazione fra amministrazioni finanziarie nazionali.</w:t>
      </w:r>
    </w:p>
    <w:p>
      <w:pPr>
        <w:pStyle w:val="BodyText"/>
        <w:spacing w:line="225" w:lineRule="auto" w:before="19"/>
        <w:ind w:left="157" w:right="117" w:firstLine="340"/>
        <w:jc w:val="both"/>
      </w:pPr>
      <w:r>
        <w:rPr>
          <w:color w:val="231F20"/>
        </w:rPr>
        <w:t>Gli</w:t>
      </w:r>
      <w:r>
        <w:rPr>
          <w:color w:val="231F20"/>
          <w:spacing w:val="-7"/>
        </w:rPr>
        <w:t> </w:t>
      </w:r>
      <w:r>
        <w:rPr>
          <w:color w:val="231F20"/>
        </w:rPr>
        <w:t>atti</w:t>
      </w:r>
      <w:r>
        <w:rPr>
          <w:color w:val="231F20"/>
          <w:spacing w:val="-7"/>
        </w:rPr>
        <w:t> </w:t>
      </w:r>
      <w:r>
        <w:rPr>
          <w:color w:val="231F20"/>
        </w:rPr>
        <w:t>legislativi</w:t>
      </w:r>
      <w:r>
        <w:rPr>
          <w:color w:val="231F20"/>
          <w:spacing w:val="-7"/>
        </w:rPr>
        <w:t> </w:t>
      </w:r>
      <w:r>
        <w:rPr>
          <w:color w:val="231F20"/>
        </w:rPr>
        <w:t>dell’Unione</w:t>
      </w:r>
      <w:r>
        <w:rPr>
          <w:color w:val="231F20"/>
          <w:spacing w:val="-7"/>
        </w:rPr>
        <w:t> </w:t>
      </w:r>
      <w:r>
        <w:rPr>
          <w:color w:val="231F20"/>
        </w:rPr>
        <w:t>che</w:t>
      </w:r>
      <w:r>
        <w:rPr>
          <w:color w:val="231F20"/>
          <w:spacing w:val="-7"/>
        </w:rPr>
        <w:t> </w:t>
      </w:r>
      <w:r>
        <w:rPr>
          <w:color w:val="231F20"/>
        </w:rPr>
        <w:t>disciplinano</w:t>
      </w:r>
      <w:r>
        <w:rPr>
          <w:color w:val="231F20"/>
          <w:spacing w:val="-7"/>
        </w:rPr>
        <w:t> </w:t>
      </w:r>
      <w:r>
        <w:rPr>
          <w:color w:val="231F20"/>
        </w:rPr>
        <w:t>attualmente</w:t>
      </w:r>
      <w:r>
        <w:rPr>
          <w:color w:val="231F20"/>
          <w:spacing w:val="-7"/>
        </w:rPr>
        <w:t> </w:t>
      </w:r>
      <w:r>
        <w:rPr>
          <w:color w:val="231F20"/>
        </w:rPr>
        <w:t>la</w:t>
      </w:r>
      <w:r>
        <w:rPr>
          <w:color w:val="231F20"/>
          <w:spacing w:val="-7"/>
        </w:rPr>
        <w:t> </w:t>
      </w:r>
      <w:r>
        <w:rPr>
          <w:color w:val="231F20"/>
        </w:rPr>
        <w:t>coopera- zione fra le amministrazioni finanziarie degli Stati membri sono in primo luogo la precitata direttiva 2011/16/UE (DAC 1), che costituisce il qua- dro generale delle regole e delle procedure per lo scambio di informazioni finalizzato alla riduzione dei rischi di evasione, elusione e frode fiscali. La direttiva di base del 2011, come sopra ricordato, è stata successivamente completata da altre direttive fra le quali meritano di essere segnalate: la direttiva</w:t>
      </w:r>
      <w:r>
        <w:rPr>
          <w:color w:val="231F20"/>
          <w:spacing w:val="-13"/>
        </w:rPr>
        <w:t> </w:t>
      </w:r>
      <w:r>
        <w:rPr>
          <w:color w:val="231F20"/>
        </w:rPr>
        <w:t>2018/822/UE</w:t>
      </w:r>
      <w:r>
        <w:rPr>
          <w:color w:val="231F20"/>
          <w:spacing w:val="-13"/>
        </w:rPr>
        <w:t> </w:t>
      </w:r>
      <w:r>
        <w:rPr>
          <w:color w:val="231F20"/>
        </w:rPr>
        <w:t>(DAC</w:t>
      </w:r>
      <w:r>
        <w:rPr>
          <w:color w:val="231F20"/>
          <w:spacing w:val="-13"/>
        </w:rPr>
        <w:t> </w:t>
      </w:r>
      <w:r>
        <w:rPr>
          <w:color w:val="231F20"/>
        </w:rPr>
        <w:t>6),</w:t>
      </w:r>
      <w:r>
        <w:rPr>
          <w:color w:val="231F20"/>
          <w:spacing w:val="-13"/>
        </w:rPr>
        <w:t> </w:t>
      </w:r>
      <w:r>
        <w:rPr>
          <w:color w:val="231F20"/>
        </w:rPr>
        <w:t>che</w:t>
      </w:r>
      <w:r>
        <w:rPr>
          <w:color w:val="231F20"/>
          <w:spacing w:val="-13"/>
        </w:rPr>
        <w:t> </w:t>
      </w:r>
      <w:r>
        <w:rPr>
          <w:color w:val="231F20"/>
        </w:rPr>
        <w:t>ha</w:t>
      </w:r>
      <w:r>
        <w:rPr>
          <w:color w:val="231F20"/>
          <w:spacing w:val="-13"/>
        </w:rPr>
        <w:t> </w:t>
      </w:r>
      <w:r>
        <w:rPr>
          <w:color w:val="231F20"/>
        </w:rPr>
        <w:t>introdotto</w:t>
      </w:r>
      <w:r>
        <w:rPr>
          <w:color w:val="231F20"/>
          <w:spacing w:val="-13"/>
        </w:rPr>
        <w:t> </w:t>
      </w:r>
      <w:r>
        <w:rPr>
          <w:color w:val="231F20"/>
        </w:rPr>
        <w:t>lo</w:t>
      </w:r>
      <w:r>
        <w:rPr>
          <w:color w:val="231F20"/>
          <w:spacing w:val="-13"/>
        </w:rPr>
        <w:t> </w:t>
      </w:r>
      <w:r>
        <w:rPr>
          <w:color w:val="231F20"/>
        </w:rPr>
        <w:t>scambio</w:t>
      </w:r>
      <w:r>
        <w:rPr>
          <w:color w:val="231F20"/>
          <w:spacing w:val="-13"/>
        </w:rPr>
        <w:t> </w:t>
      </w:r>
      <w:r>
        <w:rPr>
          <w:color w:val="231F20"/>
        </w:rPr>
        <w:t>automatico obbligatorio</w:t>
      </w:r>
      <w:r>
        <w:rPr>
          <w:color w:val="231F20"/>
          <w:spacing w:val="-1"/>
        </w:rPr>
        <w:t> </w:t>
      </w:r>
      <w:r>
        <w:rPr>
          <w:color w:val="231F20"/>
        </w:rPr>
        <w:t>delle</w:t>
      </w:r>
      <w:r>
        <w:rPr>
          <w:color w:val="231F20"/>
          <w:spacing w:val="-1"/>
        </w:rPr>
        <w:t> </w:t>
      </w:r>
      <w:r>
        <w:rPr>
          <w:color w:val="231F20"/>
        </w:rPr>
        <w:t>informazioni</w:t>
      </w:r>
      <w:r>
        <w:rPr>
          <w:color w:val="231F20"/>
          <w:spacing w:val="-1"/>
        </w:rPr>
        <w:t> </w:t>
      </w:r>
      <w:r>
        <w:rPr>
          <w:color w:val="231F20"/>
        </w:rPr>
        <w:t>relative</w:t>
      </w:r>
      <w:r>
        <w:rPr>
          <w:color w:val="231F20"/>
          <w:spacing w:val="-1"/>
        </w:rPr>
        <w:t> </w:t>
      </w:r>
      <w:r>
        <w:rPr>
          <w:color w:val="231F20"/>
        </w:rPr>
        <w:t>ai</w:t>
      </w:r>
      <w:r>
        <w:rPr>
          <w:color w:val="231F20"/>
          <w:spacing w:val="-1"/>
        </w:rPr>
        <w:t> </w:t>
      </w:r>
      <w:r>
        <w:rPr>
          <w:color w:val="231F20"/>
        </w:rPr>
        <w:t>c.d.</w:t>
      </w:r>
      <w:r>
        <w:rPr>
          <w:color w:val="231F20"/>
          <w:spacing w:val="-1"/>
        </w:rPr>
        <w:t> </w:t>
      </w:r>
      <w:r>
        <w:rPr>
          <w:color w:val="231F20"/>
        </w:rPr>
        <w:t>«meccanismi</w:t>
      </w:r>
      <w:r>
        <w:rPr>
          <w:color w:val="231F20"/>
          <w:spacing w:val="-1"/>
        </w:rPr>
        <w:t> </w:t>
      </w:r>
      <w:r>
        <w:rPr>
          <w:color w:val="231F20"/>
        </w:rPr>
        <w:t>transfrontalie- ri di pianificazione fiscale aggressiva»; la direttiva 2021/514/UE (DAC 7) che ha incluso nelle procedure di scambio di informazioni anche le ven- dite effettuate e i servizi forniti tramite piattaforme digitali; la direttiva 2023/2226/UE (DAC 8) che ha esteso l’ambito dello scambio obbliga- torio di informazioni anche alle cripto-attività e ai c.d. </w:t>
      </w:r>
      <w:r>
        <w:rPr>
          <w:i/>
          <w:color w:val="231F20"/>
        </w:rPr>
        <w:t>rulings </w:t>
      </w:r>
      <w:r>
        <w:rPr>
          <w:color w:val="231F20"/>
        </w:rPr>
        <w:t>fiscali pre- ventivi</w:t>
      </w:r>
      <w:r>
        <w:rPr>
          <w:color w:val="231F20"/>
          <w:spacing w:val="10"/>
        </w:rPr>
        <w:t> </w:t>
      </w:r>
      <w:r>
        <w:rPr>
          <w:color w:val="231F20"/>
        </w:rPr>
        <w:t>per</w:t>
      </w:r>
      <w:r>
        <w:rPr>
          <w:color w:val="231F20"/>
          <w:spacing w:val="11"/>
        </w:rPr>
        <w:t> </w:t>
      </w:r>
      <w:r>
        <w:rPr>
          <w:color w:val="231F20"/>
        </w:rPr>
        <w:t>i</w:t>
      </w:r>
      <w:r>
        <w:rPr>
          <w:color w:val="231F20"/>
          <w:spacing w:val="11"/>
        </w:rPr>
        <w:t> </w:t>
      </w:r>
      <w:r>
        <w:rPr>
          <w:color w:val="231F20"/>
        </w:rPr>
        <w:t>contribuenti</w:t>
      </w:r>
      <w:r>
        <w:rPr>
          <w:color w:val="231F20"/>
          <w:spacing w:val="11"/>
        </w:rPr>
        <w:t> </w:t>
      </w:r>
      <w:r>
        <w:rPr>
          <w:color w:val="231F20"/>
        </w:rPr>
        <w:t>più</w:t>
      </w:r>
      <w:r>
        <w:rPr>
          <w:color w:val="231F20"/>
          <w:spacing w:val="10"/>
        </w:rPr>
        <w:t> </w:t>
      </w:r>
      <w:r>
        <w:rPr>
          <w:color w:val="231F20"/>
        </w:rPr>
        <w:t>ricchi.</w:t>
      </w:r>
      <w:r>
        <w:rPr>
          <w:color w:val="231F20"/>
          <w:spacing w:val="11"/>
        </w:rPr>
        <w:t> </w:t>
      </w:r>
      <w:r>
        <w:rPr>
          <w:color w:val="231F20"/>
        </w:rPr>
        <w:t>La</w:t>
      </w:r>
      <w:r>
        <w:rPr>
          <w:color w:val="231F20"/>
          <w:spacing w:val="11"/>
        </w:rPr>
        <w:t> </w:t>
      </w:r>
      <w:r>
        <w:rPr>
          <w:color w:val="231F20"/>
        </w:rPr>
        <w:t>cooperazione</w:t>
      </w:r>
      <w:r>
        <w:rPr>
          <w:color w:val="231F20"/>
          <w:spacing w:val="11"/>
        </w:rPr>
        <w:t> </w:t>
      </w:r>
      <w:r>
        <w:rPr>
          <w:color w:val="231F20"/>
        </w:rPr>
        <w:t>fra</w:t>
      </w:r>
      <w:r>
        <w:rPr>
          <w:color w:val="231F20"/>
          <w:spacing w:val="11"/>
        </w:rPr>
        <w:t> </w:t>
      </w:r>
      <w:r>
        <w:rPr>
          <w:color w:val="231F20"/>
          <w:spacing w:val="-2"/>
        </w:rPr>
        <w:t>amministrazioni</w:t>
      </w:r>
    </w:p>
    <w:p>
      <w:pPr>
        <w:pStyle w:val="BodyText"/>
        <w:rPr>
          <w:sz w:val="5"/>
        </w:rPr>
      </w:pPr>
      <w:r>
        <w:rPr/>
        <mc:AlternateContent>
          <mc:Choice Requires="wps">
            <w:drawing>
              <wp:anchor distT="0" distB="0" distL="0" distR="0" allowOverlap="1" layoutInCell="1" locked="0" behindDoc="1" simplePos="0" relativeHeight="487610368">
                <wp:simplePos x="0" y="0"/>
                <wp:positionH relativeFrom="page">
                  <wp:posOffset>899999</wp:posOffset>
                </wp:positionH>
                <wp:positionV relativeFrom="paragraph">
                  <wp:posOffset>55667</wp:posOffset>
                </wp:positionV>
                <wp:extent cx="792480" cy="1270"/>
                <wp:effectExtent l="0" t="0" r="0" b="0"/>
                <wp:wrapTopAndBottom/>
                <wp:docPr id="85" name="Graphic 85"/>
                <wp:cNvGraphicFramePr>
                  <a:graphicFrameLocks/>
                </wp:cNvGraphicFramePr>
                <a:graphic>
                  <a:graphicData uri="http://schemas.microsoft.com/office/word/2010/wordprocessingShape">
                    <wps:wsp>
                      <wps:cNvPr id="85" name="Graphic 85"/>
                      <wps:cNvSpPr/>
                      <wps:spPr>
                        <a:xfrm>
                          <a:off x="0" y="0"/>
                          <a:ext cx="792480" cy="1270"/>
                        </a:xfrm>
                        <a:custGeom>
                          <a:avLst/>
                          <a:gdLst/>
                          <a:ahLst/>
                          <a:cxnLst/>
                          <a:rect l="l" t="t" r="r" b="b"/>
                          <a:pathLst>
                            <a:path w="792480" h="0">
                              <a:moveTo>
                                <a:pt x="0" y="0"/>
                              </a:moveTo>
                              <a:lnTo>
                                <a:pt x="791997"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shape style="position:absolute;margin-left:70.866096pt;margin-top:4.3833pt;width:62.4pt;height:.1pt;mso-position-horizontal-relative:page;mso-position-vertical-relative:paragraph;z-index:-15706112;mso-wrap-distance-left:0;mso-wrap-distance-right:0" id="docshape70" coordorigin="1417,88" coordsize="1248,0" path="m1417,88l2665,88e" filled="false" stroked="true" strokeweight=".5pt" strokecolor="#231f20">
                <v:path arrowok="t"/>
                <v:stroke dashstyle="solid"/>
                <w10:wrap type="topAndBottom"/>
              </v:shape>
            </w:pict>
          </mc:Fallback>
        </mc:AlternateContent>
      </w:r>
    </w:p>
    <w:p>
      <w:pPr>
        <w:spacing w:line="225" w:lineRule="auto" w:before="201"/>
        <w:ind w:left="157" w:right="118" w:firstLine="0"/>
        <w:jc w:val="both"/>
        <w:rPr>
          <w:sz w:val="19"/>
        </w:rPr>
      </w:pPr>
      <w:r>
        <w:rPr>
          <w:color w:val="231F20"/>
          <w:position w:val="6"/>
          <w:sz w:val="11"/>
        </w:rPr>
        <w:t>59</w:t>
      </w:r>
      <w:r>
        <w:rPr>
          <w:color w:val="231F20"/>
          <w:spacing w:val="64"/>
          <w:position w:val="6"/>
          <w:sz w:val="11"/>
        </w:rPr>
        <w:t>  </w:t>
      </w:r>
      <w:r>
        <w:rPr>
          <w:color w:val="231F20"/>
          <w:sz w:val="19"/>
        </w:rPr>
        <w:t>Per</w:t>
      </w:r>
      <w:r>
        <w:rPr>
          <w:color w:val="231F20"/>
          <w:spacing w:val="25"/>
          <w:sz w:val="19"/>
        </w:rPr>
        <w:t> </w:t>
      </w:r>
      <w:r>
        <w:rPr>
          <w:color w:val="231F20"/>
          <w:sz w:val="19"/>
        </w:rPr>
        <w:t>un’analisi</w:t>
      </w:r>
      <w:r>
        <w:rPr>
          <w:color w:val="231F20"/>
          <w:spacing w:val="25"/>
          <w:sz w:val="19"/>
        </w:rPr>
        <w:t> </w:t>
      </w:r>
      <w:r>
        <w:rPr>
          <w:color w:val="231F20"/>
          <w:sz w:val="19"/>
        </w:rPr>
        <w:t>del</w:t>
      </w:r>
      <w:r>
        <w:rPr>
          <w:color w:val="231F20"/>
          <w:spacing w:val="25"/>
          <w:sz w:val="19"/>
        </w:rPr>
        <w:t> </w:t>
      </w:r>
      <w:r>
        <w:rPr>
          <w:color w:val="231F20"/>
          <w:sz w:val="19"/>
        </w:rPr>
        <w:t>complesso</w:t>
      </w:r>
      <w:r>
        <w:rPr>
          <w:color w:val="231F20"/>
          <w:spacing w:val="25"/>
          <w:sz w:val="19"/>
        </w:rPr>
        <w:t> </w:t>
      </w:r>
      <w:r>
        <w:rPr>
          <w:color w:val="231F20"/>
          <w:sz w:val="19"/>
        </w:rPr>
        <w:t>delle</w:t>
      </w:r>
      <w:r>
        <w:rPr>
          <w:color w:val="231F20"/>
          <w:spacing w:val="25"/>
          <w:sz w:val="19"/>
        </w:rPr>
        <w:t> </w:t>
      </w:r>
      <w:r>
        <w:rPr>
          <w:color w:val="231F20"/>
          <w:sz w:val="19"/>
        </w:rPr>
        <w:t>direttive</w:t>
      </w:r>
      <w:r>
        <w:rPr>
          <w:color w:val="231F20"/>
          <w:spacing w:val="25"/>
          <w:sz w:val="19"/>
        </w:rPr>
        <w:t> </w:t>
      </w:r>
      <w:r>
        <w:rPr>
          <w:color w:val="231F20"/>
          <w:sz w:val="19"/>
        </w:rPr>
        <w:t>dell’Unione</w:t>
      </w:r>
      <w:r>
        <w:rPr>
          <w:color w:val="231F20"/>
          <w:spacing w:val="25"/>
          <w:sz w:val="19"/>
        </w:rPr>
        <w:t> </w:t>
      </w:r>
      <w:r>
        <w:rPr>
          <w:color w:val="231F20"/>
          <w:sz w:val="19"/>
        </w:rPr>
        <w:t>in</w:t>
      </w:r>
      <w:r>
        <w:rPr>
          <w:color w:val="231F20"/>
          <w:spacing w:val="25"/>
          <w:sz w:val="19"/>
        </w:rPr>
        <w:t> </w:t>
      </w:r>
      <w:r>
        <w:rPr>
          <w:color w:val="231F20"/>
          <w:sz w:val="19"/>
        </w:rPr>
        <w:t>materia</w:t>
      </w:r>
      <w:r>
        <w:rPr>
          <w:color w:val="231F20"/>
          <w:spacing w:val="25"/>
          <w:sz w:val="19"/>
        </w:rPr>
        <w:t> </w:t>
      </w:r>
      <w:r>
        <w:rPr>
          <w:color w:val="231F20"/>
          <w:sz w:val="19"/>
        </w:rPr>
        <w:t>di</w:t>
      </w:r>
      <w:r>
        <w:rPr>
          <w:color w:val="231F20"/>
          <w:spacing w:val="25"/>
          <w:sz w:val="19"/>
        </w:rPr>
        <w:t> </w:t>
      </w:r>
      <w:r>
        <w:rPr>
          <w:color w:val="231F20"/>
          <w:sz w:val="19"/>
        </w:rPr>
        <w:t>cooperazione</w:t>
      </w:r>
      <w:r>
        <w:rPr>
          <w:color w:val="231F20"/>
          <w:spacing w:val="25"/>
          <w:sz w:val="19"/>
        </w:rPr>
        <w:t> </w:t>
      </w:r>
      <w:r>
        <w:rPr>
          <w:color w:val="231F20"/>
          <w:sz w:val="19"/>
        </w:rPr>
        <w:t>fra le amministrazioni finanziarie degli Stati membri, v. P. Pistone, </w:t>
      </w:r>
      <w:r>
        <w:rPr>
          <w:i/>
          <w:color w:val="231F20"/>
          <w:sz w:val="19"/>
        </w:rPr>
        <w:t>Diritto tributario </w:t>
      </w:r>
      <w:r>
        <w:rPr>
          <w:i/>
          <w:color w:val="231F20"/>
          <w:sz w:val="19"/>
        </w:rPr>
        <w:t>europeo</w:t>
      </w:r>
      <w:r>
        <w:rPr>
          <w:color w:val="231F20"/>
          <w:sz w:val="19"/>
        </w:rPr>
        <w:t>, Torino, 2022, pp. 257-271.</w:t>
      </w:r>
    </w:p>
    <w:p>
      <w:pPr>
        <w:spacing w:after="0" w:line="225" w:lineRule="auto"/>
        <w:jc w:val="both"/>
        <w:rPr>
          <w:sz w:val="19"/>
        </w:rPr>
        <w:sectPr>
          <w:pgSz w:w="9640" w:h="13610"/>
          <w:pgMar w:header="0" w:footer="625" w:top="1260" w:bottom="820" w:left="1260" w:right="1240"/>
        </w:sectPr>
      </w:pPr>
    </w:p>
    <w:p>
      <w:pPr>
        <w:pStyle w:val="BodyText"/>
        <w:spacing w:line="225" w:lineRule="auto" w:before="117"/>
        <w:ind w:left="100" w:right="174"/>
        <w:jc w:val="both"/>
      </w:pPr>
      <w:r>
        <w:rPr>
          <w:color w:val="231F20"/>
        </w:rPr>
        <w:t>finanziarie avente ad oggetto le imposte armonizzate è invece </w:t>
      </w:r>
      <w:r>
        <w:rPr>
          <w:color w:val="231F20"/>
        </w:rPr>
        <w:t>disciplinata da regolamenti per definizione direttamente applicabili su tutto il territo- rio dell’Unione e precisamente dal regolamento (UE) 904/2010 relativo agli scambi di informazioni in materia di IVA</w:t>
      </w:r>
      <w:r>
        <w:rPr>
          <w:color w:val="231F20"/>
          <w:position w:val="8"/>
          <w:sz w:val="14"/>
        </w:rPr>
        <w:t>60</w:t>
      </w:r>
      <w:r>
        <w:rPr>
          <w:color w:val="231F20"/>
          <w:spacing w:val="40"/>
          <w:position w:val="8"/>
          <w:sz w:val="14"/>
        </w:rPr>
        <w:t> </w:t>
      </w:r>
      <w:r>
        <w:rPr>
          <w:color w:val="231F20"/>
        </w:rPr>
        <w:t>e dal regolamento (UE) 389/2012</w:t>
      </w:r>
      <w:r>
        <w:rPr>
          <w:color w:val="231F20"/>
          <w:spacing w:val="-17"/>
        </w:rPr>
        <w:t> </w:t>
      </w:r>
      <w:r>
        <w:rPr>
          <w:color w:val="231F20"/>
        </w:rPr>
        <w:t>relativo</w:t>
      </w:r>
      <w:r>
        <w:rPr>
          <w:color w:val="231F20"/>
          <w:spacing w:val="-15"/>
        </w:rPr>
        <w:t> </w:t>
      </w:r>
      <w:r>
        <w:rPr>
          <w:color w:val="231F20"/>
        </w:rPr>
        <w:t>alla</w:t>
      </w:r>
      <w:r>
        <w:rPr>
          <w:color w:val="231F20"/>
          <w:spacing w:val="-15"/>
        </w:rPr>
        <w:t> </w:t>
      </w:r>
      <w:r>
        <w:rPr>
          <w:color w:val="231F20"/>
        </w:rPr>
        <w:t>cooperazione</w:t>
      </w:r>
      <w:r>
        <w:rPr>
          <w:color w:val="231F20"/>
          <w:spacing w:val="-15"/>
        </w:rPr>
        <w:t> </w:t>
      </w:r>
      <w:r>
        <w:rPr>
          <w:color w:val="231F20"/>
        </w:rPr>
        <w:t>fra</w:t>
      </w:r>
      <w:r>
        <w:rPr>
          <w:color w:val="231F20"/>
          <w:spacing w:val="-15"/>
        </w:rPr>
        <w:t> </w:t>
      </w:r>
      <w:r>
        <w:rPr>
          <w:color w:val="231F20"/>
        </w:rPr>
        <w:t>le</w:t>
      </w:r>
      <w:r>
        <w:rPr>
          <w:color w:val="231F20"/>
          <w:spacing w:val="-15"/>
        </w:rPr>
        <w:t> </w:t>
      </w:r>
      <w:r>
        <w:rPr>
          <w:color w:val="231F20"/>
        </w:rPr>
        <w:t>amministrazioni</w:t>
      </w:r>
      <w:r>
        <w:rPr>
          <w:color w:val="231F20"/>
          <w:spacing w:val="-15"/>
        </w:rPr>
        <w:t> </w:t>
      </w:r>
      <w:r>
        <w:rPr>
          <w:color w:val="231F20"/>
        </w:rPr>
        <w:t>nazionali</w:t>
      </w:r>
      <w:r>
        <w:rPr>
          <w:color w:val="231F20"/>
          <w:spacing w:val="-15"/>
        </w:rPr>
        <w:t> </w:t>
      </w:r>
      <w:r>
        <w:rPr>
          <w:color w:val="231F20"/>
        </w:rPr>
        <w:t>in</w:t>
      </w:r>
      <w:r>
        <w:rPr>
          <w:color w:val="231F20"/>
          <w:spacing w:val="-15"/>
        </w:rPr>
        <w:t> </w:t>
      </w:r>
      <w:r>
        <w:rPr>
          <w:color w:val="231F20"/>
        </w:rPr>
        <w:t>ma- teria di accise</w:t>
      </w:r>
      <w:r>
        <w:rPr>
          <w:color w:val="231F20"/>
          <w:position w:val="8"/>
          <w:sz w:val="14"/>
        </w:rPr>
        <w:t>61</w:t>
      </w:r>
      <w:r>
        <w:rPr>
          <w:color w:val="231F20"/>
        </w:rPr>
        <w:t>. Va infine ricordata l’ultima «erede» della prima precitata direttiva del 1976 riguardante la cooperazione amministrativa, vale a dire la</w:t>
      </w:r>
      <w:r>
        <w:rPr>
          <w:color w:val="231F20"/>
          <w:spacing w:val="-9"/>
        </w:rPr>
        <w:t> </w:t>
      </w:r>
      <w:r>
        <w:rPr>
          <w:color w:val="231F20"/>
        </w:rPr>
        <w:t>direttiva</w:t>
      </w:r>
      <w:r>
        <w:rPr>
          <w:color w:val="231F20"/>
          <w:spacing w:val="-9"/>
        </w:rPr>
        <w:t> </w:t>
      </w:r>
      <w:r>
        <w:rPr>
          <w:color w:val="231F20"/>
        </w:rPr>
        <w:t>2010/24/UE</w:t>
      </w:r>
      <w:r>
        <w:rPr>
          <w:color w:val="231F20"/>
          <w:spacing w:val="-9"/>
        </w:rPr>
        <w:t> </w:t>
      </w:r>
      <w:r>
        <w:rPr>
          <w:color w:val="231F20"/>
        </w:rPr>
        <w:t>sull’assistenza</w:t>
      </w:r>
      <w:r>
        <w:rPr>
          <w:color w:val="231F20"/>
          <w:spacing w:val="-9"/>
        </w:rPr>
        <w:t> </w:t>
      </w:r>
      <w:r>
        <w:rPr>
          <w:color w:val="231F20"/>
        </w:rPr>
        <w:t>reciproca</w:t>
      </w:r>
      <w:r>
        <w:rPr>
          <w:color w:val="231F20"/>
          <w:spacing w:val="-9"/>
        </w:rPr>
        <w:t> </w:t>
      </w:r>
      <w:r>
        <w:rPr>
          <w:color w:val="231F20"/>
        </w:rPr>
        <w:t>in</w:t>
      </w:r>
      <w:r>
        <w:rPr>
          <w:color w:val="231F20"/>
          <w:spacing w:val="-9"/>
        </w:rPr>
        <w:t> </w:t>
      </w:r>
      <w:r>
        <w:rPr>
          <w:color w:val="231F20"/>
        </w:rPr>
        <w:t>materia</w:t>
      </w:r>
      <w:r>
        <w:rPr>
          <w:color w:val="231F20"/>
          <w:spacing w:val="-9"/>
        </w:rPr>
        <w:t> </w:t>
      </w:r>
      <w:r>
        <w:rPr>
          <w:color w:val="231F20"/>
        </w:rPr>
        <w:t>di</w:t>
      </w:r>
      <w:r>
        <w:rPr>
          <w:color w:val="231F20"/>
          <w:spacing w:val="-9"/>
        </w:rPr>
        <w:t> </w:t>
      </w:r>
      <w:r>
        <w:rPr>
          <w:color w:val="231F20"/>
        </w:rPr>
        <w:t>recupero</w:t>
      </w:r>
      <w:r>
        <w:rPr>
          <w:color w:val="231F20"/>
          <w:spacing w:val="-9"/>
        </w:rPr>
        <w:t> </w:t>
      </w:r>
      <w:r>
        <w:rPr>
          <w:color w:val="231F20"/>
        </w:rPr>
        <w:t>dei crediti tributari relativi a dazi e imposte</w:t>
      </w:r>
      <w:r>
        <w:rPr>
          <w:color w:val="231F20"/>
          <w:position w:val="8"/>
          <w:sz w:val="14"/>
        </w:rPr>
        <w:t>62</w:t>
      </w:r>
      <w:r>
        <w:rPr>
          <w:color w:val="231F20"/>
        </w:rPr>
        <w:t>.</w:t>
      </w:r>
    </w:p>
    <w:p>
      <w:pPr>
        <w:pStyle w:val="BodyText"/>
      </w:pPr>
    </w:p>
    <w:p>
      <w:pPr>
        <w:pStyle w:val="BodyText"/>
        <w:spacing w:before="30"/>
      </w:pPr>
    </w:p>
    <w:p>
      <w:pPr>
        <w:pStyle w:val="Heading3"/>
        <w:numPr>
          <w:ilvl w:val="0"/>
          <w:numId w:val="4"/>
        </w:numPr>
        <w:tabs>
          <w:tab w:pos="382" w:val="left" w:leader="none"/>
        </w:tabs>
        <w:spacing w:line="244" w:lineRule="auto" w:before="0" w:after="0"/>
        <w:ind w:left="100" w:right="291" w:firstLine="0"/>
        <w:jc w:val="left"/>
        <w:rPr>
          <w:b/>
        </w:rPr>
      </w:pPr>
      <w:r>
        <w:rPr>
          <w:b/>
          <w:color w:val="231F20"/>
        </w:rPr>
        <w:t>Le</w:t>
      </w:r>
      <w:r>
        <w:rPr>
          <w:b/>
          <w:color w:val="231F20"/>
          <w:spacing w:val="-7"/>
        </w:rPr>
        <w:t> </w:t>
      </w:r>
      <w:r>
        <w:rPr>
          <w:b/>
          <w:color w:val="231F20"/>
        </w:rPr>
        <w:t>sentenze</w:t>
      </w:r>
      <w:r>
        <w:rPr>
          <w:b/>
          <w:color w:val="231F20"/>
          <w:spacing w:val="-7"/>
        </w:rPr>
        <w:t> </w:t>
      </w:r>
      <w:r>
        <w:rPr>
          <w:b/>
          <w:color w:val="231F20"/>
        </w:rPr>
        <w:t>aventi</w:t>
      </w:r>
      <w:r>
        <w:rPr>
          <w:b/>
          <w:color w:val="231F20"/>
          <w:spacing w:val="-7"/>
        </w:rPr>
        <w:t> </w:t>
      </w:r>
      <w:r>
        <w:rPr>
          <w:b/>
          <w:color w:val="231F20"/>
        </w:rPr>
        <w:t>ad</w:t>
      </w:r>
      <w:r>
        <w:rPr>
          <w:b/>
          <w:color w:val="231F20"/>
          <w:spacing w:val="-7"/>
        </w:rPr>
        <w:t> </w:t>
      </w:r>
      <w:r>
        <w:rPr>
          <w:b/>
          <w:color w:val="231F20"/>
        </w:rPr>
        <w:t>oggetto</w:t>
      </w:r>
      <w:r>
        <w:rPr>
          <w:b/>
          <w:color w:val="231F20"/>
          <w:spacing w:val="-7"/>
        </w:rPr>
        <w:t> </w:t>
      </w:r>
      <w:r>
        <w:rPr>
          <w:b/>
          <w:color w:val="231F20"/>
        </w:rPr>
        <w:t>l’interpretazione</w:t>
      </w:r>
      <w:r>
        <w:rPr>
          <w:b/>
          <w:color w:val="231F20"/>
          <w:spacing w:val="-7"/>
        </w:rPr>
        <w:t> </w:t>
      </w:r>
      <w:r>
        <w:rPr>
          <w:b/>
          <w:color w:val="231F20"/>
        </w:rPr>
        <w:t>o</w:t>
      </w:r>
      <w:r>
        <w:rPr>
          <w:b/>
          <w:color w:val="231F20"/>
          <w:spacing w:val="-7"/>
        </w:rPr>
        <w:t> </w:t>
      </w:r>
      <w:r>
        <w:rPr>
          <w:b/>
          <w:color w:val="231F20"/>
        </w:rPr>
        <w:t>la</w:t>
      </w:r>
      <w:r>
        <w:rPr>
          <w:b/>
          <w:color w:val="231F20"/>
          <w:spacing w:val="-7"/>
        </w:rPr>
        <w:t> </w:t>
      </w:r>
      <w:r>
        <w:rPr>
          <w:b/>
          <w:color w:val="231F20"/>
        </w:rPr>
        <w:t>validità della direttiva 2011/16/UE «relativa alla cooperazione amministrativa nel settore fiscale»</w:t>
      </w:r>
    </w:p>
    <w:p>
      <w:pPr>
        <w:pStyle w:val="BodyText"/>
        <w:spacing w:line="225" w:lineRule="auto" w:before="252"/>
        <w:ind w:left="100" w:right="174"/>
        <w:jc w:val="both"/>
      </w:pPr>
      <w:r>
        <w:rPr>
          <w:color w:val="231F20"/>
        </w:rPr>
        <w:t>La</w:t>
      </w:r>
      <w:r>
        <w:rPr>
          <w:color w:val="231F20"/>
          <w:spacing w:val="-15"/>
        </w:rPr>
        <w:t> </w:t>
      </w:r>
      <w:r>
        <w:rPr>
          <w:color w:val="231F20"/>
        </w:rPr>
        <w:t>direttiva</w:t>
      </w:r>
      <w:r>
        <w:rPr>
          <w:color w:val="231F20"/>
          <w:spacing w:val="-15"/>
        </w:rPr>
        <w:t> </w:t>
      </w:r>
      <w:r>
        <w:rPr>
          <w:color w:val="231F20"/>
        </w:rPr>
        <w:t>2011/16/UE</w:t>
      </w:r>
      <w:r>
        <w:rPr>
          <w:color w:val="231F20"/>
          <w:spacing w:val="-15"/>
        </w:rPr>
        <w:t> </w:t>
      </w:r>
      <w:r>
        <w:rPr>
          <w:color w:val="231F20"/>
        </w:rPr>
        <w:t>«relativa</w:t>
      </w:r>
      <w:r>
        <w:rPr>
          <w:color w:val="231F20"/>
          <w:spacing w:val="-15"/>
        </w:rPr>
        <w:t> </w:t>
      </w:r>
      <w:r>
        <w:rPr>
          <w:color w:val="231F20"/>
        </w:rPr>
        <w:t>alla</w:t>
      </w:r>
      <w:r>
        <w:rPr>
          <w:color w:val="231F20"/>
          <w:spacing w:val="-15"/>
        </w:rPr>
        <w:t> </w:t>
      </w:r>
      <w:r>
        <w:rPr>
          <w:color w:val="231F20"/>
        </w:rPr>
        <w:t>cooperazione</w:t>
      </w:r>
      <w:r>
        <w:rPr>
          <w:color w:val="231F20"/>
          <w:spacing w:val="-15"/>
        </w:rPr>
        <w:t> </w:t>
      </w:r>
      <w:r>
        <w:rPr>
          <w:color w:val="231F20"/>
        </w:rPr>
        <w:t>amministrativa</w:t>
      </w:r>
      <w:r>
        <w:rPr>
          <w:color w:val="231F20"/>
          <w:spacing w:val="-15"/>
        </w:rPr>
        <w:t> </w:t>
      </w:r>
      <w:r>
        <w:rPr>
          <w:color w:val="231F20"/>
        </w:rPr>
        <w:t>nel</w:t>
      </w:r>
      <w:r>
        <w:rPr>
          <w:color w:val="231F20"/>
          <w:spacing w:val="-15"/>
        </w:rPr>
        <w:t> </w:t>
      </w:r>
      <w:r>
        <w:rPr>
          <w:color w:val="231F20"/>
        </w:rPr>
        <w:t>set- tore</w:t>
      </w:r>
      <w:r>
        <w:rPr>
          <w:color w:val="231F20"/>
          <w:spacing w:val="-12"/>
        </w:rPr>
        <w:t> </w:t>
      </w:r>
      <w:r>
        <w:rPr>
          <w:color w:val="231F20"/>
        </w:rPr>
        <w:t>fiscale»</w:t>
      </w:r>
      <w:r>
        <w:rPr>
          <w:color w:val="231F20"/>
          <w:spacing w:val="-12"/>
        </w:rPr>
        <w:t> </w:t>
      </w:r>
      <w:r>
        <w:rPr>
          <w:color w:val="231F20"/>
        </w:rPr>
        <w:t>ha</w:t>
      </w:r>
      <w:r>
        <w:rPr>
          <w:color w:val="231F20"/>
          <w:spacing w:val="-12"/>
        </w:rPr>
        <w:t> </w:t>
      </w:r>
      <w:r>
        <w:rPr>
          <w:color w:val="231F20"/>
        </w:rPr>
        <w:t>formato</w:t>
      </w:r>
      <w:r>
        <w:rPr>
          <w:color w:val="231F20"/>
          <w:spacing w:val="-12"/>
        </w:rPr>
        <w:t> </w:t>
      </w:r>
      <w:r>
        <w:rPr>
          <w:color w:val="231F20"/>
        </w:rPr>
        <w:t>l’oggetto,</w:t>
      </w:r>
      <w:r>
        <w:rPr>
          <w:color w:val="231F20"/>
          <w:spacing w:val="-12"/>
        </w:rPr>
        <w:t> </w:t>
      </w:r>
      <w:r>
        <w:rPr>
          <w:color w:val="231F20"/>
        </w:rPr>
        <w:t>dalla</w:t>
      </w:r>
      <w:r>
        <w:rPr>
          <w:color w:val="231F20"/>
          <w:spacing w:val="-12"/>
        </w:rPr>
        <w:t> </w:t>
      </w:r>
      <w:r>
        <w:rPr>
          <w:color w:val="231F20"/>
        </w:rPr>
        <w:t>data</w:t>
      </w:r>
      <w:r>
        <w:rPr>
          <w:color w:val="231F20"/>
          <w:spacing w:val="-12"/>
        </w:rPr>
        <w:t> </w:t>
      </w:r>
      <w:r>
        <w:rPr>
          <w:color w:val="231F20"/>
        </w:rPr>
        <w:t>della</w:t>
      </w:r>
      <w:r>
        <w:rPr>
          <w:color w:val="231F20"/>
          <w:spacing w:val="-12"/>
        </w:rPr>
        <w:t> </w:t>
      </w:r>
      <w:r>
        <w:rPr>
          <w:color w:val="231F20"/>
        </w:rPr>
        <w:t>sua</w:t>
      </w:r>
      <w:r>
        <w:rPr>
          <w:color w:val="231F20"/>
          <w:spacing w:val="-12"/>
        </w:rPr>
        <w:t> </w:t>
      </w:r>
      <w:r>
        <w:rPr>
          <w:color w:val="231F20"/>
        </w:rPr>
        <w:t>adozione</w:t>
      </w:r>
      <w:r>
        <w:rPr>
          <w:color w:val="231F20"/>
          <w:spacing w:val="-12"/>
        </w:rPr>
        <w:t> </w:t>
      </w:r>
      <w:r>
        <w:rPr>
          <w:color w:val="231F20"/>
        </w:rPr>
        <w:t>(15</w:t>
      </w:r>
      <w:r>
        <w:rPr>
          <w:color w:val="231F20"/>
          <w:spacing w:val="-12"/>
        </w:rPr>
        <w:t> </w:t>
      </w:r>
      <w:r>
        <w:rPr>
          <w:color w:val="231F20"/>
        </w:rPr>
        <w:t>febbraio 2011) alla data del presente studio (gennaio 2025), di sole sei sentenze della Corte di giustizia che hanno riguardato specificamente la validità e l’interpretazione di alcune disposizioni di tale medesimo atto legislativo dell’Unione. Si tratta tuttavia di sei pronunce estremamente importanti dal punto visita del loro contenuto – come dimostra anche la circostanza che</w:t>
      </w:r>
      <w:r>
        <w:rPr>
          <w:color w:val="231F20"/>
          <w:spacing w:val="-1"/>
        </w:rPr>
        <w:t> </w:t>
      </w:r>
      <w:r>
        <w:rPr>
          <w:color w:val="231F20"/>
        </w:rPr>
        <w:t>ben</w:t>
      </w:r>
      <w:r>
        <w:rPr>
          <w:color w:val="231F20"/>
          <w:spacing w:val="-1"/>
        </w:rPr>
        <w:t> </w:t>
      </w:r>
      <w:r>
        <w:rPr>
          <w:color w:val="231F20"/>
        </w:rPr>
        <w:t>tre</w:t>
      </w:r>
      <w:r>
        <w:rPr>
          <w:color w:val="231F20"/>
          <w:spacing w:val="-1"/>
        </w:rPr>
        <w:t> </w:t>
      </w:r>
      <w:r>
        <w:rPr>
          <w:color w:val="231F20"/>
        </w:rPr>
        <w:t>di</w:t>
      </w:r>
      <w:r>
        <w:rPr>
          <w:color w:val="231F20"/>
          <w:spacing w:val="-1"/>
        </w:rPr>
        <w:t> </w:t>
      </w:r>
      <w:r>
        <w:rPr>
          <w:color w:val="231F20"/>
        </w:rPr>
        <w:t>esse</w:t>
      </w:r>
      <w:r>
        <w:rPr>
          <w:color w:val="231F20"/>
          <w:spacing w:val="-1"/>
        </w:rPr>
        <w:t> </w:t>
      </w:r>
      <w:r>
        <w:rPr>
          <w:color w:val="231F20"/>
        </w:rPr>
        <w:t>sono</w:t>
      </w:r>
      <w:r>
        <w:rPr>
          <w:color w:val="231F20"/>
          <w:spacing w:val="-1"/>
        </w:rPr>
        <w:t> </w:t>
      </w:r>
      <w:r>
        <w:rPr>
          <w:color w:val="231F20"/>
        </w:rPr>
        <w:t>state</w:t>
      </w:r>
      <w:r>
        <w:rPr>
          <w:color w:val="231F20"/>
          <w:spacing w:val="-1"/>
        </w:rPr>
        <w:t> </w:t>
      </w:r>
      <w:r>
        <w:rPr>
          <w:color w:val="231F20"/>
        </w:rPr>
        <w:t>emanate</w:t>
      </w:r>
      <w:r>
        <w:rPr>
          <w:color w:val="231F20"/>
          <w:spacing w:val="-1"/>
        </w:rPr>
        <w:t> </w:t>
      </w:r>
      <w:r>
        <w:rPr>
          <w:color w:val="231F20"/>
        </w:rPr>
        <w:t>dalla</w:t>
      </w:r>
      <w:r>
        <w:rPr>
          <w:color w:val="231F20"/>
          <w:spacing w:val="-1"/>
        </w:rPr>
        <w:t> </w:t>
      </w:r>
      <w:r>
        <w:rPr>
          <w:color w:val="231F20"/>
        </w:rPr>
        <w:t>Corte</w:t>
      </w:r>
      <w:r>
        <w:rPr>
          <w:color w:val="231F20"/>
          <w:spacing w:val="-1"/>
        </w:rPr>
        <w:t> </w:t>
      </w:r>
      <w:r>
        <w:rPr>
          <w:color w:val="231F20"/>
        </w:rPr>
        <w:t>di</w:t>
      </w:r>
      <w:r>
        <w:rPr>
          <w:color w:val="231F20"/>
          <w:spacing w:val="-1"/>
        </w:rPr>
        <w:t> </w:t>
      </w:r>
      <w:r>
        <w:rPr>
          <w:color w:val="231F20"/>
        </w:rPr>
        <w:t>giustizia</w:t>
      </w:r>
      <w:r>
        <w:rPr>
          <w:color w:val="231F20"/>
          <w:spacing w:val="-1"/>
        </w:rPr>
        <w:t> </w:t>
      </w:r>
      <w:r>
        <w:rPr>
          <w:color w:val="231F20"/>
        </w:rPr>
        <w:t>in</w:t>
      </w:r>
      <w:r>
        <w:rPr>
          <w:color w:val="231F20"/>
          <w:spacing w:val="-1"/>
        </w:rPr>
        <w:t> </w:t>
      </w:r>
      <w:r>
        <w:rPr>
          <w:color w:val="231F20"/>
        </w:rPr>
        <w:t>formazio- ne «Grande Sezione» (Sezioni unite) – in quanto le giurisdizioni di rinvio hanno chiesto ai giudici dell’Unione di interpretare alcune significative norme della direttiva alla luce di tre articoli della Carta dei diritti fonda- mentali e segnatamente in relazione all’art. 47 relativo al «Diritto ad un ricorso</w:t>
      </w:r>
      <w:r>
        <w:rPr>
          <w:color w:val="231F20"/>
          <w:spacing w:val="8"/>
        </w:rPr>
        <w:t> </w:t>
      </w:r>
      <w:r>
        <w:rPr>
          <w:color w:val="231F20"/>
        </w:rPr>
        <w:t>effettivo</w:t>
      </w:r>
      <w:r>
        <w:rPr>
          <w:color w:val="231F20"/>
          <w:spacing w:val="9"/>
        </w:rPr>
        <w:t> </w:t>
      </w:r>
      <w:r>
        <w:rPr>
          <w:color w:val="231F20"/>
        </w:rPr>
        <w:t>e</w:t>
      </w:r>
      <w:r>
        <w:rPr>
          <w:color w:val="231F20"/>
          <w:spacing w:val="9"/>
        </w:rPr>
        <w:t> </w:t>
      </w:r>
      <w:r>
        <w:rPr>
          <w:color w:val="231F20"/>
        </w:rPr>
        <w:t>a</w:t>
      </w:r>
      <w:r>
        <w:rPr>
          <w:color w:val="231F20"/>
          <w:spacing w:val="9"/>
        </w:rPr>
        <w:t> </w:t>
      </w:r>
      <w:r>
        <w:rPr>
          <w:color w:val="231F20"/>
        </w:rPr>
        <w:t>un</w:t>
      </w:r>
      <w:r>
        <w:rPr>
          <w:color w:val="231F20"/>
          <w:spacing w:val="9"/>
        </w:rPr>
        <w:t> </w:t>
      </w:r>
      <w:r>
        <w:rPr>
          <w:color w:val="231F20"/>
        </w:rPr>
        <w:t>giudice</w:t>
      </w:r>
      <w:r>
        <w:rPr>
          <w:color w:val="231F20"/>
          <w:spacing w:val="9"/>
        </w:rPr>
        <w:t> </w:t>
      </w:r>
      <w:r>
        <w:rPr>
          <w:color w:val="231F20"/>
        </w:rPr>
        <w:t>imparziale».</w:t>
      </w:r>
      <w:r>
        <w:rPr>
          <w:color w:val="231F20"/>
          <w:spacing w:val="9"/>
        </w:rPr>
        <w:t> </w:t>
      </w:r>
      <w:r>
        <w:rPr>
          <w:color w:val="231F20"/>
        </w:rPr>
        <w:t>Ben</w:t>
      </w:r>
      <w:r>
        <w:rPr>
          <w:color w:val="231F20"/>
          <w:spacing w:val="9"/>
        </w:rPr>
        <w:t> </w:t>
      </w:r>
      <w:r>
        <w:rPr>
          <w:color w:val="231F20"/>
        </w:rPr>
        <w:t>quattro</w:t>
      </w:r>
      <w:r>
        <w:rPr>
          <w:color w:val="231F20"/>
          <w:spacing w:val="9"/>
        </w:rPr>
        <w:t> </w:t>
      </w:r>
      <w:r>
        <w:rPr>
          <w:color w:val="231F20"/>
        </w:rPr>
        <w:t>delle</w:t>
      </w:r>
      <w:r>
        <w:rPr>
          <w:color w:val="231F20"/>
          <w:spacing w:val="9"/>
        </w:rPr>
        <w:t> </w:t>
      </w:r>
      <w:r>
        <w:rPr>
          <w:color w:val="231F20"/>
        </w:rPr>
        <w:t>suddette</w:t>
      </w:r>
      <w:r>
        <w:rPr>
          <w:color w:val="231F20"/>
          <w:spacing w:val="9"/>
        </w:rPr>
        <w:t> </w:t>
      </w:r>
      <w:r>
        <w:rPr>
          <w:color w:val="231F20"/>
          <w:spacing w:val="-5"/>
        </w:rPr>
        <w:t>sei</w:t>
      </w:r>
    </w:p>
    <w:p>
      <w:pPr>
        <w:pStyle w:val="BodyText"/>
        <w:spacing w:before="68"/>
        <w:rPr>
          <w:sz w:val="20"/>
        </w:rPr>
      </w:pPr>
      <w:r>
        <w:rPr/>
        <mc:AlternateContent>
          <mc:Choice Requires="wps">
            <w:drawing>
              <wp:anchor distT="0" distB="0" distL="0" distR="0" allowOverlap="1" layoutInCell="1" locked="0" behindDoc="1" simplePos="0" relativeHeight="487611904">
                <wp:simplePos x="0" y="0"/>
                <wp:positionH relativeFrom="page">
                  <wp:posOffset>864000</wp:posOffset>
                </wp:positionH>
                <wp:positionV relativeFrom="paragraph">
                  <wp:posOffset>219986</wp:posOffset>
                </wp:positionV>
                <wp:extent cx="792480" cy="1270"/>
                <wp:effectExtent l="0" t="0" r="0" b="0"/>
                <wp:wrapTopAndBottom/>
                <wp:docPr id="86" name="Graphic 86"/>
                <wp:cNvGraphicFramePr>
                  <a:graphicFrameLocks/>
                </wp:cNvGraphicFramePr>
                <a:graphic>
                  <a:graphicData uri="http://schemas.microsoft.com/office/word/2010/wordprocessingShape">
                    <wps:wsp>
                      <wps:cNvPr id="86" name="Graphic 86"/>
                      <wps:cNvSpPr/>
                      <wps:spPr>
                        <a:xfrm>
                          <a:off x="0" y="0"/>
                          <a:ext cx="792480" cy="1270"/>
                        </a:xfrm>
                        <a:custGeom>
                          <a:avLst/>
                          <a:gdLst/>
                          <a:ahLst/>
                          <a:cxnLst/>
                          <a:rect l="l" t="t" r="r" b="b"/>
                          <a:pathLst>
                            <a:path w="792480" h="0">
                              <a:moveTo>
                                <a:pt x="0" y="0"/>
                              </a:moveTo>
                              <a:lnTo>
                                <a:pt x="791997"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shape style="position:absolute;margin-left:68.031502pt;margin-top:17.321739pt;width:62.4pt;height:.1pt;mso-position-horizontal-relative:page;mso-position-vertical-relative:paragraph;z-index:-15704576;mso-wrap-distance-left:0;mso-wrap-distance-right:0" id="docshape71" coordorigin="1361,346" coordsize="1248,0" path="m1361,346l2608,346e" filled="false" stroked="true" strokeweight=".5pt" strokecolor="#231f20">
                <v:path arrowok="t"/>
                <v:stroke dashstyle="solid"/>
                <w10:wrap type="topAndBottom"/>
              </v:shape>
            </w:pict>
          </mc:Fallback>
        </mc:AlternateContent>
      </w:r>
    </w:p>
    <w:p>
      <w:pPr>
        <w:spacing w:line="225" w:lineRule="auto" w:before="201"/>
        <w:ind w:left="100" w:right="174" w:firstLine="0"/>
        <w:jc w:val="both"/>
        <w:rPr>
          <w:sz w:val="19"/>
        </w:rPr>
      </w:pPr>
      <w:r>
        <w:rPr>
          <w:color w:val="231F20"/>
          <w:position w:val="6"/>
          <w:sz w:val="11"/>
        </w:rPr>
        <w:t>60</w:t>
      </w:r>
      <w:r>
        <w:rPr>
          <w:color w:val="231F20"/>
          <w:spacing w:val="80"/>
          <w:position w:val="6"/>
          <w:sz w:val="11"/>
        </w:rPr>
        <w:t> </w:t>
      </w:r>
      <w:r>
        <w:rPr>
          <w:color w:val="231F20"/>
          <w:sz w:val="19"/>
        </w:rPr>
        <w:t>Regolamento (UE) 904/2010 del Consiglio del 7 ottobre 2010 relativo alla cooperazione amministrativa e alla lotta contro la frode in materia d’imposta sul valore aggiunto (GUUE L 268, 12.10.2010, p. 1).</w:t>
      </w:r>
    </w:p>
    <w:p>
      <w:pPr>
        <w:spacing w:line="225" w:lineRule="auto" w:before="3"/>
        <w:ind w:left="100" w:right="175" w:firstLine="0"/>
        <w:jc w:val="both"/>
        <w:rPr>
          <w:sz w:val="19"/>
        </w:rPr>
      </w:pPr>
      <w:r>
        <w:rPr>
          <w:color w:val="231F20"/>
          <w:position w:val="6"/>
          <w:sz w:val="11"/>
        </w:rPr>
        <w:t>61</w:t>
      </w:r>
      <w:r>
        <w:rPr>
          <w:color w:val="231F20"/>
          <w:spacing w:val="80"/>
          <w:position w:val="6"/>
          <w:sz w:val="11"/>
        </w:rPr>
        <w:t> </w:t>
      </w:r>
      <w:r>
        <w:rPr>
          <w:color w:val="231F20"/>
          <w:sz w:val="19"/>
        </w:rPr>
        <w:t>Regolamento (UE) 389/2012 del Consiglio del 2 maggio 2012 relativo alla </w:t>
      </w:r>
      <w:r>
        <w:rPr>
          <w:color w:val="231F20"/>
          <w:sz w:val="19"/>
        </w:rPr>
        <w:t>cooperazione amministrativa in materia di accise (GUUE L 121, 8.5.2012, p. 1). Tale regolamento sulla cooperazione amministrativa in materia di accise non ha dato luogo, alla data del presente studio (marzo 2014), ad alcuna sentenza interpretativa della Corte di giustizia.</w:t>
      </w:r>
    </w:p>
    <w:p>
      <w:pPr>
        <w:spacing w:line="225" w:lineRule="auto" w:before="4"/>
        <w:ind w:left="100" w:right="175" w:firstLine="0"/>
        <w:jc w:val="both"/>
        <w:rPr>
          <w:sz w:val="19"/>
        </w:rPr>
      </w:pPr>
      <w:r>
        <w:rPr>
          <w:color w:val="231F20"/>
          <w:position w:val="6"/>
          <w:sz w:val="11"/>
        </w:rPr>
        <w:t>62</w:t>
      </w:r>
      <w:r>
        <w:rPr>
          <w:color w:val="231F20"/>
          <w:spacing w:val="80"/>
          <w:position w:val="6"/>
          <w:sz w:val="11"/>
        </w:rPr>
        <w:t> </w:t>
      </w:r>
      <w:r>
        <w:rPr>
          <w:color w:val="231F20"/>
          <w:sz w:val="19"/>
        </w:rPr>
        <w:t>Direttiva</w:t>
      </w:r>
      <w:r>
        <w:rPr>
          <w:color w:val="231F20"/>
          <w:spacing w:val="-8"/>
          <w:sz w:val="19"/>
        </w:rPr>
        <w:t> </w:t>
      </w:r>
      <w:r>
        <w:rPr>
          <w:color w:val="231F20"/>
          <w:sz w:val="19"/>
        </w:rPr>
        <w:t>2010/24/UE</w:t>
      </w:r>
      <w:r>
        <w:rPr>
          <w:color w:val="231F20"/>
          <w:spacing w:val="-8"/>
          <w:sz w:val="19"/>
        </w:rPr>
        <w:t> </w:t>
      </w:r>
      <w:r>
        <w:rPr>
          <w:color w:val="231F20"/>
          <w:sz w:val="19"/>
        </w:rPr>
        <w:t>del</w:t>
      </w:r>
      <w:r>
        <w:rPr>
          <w:color w:val="231F20"/>
          <w:spacing w:val="-8"/>
          <w:sz w:val="19"/>
        </w:rPr>
        <w:t> </w:t>
      </w:r>
      <w:r>
        <w:rPr>
          <w:color w:val="231F20"/>
          <w:sz w:val="19"/>
        </w:rPr>
        <w:t>Consiglio</w:t>
      </w:r>
      <w:r>
        <w:rPr>
          <w:color w:val="231F20"/>
          <w:spacing w:val="-8"/>
          <w:sz w:val="19"/>
        </w:rPr>
        <w:t> </w:t>
      </w:r>
      <w:r>
        <w:rPr>
          <w:color w:val="231F20"/>
          <w:sz w:val="19"/>
        </w:rPr>
        <w:t>del</w:t>
      </w:r>
      <w:r>
        <w:rPr>
          <w:color w:val="231F20"/>
          <w:spacing w:val="-8"/>
          <w:sz w:val="19"/>
        </w:rPr>
        <w:t> </w:t>
      </w:r>
      <w:r>
        <w:rPr>
          <w:color w:val="231F20"/>
          <w:sz w:val="19"/>
        </w:rPr>
        <w:t>16</w:t>
      </w:r>
      <w:r>
        <w:rPr>
          <w:color w:val="231F20"/>
          <w:spacing w:val="-8"/>
          <w:sz w:val="19"/>
        </w:rPr>
        <w:t> </w:t>
      </w:r>
      <w:r>
        <w:rPr>
          <w:color w:val="231F20"/>
          <w:sz w:val="19"/>
        </w:rPr>
        <w:t>marzo</w:t>
      </w:r>
      <w:r>
        <w:rPr>
          <w:color w:val="231F20"/>
          <w:spacing w:val="-8"/>
          <w:sz w:val="19"/>
        </w:rPr>
        <w:t> </w:t>
      </w:r>
      <w:r>
        <w:rPr>
          <w:color w:val="231F20"/>
          <w:sz w:val="19"/>
        </w:rPr>
        <w:t>2010</w:t>
      </w:r>
      <w:r>
        <w:rPr>
          <w:color w:val="231F20"/>
          <w:spacing w:val="-8"/>
          <w:sz w:val="19"/>
        </w:rPr>
        <w:t> </w:t>
      </w:r>
      <w:r>
        <w:rPr>
          <w:color w:val="231F20"/>
          <w:sz w:val="19"/>
        </w:rPr>
        <w:t>sull’assistenza</w:t>
      </w:r>
      <w:r>
        <w:rPr>
          <w:color w:val="231F20"/>
          <w:spacing w:val="-8"/>
          <w:sz w:val="19"/>
        </w:rPr>
        <w:t> </w:t>
      </w:r>
      <w:r>
        <w:rPr>
          <w:color w:val="231F20"/>
          <w:sz w:val="19"/>
        </w:rPr>
        <w:t>reciproca</w:t>
      </w:r>
      <w:r>
        <w:rPr>
          <w:color w:val="231F20"/>
          <w:spacing w:val="-8"/>
          <w:sz w:val="19"/>
        </w:rPr>
        <w:t> </w:t>
      </w:r>
      <w:r>
        <w:rPr>
          <w:color w:val="231F20"/>
          <w:sz w:val="19"/>
        </w:rPr>
        <w:t>in</w:t>
      </w:r>
      <w:r>
        <w:rPr>
          <w:color w:val="231F20"/>
          <w:spacing w:val="-8"/>
          <w:sz w:val="19"/>
        </w:rPr>
        <w:t> </w:t>
      </w:r>
      <w:r>
        <w:rPr>
          <w:color w:val="231F20"/>
          <w:sz w:val="19"/>
        </w:rPr>
        <w:t>materia di recupero dei crediti risultanti da dazi, imposte ed altre misure (GUUE L 84, 31.3.2010, p. </w:t>
      </w:r>
      <w:r>
        <w:rPr>
          <w:color w:val="231F20"/>
          <w:spacing w:val="-4"/>
          <w:sz w:val="19"/>
        </w:rPr>
        <w:t>1).</w:t>
      </w:r>
    </w:p>
    <w:p>
      <w:pPr>
        <w:spacing w:after="0" w:line="225" w:lineRule="auto"/>
        <w:jc w:val="both"/>
        <w:rPr>
          <w:sz w:val="19"/>
        </w:rPr>
        <w:sectPr>
          <w:pgSz w:w="9640" w:h="13610"/>
          <w:pgMar w:header="0" w:footer="625" w:top="1260" w:bottom="820" w:left="1260" w:right="1240"/>
        </w:sectPr>
      </w:pPr>
    </w:p>
    <w:p>
      <w:pPr>
        <w:pStyle w:val="BodyText"/>
        <w:spacing w:line="225" w:lineRule="auto" w:before="117"/>
        <w:ind w:left="157" w:right="118"/>
        <w:jc w:val="both"/>
      </w:pPr>
      <w:r>
        <w:rPr/>
        <mc:AlternateContent>
          <mc:Choice Requires="wps">
            <w:drawing>
              <wp:anchor distT="0" distB="0" distL="0" distR="0" allowOverlap="1" layoutInCell="1" locked="0" behindDoc="0" simplePos="0" relativeHeight="15753728">
                <wp:simplePos x="0" y="0"/>
                <wp:positionH relativeFrom="page">
                  <wp:posOffset>5608609</wp:posOffset>
                </wp:positionH>
                <wp:positionV relativeFrom="page">
                  <wp:posOffset>2376001</wp:posOffset>
                </wp:positionV>
                <wp:extent cx="511809" cy="2412365"/>
                <wp:effectExtent l="0" t="0" r="0" b="0"/>
                <wp:wrapNone/>
                <wp:docPr id="87" name="Group 87"/>
                <wp:cNvGraphicFramePr>
                  <a:graphicFrameLocks/>
                </wp:cNvGraphicFramePr>
                <a:graphic>
                  <a:graphicData uri="http://schemas.microsoft.com/office/word/2010/wordprocessingGroup">
                    <wpg:wgp>
                      <wpg:cNvPr id="87" name="Group 87"/>
                      <wpg:cNvGrpSpPr/>
                      <wpg:grpSpPr>
                        <a:xfrm>
                          <a:off x="0" y="0"/>
                          <a:ext cx="511809" cy="2412365"/>
                          <a:chExt cx="511809" cy="2412365"/>
                        </a:xfrm>
                      </wpg:grpSpPr>
                      <wps:wsp>
                        <wps:cNvPr id="88" name="Graphic 88"/>
                        <wps:cNvSpPr/>
                        <wps:spPr>
                          <a:xfrm>
                            <a:off x="7393" y="3"/>
                            <a:ext cx="504190" cy="360045"/>
                          </a:xfrm>
                          <a:custGeom>
                            <a:avLst/>
                            <a:gdLst/>
                            <a:ahLst/>
                            <a:cxnLst/>
                            <a:rect l="l" t="t" r="r" b="b"/>
                            <a:pathLst>
                              <a:path w="504190" h="360045">
                                <a:moveTo>
                                  <a:pt x="503999" y="0"/>
                                </a:moveTo>
                                <a:lnTo>
                                  <a:pt x="0" y="0"/>
                                </a:lnTo>
                                <a:lnTo>
                                  <a:pt x="0" y="359994"/>
                                </a:lnTo>
                                <a:lnTo>
                                  <a:pt x="503999" y="359994"/>
                                </a:lnTo>
                                <a:lnTo>
                                  <a:pt x="503999" y="0"/>
                                </a:lnTo>
                                <a:close/>
                              </a:path>
                            </a:pathLst>
                          </a:custGeom>
                          <a:solidFill>
                            <a:srgbClr val="939598"/>
                          </a:solidFill>
                        </wps:spPr>
                        <wps:bodyPr wrap="square" lIns="0" tIns="0" rIns="0" bIns="0" rtlCol="0">
                          <a:prstTxWarp prst="textNoShape">
                            <a:avLst/>
                          </a:prstTxWarp>
                          <a:noAutofit/>
                        </wps:bodyPr>
                      </wps:wsp>
                      <wps:wsp>
                        <wps:cNvPr id="89" name="Graphic 89"/>
                        <wps:cNvSpPr/>
                        <wps:spPr>
                          <a:xfrm>
                            <a:off x="6350" y="0"/>
                            <a:ext cx="1270" cy="2412365"/>
                          </a:xfrm>
                          <a:custGeom>
                            <a:avLst/>
                            <a:gdLst/>
                            <a:ahLst/>
                            <a:cxnLst/>
                            <a:rect l="l" t="t" r="r" b="b"/>
                            <a:pathLst>
                              <a:path w="0" h="2412365">
                                <a:moveTo>
                                  <a:pt x="0" y="0"/>
                                </a:moveTo>
                                <a:lnTo>
                                  <a:pt x="0" y="2411996"/>
                                </a:lnTo>
                              </a:path>
                            </a:pathLst>
                          </a:custGeom>
                          <a:ln w="12700">
                            <a:solidFill>
                              <a:srgbClr val="939598"/>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441.622803pt;margin-top:187.0867pt;width:40.3pt;height:189.95pt;mso-position-horizontal-relative:page;mso-position-vertical-relative:page;z-index:15753728" id="docshapegroup72" coordorigin="8832,3742" coordsize="806,3799">
                <v:rect style="position:absolute;left:8844;top:3741;width:794;height:567" id="docshape73" filled="true" fillcolor="#939598" stroked="false">
                  <v:fill type="solid"/>
                </v:rect>
                <v:line style="position:absolute" from="8842,3742" to="8842,7540" stroked="true" strokeweight="1pt" strokecolor="#939598">
                  <v:stroke dashstyle="solid"/>
                </v:line>
                <w10:wrap type="none"/>
              </v:group>
            </w:pict>
          </mc:Fallback>
        </mc:AlternateContent>
      </w:r>
      <w:r>
        <w:rPr/>
        <mc:AlternateContent>
          <mc:Choice Requires="wps">
            <w:drawing>
              <wp:anchor distT="0" distB="0" distL="0" distR="0" allowOverlap="1" layoutInCell="1" locked="0" behindDoc="0" simplePos="0" relativeHeight="15754240">
                <wp:simplePos x="0" y="0"/>
                <wp:positionH relativeFrom="page">
                  <wp:posOffset>5635147</wp:posOffset>
                </wp:positionH>
                <wp:positionV relativeFrom="page">
                  <wp:posOffset>2795300</wp:posOffset>
                </wp:positionV>
                <wp:extent cx="299720" cy="1995805"/>
                <wp:effectExtent l="0" t="0" r="0" b="0"/>
                <wp:wrapNone/>
                <wp:docPr id="90" name="Textbox 90"/>
                <wp:cNvGraphicFramePr>
                  <a:graphicFrameLocks/>
                </wp:cNvGraphicFramePr>
                <a:graphic>
                  <a:graphicData uri="http://schemas.microsoft.com/office/word/2010/wordprocessingShape">
                    <wps:wsp>
                      <wps:cNvPr id="90" name="Textbox 90"/>
                      <wps:cNvSpPr txBox="1"/>
                      <wps:spPr>
                        <a:xfrm>
                          <a:off x="0" y="0"/>
                          <a:ext cx="299720" cy="1995805"/>
                        </a:xfrm>
                        <a:prstGeom prst="rect">
                          <a:avLst/>
                        </a:prstGeom>
                      </wps:spPr>
                      <wps:txbx>
                        <w:txbxContent>
                          <w:p>
                            <w:pPr>
                              <w:spacing w:before="20"/>
                              <w:ind w:left="20" w:right="0" w:firstLine="0"/>
                              <w:jc w:val="left"/>
                              <w:rPr>
                                <w:rFonts w:ascii="Minion Pro"/>
                                <w:sz w:val="32"/>
                              </w:rPr>
                            </w:pPr>
                            <w:r>
                              <w:rPr>
                                <w:rFonts w:ascii="Minion Pro"/>
                                <w:color w:val="231F20"/>
                                <w:sz w:val="32"/>
                              </w:rPr>
                              <w:t>Commented</w:t>
                            </w:r>
                            <w:r>
                              <w:rPr>
                                <w:rFonts w:ascii="Minion Pro"/>
                                <w:color w:val="231F20"/>
                                <w:spacing w:val="-10"/>
                                <w:sz w:val="32"/>
                              </w:rPr>
                              <w:t> </w:t>
                            </w:r>
                            <w:r>
                              <w:rPr>
                                <w:rFonts w:ascii="Minion Pro"/>
                                <w:color w:val="231F20"/>
                                <w:spacing w:val="-2"/>
                                <w:sz w:val="32"/>
                              </w:rPr>
                              <w:t>documents</w:t>
                            </w:r>
                          </w:p>
                        </w:txbxContent>
                      </wps:txbx>
                      <wps:bodyPr wrap="square" lIns="0" tIns="0" rIns="0" bIns="0" rtlCol="0" vert="vert">
                        <a:noAutofit/>
                      </wps:bodyPr>
                    </wps:wsp>
                  </a:graphicData>
                </a:graphic>
              </wp:anchor>
            </w:drawing>
          </mc:Choice>
          <mc:Fallback>
            <w:pict>
              <v:shape style="position:absolute;margin-left:443.712402pt;margin-top:220.102402pt;width:23.6pt;height:157.15pt;mso-position-horizontal-relative:page;mso-position-vertical-relative:page;z-index:15754240" type="#_x0000_t202" id="docshape74" filled="false" stroked="false">
                <v:textbox inset="0,0,0,0" style="layout-flow:vertical">
                  <w:txbxContent>
                    <w:p>
                      <w:pPr>
                        <w:spacing w:before="20"/>
                        <w:ind w:left="20" w:right="0" w:firstLine="0"/>
                        <w:jc w:val="left"/>
                        <w:rPr>
                          <w:rFonts w:ascii="Minion Pro"/>
                          <w:sz w:val="32"/>
                        </w:rPr>
                      </w:pPr>
                      <w:r>
                        <w:rPr>
                          <w:rFonts w:ascii="Minion Pro"/>
                          <w:color w:val="231F20"/>
                          <w:sz w:val="32"/>
                        </w:rPr>
                        <w:t>Commented</w:t>
                      </w:r>
                      <w:r>
                        <w:rPr>
                          <w:rFonts w:ascii="Minion Pro"/>
                          <w:color w:val="231F20"/>
                          <w:spacing w:val="-10"/>
                          <w:sz w:val="32"/>
                        </w:rPr>
                        <w:t> </w:t>
                      </w:r>
                      <w:r>
                        <w:rPr>
                          <w:rFonts w:ascii="Minion Pro"/>
                          <w:color w:val="231F20"/>
                          <w:spacing w:val="-2"/>
                          <w:sz w:val="32"/>
                        </w:rPr>
                        <w:t>documents</w:t>
                      </w:r>
                    </w:p>
                  </w:txbxContent>
                </v:textbox>
                <w10:wrap type="none"/>
              </v:shape>
            </w:pict>
          </mc:Fallback>
        </mc:AlternateContent>
      </w:r>
      <w:r>
        <w:rPr>
          <w:color w:val="231F20"/>
        </w:rPr>
        <w:t>richieste di interpretazione della direttiva sono state formulate dalla Corte amministrativa d’appello del Lussemburgo, il che si spiega facilmente se</w:t>
      </w:r>
      <w:r>
        <w:rPr>
          <w:color w:val="231F20"/>
          <w:spacing w:val="80"/>
          <w:w w:val="150"/>
        </w:rPr>
        <w:t> </w:t>
      </w:r>
      <w:r>
        <w:rPr>
          <w:color w:val="231F20"/>
        </w:rPr>
        <w:t>si considera che dopo il ritiro del Regno Unito dall’Unione europea, </w:t>
      </w:r>
      <w:r>
        <w:rPr>
          <w:color w:val="231F20"/>
        </w:rPr>
        <w:t>la città</w:t>
      </w:r>
      <w:r>
        <w:rPr>
          <w:color w:val="231F20"/>
          <w:spacing w:val="-5"/>
        </w:rPr>
        <w:t> </w:t>
      </w:r>
      <w:r>
        <w:rPr>
          <w:color w:val="231F20"/>
        </w:rPr>
        <w:t>di</w:t>
      </w:r>
      <w:r>
        <w:rPr>
          <w:color w:val="231F20"/>
          <w:spacing w:val="-5"/>
        </w:rPr>
        <w:t> </w:t>
      </w:r>
      <w:r>
        <w:rPr>
          <w:color w:val="231F20"/>
        </w:rPr>
        <w:t>Lussemburgo</w:t>
      </w:r>
      <w:r>
        <w:rPr>
          <w:color w:val="231F20"/>
          <w:spacing w:val="-5"/>
        </w:rPr>
        <w:t> </w:t>
      </w:r>
      <w:r>
        <w:rPr>
          <w:color w:val="231F20"/>
        </w:rPr>
        <w:t>è</w:t>
      </w:r>
      <w:r>
        <w:rPr>
          <w:color w:val="231F20"/>
          <w:spacing w:val="-5"/>
        </w:rPr>
        <w:t> </w:t>
      </w:r>
      <w:r>
        <w:rPr>
          <w:color w:val="231F20"/>
        </w:rPr>
        <w:t>diventata</w:t>
      </w:r>
      <w:r>
        <w:rPr>
          <w:color w:val="231F20"/>
          <w:spacing w:val="-5"/>
        </w:rPr>
        <w:t> </w:t>
      </w:r>
      <w:r>
        <w:rPr>
          <w:color w:val="231F20"/>
        </w:rPr>
        <w:t>la</w:t>
      </w:r>
      <w:r>
        <w:rPr>
          <w:color w:val="231F20"/>
          <w:spacing w:val="-5"/>
        </w:rPr>
        <w:t> </w:t>
      </w:r>
      <w:r>
        <w:rPr>
          <w:color w:val="231F20"/>
        </w:rPr>
        <w:t>principale</w:t>
      </w:r>
      <w:r>
        <w:rPr>
          <w:color w:val="231F20"/>
          <w:spacing w:val="-5"/>
        </w:rPr>
        <w:t> </w:t>
      </w:r>
      <w:r>
        <w:rPr>
          <w:color w:val="231F20"/>
        </w:rPr>
        <w:t>piazza</w:t>
      </w:r>
      <w:r>
        <w:rPr>
          <w:color w:val="231F20"/>
          <w:spacing w:val="-5"/>
        </w:rPr>
        <w:t> </w:t>
      </w:r>
      <w:r>
        <w:rPr>
          <w:color w:val="231F20"/>
        </w:rPr>
        <w:t>finanziaria</w:t>
      </w:r>
      <w:r>
        <w:rPr>
          <w:color w:val="231F20"/>
          <w:spacing w:val="-5"/>
        </w:rPr>
        <w:t> </w:t>
      </w:r>
      <w:r>
        <w:rPr>
          <w:color w:val="231F20"/>
        </w:rPr>
        <w:t>dell’Unio- ne stessa, con un grande numero di banche, compagnie di assicurazione e società d’investimento aventi sede nel Granducato.</w:t>
      </w:r>
      <w:r>
        <w:rPr>
          <w:color w:val="231F20"/>
          <w:spacing w:val="-1"/>
        </w:rPr>
        <w:t> </w:t>
      </w:r>
      <w:r>
        <w:rPr>
          <w:color w:val="231F20"/>
        </w:rPr>
        <w:t>Va ascritto pertanto ai giudici amministrativi del Lussemburgo il merito di aver posto ai giudici dell’Unione in modo chiaro ed estremamente dettagliato alcuni problemi interpretativi di cruciale importanza dal punto di vista della tutela in giu- dizio dei vari soggetti (contribuente oggetto della verifica fiscale, soggetto detentore delle informazioni richieste ed eventuali altri terzi interessati) coinvolti</w:t>
      </w:r>
      <w:r>
        <w:rPr>
          <w:color w:val="231F20"/>
          <w:spacing w:val="-1"/>
        </w:rPr>
        <w:t> </w:t>
      </w:r>
      <w:r>
        <w:rPr>
          <w:color w:val="231F20"/>
        </w:rPr>
        <w:t>nell’esecuzione</w:t>
      </w:r>
      <w:r>
        <w:rPr>
          <w:color w:val="231F20"/>
          <w:spacing w:val="-1"/>
        </w:rPr>
        <w:t> </w:t>
      </w:r>
      <w:r>
        <w:rPr>
          <w:color w:val="231F20"/>
        </w:rPr>
        <w:t>degli</w:t>
      </w:r>
      <w:r>
        <w:rPr>
          <w:color w:val="231F20"/>
          <w:spacing w:val="-1"/>
        </w:rPr>
        <w:t> </w:t>
      </w:r>
      <w:r>
        <w:rPr>
          <w:color w:val="231F20"/>
        </w:rPr>
        <w:t>scambi</w:t>
      </w:r>
      <w:r>
        <w:rPr>
          <w:color w:val="231F20"/>
          <w:spacing w:val="-1"/>
        </w:rPr>
        <w:t> </w:t>
      </w:r>
      <w:r>
        <w:rPr>
          <w:color w:val="231F20"/>
        </w:rPr>
        <w:t>di</w:t>
      </w:r>
      <w:r>
        <w:rPr>
          <w:color w:val="231F20"/>
          <w:spacing w:val="-1"/>
        </w:rPr>
        <w:t> </w:t>
      </w:r>
      <w:r>
        <w:rPr>
          <w:color w:val="231F20"/>
        </w:rPr>
        <w:t>informazioni</w:t>
      </w:r>
      <w:r>
        <w:rPr>
          <w:color w:val="231F20"/>
          <w:spacing w:val="-1"/>
        </w:rPr>
        <w:t> </w:t>
      </w:r>
      <w:r>
        <w:rPr>
          <w:color w:val="231F20"/>
        </w:rPr>
        <w:t>fra</w:t>
      </w:r>
      <w:r>
        <w:rPr>
          <w:color w:val="231F20"/>
          <w:spacing w:val="-1"/>
        </w:rPr>
        <w:t> </w:t>
      </w:r>
      <w:r>
        <w:rPr>
          <w:color w:val="231F20"/>
        </w:rPr>
        <w:t>amministrazioni finanziarie</w:t>
      </w:r>
      <w:r>
        <w:rPr>
          <w:color w:val="231F20"/>
          <w:spacing w:val="-6"/>
        </w:rPr>
        <w:t> </w:t>
      </w:r>
      <w:r>
        <w:rPr>
          <w:color w:val="231F20"/>
        </w:rPr>
        <w:t>di</w:t>
      </w:r>
      <w:r>
        <w:rPr>
          <w:color w:val="231F20"/>
          <w:spacing w:val="-6"/>
        </w:rPr>
        <w:t> </w:t>
      </w:r>
      <w:r>
        <w:rPr>
          <w:color w:val="231F20"/>
        </w:rPr>
        <w:t>diversi</w:t>
      </w:r>
      <w:r>
        <w:rPr>
          <w:color w:val="231F20"/>
          <w:spacing w:val="-6"/>
        </w:rPr>
        <w:t> </w:t>
      </w:r>
      <w:r>
        <w:rPr>
          <w:color w:val="231F20"/>
        </w:rPr>
        <w:t>Stati</w:t>
      </w:r>
      <w:r>
        <w:rPr>
          <w:color w:val="231F20"/>
          <w:spacing w:val="-6"/>
        </w:rPr>
        <w:t> </w:t>
      </w:r>
      <w:r>
        <w:rPr>
          <w:color w:val="231F20"/>
        </w:rPr>
        <w:t>membri,</w:t>
      </w:r>
      <w:r>
        <w:rPr>
          <w:color w:val="231F20"/>
          <w:spacing w:val="-6"/>
        </w:rPr>
        <w:t> </w:t>
      </w:r>
      <w:r>
        <w:rPr>
          <w:color w:val="231F20"/>
        </w:rPr>
        <w:t>disciplinati</w:t>
      </w:r>
      <w:r>
        <w:rPr>
          <w:color w:val="231F20"/>
          <w:spacing w:val="-6"/>
        </w:rPr>
        <w:t> </w:t>
      </w:r>
      <w:r>
        <w:rPr>
          <w:color w:val="231F20"/>
        </w:rPr>
        <w:t>dalla</w:t>
      </w:r>
      <w:r>
        <w:rPr>
          <w:color w:val="231F20"/>
          <w:spacing w:val="-6"/>
        </w:rPr>
        <w:t> </w:t>
      </w:r>
      <w:r>
        <w:rPr>
          <w:color w:val="231F20"/>
        </w:rPr>
        <w:t>direttiva</w:t>
      </w:r>
      <w:r>
        <w:rPr>
          <w:color w:val="231F20"/>
          <w:spacing w:val="-6"/>
        </w:rPr>
        <w:t> </w:t>
      </w:r>
      <w:r>
        <w:rPr>
          <w:color w:val="231F20"/>
        </w:rPr>
        <w:t>2011/16/UE e dalle successive direttive di modifica della prima direttiva DAC.</w:t>
      </w:r>
    </w:p>
    <w:p>
      <w:pPr>
        <w:pStyle w:val="BodyText"/>
        <w:spacing w:before="159"/>
      </w:pPr>
    </w:p>
    <w:p>
      <w:pPr>
        <w:pStyle w:val="ListParagraph"/>
        <w:numPr>
          <w:ilvl w:val="1"/>
          <w:numId w:val="4"/>
        </w:numPr>
        <w:tabs>
          <w:tab w:pos="569" w:val="left" w:leader="none"/>
        </w:tabs>
        <w:spacing w:line="240" w:lineRule="auto" w:before="0" w:after="0"/>
        <w:ind w:left="569" w:right="0" w:hanging="412"/>
        <w:jc w:val="left"/>
        <w:rPr>
          <w:b/>
          <w:sz w:val="24"/>
        </w:rPr>
      </w:pPr>
      <w:r>
        <w:rPr>
          <w:b/>
          <w:color w:val="231F20"/>
          <w:spacing w:val="-2"/>
          <w:sz w:val="24"/>
        </w:rPr>
        <w:t>La</w:t>
      </w:r>
      <w:r>
        <w:rPr>
          <w:b/>
          <w:color w:val="231F20"/>
          <w:spacing w:val="-9"/>
          <w:sz w:val="24"/>
        </w:rPr>
        <w:t> </w:t>
      </w:r>
      <w:r>
        <w:rPr>
          <w:b/>
          <w:color w:val="231F20"/>
          <w:spacing w:val="-2"/>
          <w:sz w:val="24"/>
        </w:rPr>
        <w:t>sentenza</w:t>
      </w:r>
      <w:r>
        <w:rPr>
          <w:b/>
          <w:color w:val="231F20"/>
          <w:spacing w:val="-8"/>
          <w:sz w:val="24"/>
        </w:rPr>
        <w:t> </w:t>
      </w:r>
      <w:r>
        <w:rPr>
          <w:b/>
          <w:color w:val="231F20"/>
          <w:spacing w:val="-2"/>
          <w:sz w:val="24"/>
        </w:rPr>
        <w:t>del</w:t>
      </w:r>
      <w:r>
        <w:rPr>
          <w:b/>
          <w:color w:val="231F20"/>
          <w:spacing w:val="-8"/>
          <w:sz w:val="24"/>
        </w:rPr>
        <w:t> </w:t>
      </w:r>
      <w:r>
        <w:rPr>
          <w:b/>
          <w:color w:val="231F20"/>
          <w:spacing w:val="-2"/>
          <w:sz w:val="24"/>
        </w:rPr>
        <w:t>16</w:t>
      </w:r>
      <w:r>
        <w:rPr>
          <w:b/>
          <w:color w:val="231F20"/>
          <w:spacing w:val="-9"/>
          <w:sz w:val="24"/>
        </w:rPr>
        <w:t> </w:t>
      </w:r>
      <w:r>
        <w:rPr>
          <w:b/>
          <w:color w:val="231F20"/>
          <w:spacing w:val="-2"/>
          <w:sz w:val="24"/>
        </w:rPr>
        <w:t>maggio</w:t>
      </w:r>
      <w:r>
        <w:rPr>
          <w:b/>
          <w:color w:val="231F20"/>
          <w:spacing w:val="-8"/>
          <w:sz w:val="24"/>
        </w:rPr>
        <w:t> </w:t>
      </w:r>
      <w:r>
        <w:rPr>
          <w:b/>
          <w:color w:val="231F20"/>
          <w:spacing w:val="-2"/>
          <w:sz w:val="24"/>
        </w:rPr>
        <w:t>2017,</w:t>
      </w:r>
      <w:r>
        <w:rPr>
          <w:b/>
          <w:color w:val="231F20"/>
          <w:spacing w:val="-8"/>
          <w:sz w:val="24"/>
        </w:rPr>
        <w:t> </w:t>
      </w:r>
      <w:r>
        <w:rPr>
          <w:b/>
          <w:color w:val="231F20"/>
          <w:spacing w:val="-2"/>
          <w:sz w:val="24"/>
        </w:rPr>
        <w:t>C-682/15,</w:t>
      </w:r>
      <w:r>
        <w:rPr>
          <w:b/>
          <w:color w:val="231F20"/>
          <w:spacing w:val="-9"/>
          <w:sz w:val="24"/>
        </w:rPr>
        <w:t> </w:t>
      </w:r>
      <w:r>
        <w:rPr>
          <w:b/>
          <w:color w:val="231F20"/>
          <w:spacing w:val="-2"/>
          <w:sz w:val="24"/>
        </w:rPr>
        <w:t>Berlioz</w:t>
      </w:r>
      <w:r>
        <w:rPr>
          <w:b/>
          <w:color w:val="231F20"/>
          <w:spacing w:val="-8"/>
          <w:sz w:val="24"/>
        </w:rPr>
        <w:t> </w:t>
      </w:r>
      <w:r>
        <w:rPr>
          <w:b/>
          <w:color w:val="231F20"/>
          <w:spacing w:val="-2"/>
          <w:sz w:val="24"/>
        </w:rPr>
        <w:t>Investment</w:t>
      </w:r>
      <w:r>
        <w:rPr>
          <w:b/>
          <w:color w:val="231F20"/>
          <w:spacing w:val="-8"/>
          <w:sz w:val="24"/>
        </w:rPr>
        <w:t> </w:t>
      </w:r>
      <w:r>
        <w:rPr>
          <w:b/>
          <w:color w:val="231F20"/>
          <w:spacing w:val="-4"/>
          <w:sz w:val="24"/>
        </w:rPr>
        <w:t>Fund</w:t>
      </w:r>
    </w:p>
    <w:p>
      <w:pPr>
        <w:pStyle w:val="BodyText"/>
        <w:spacing w:line="225" w:lineRule="auto" w:before="269"/>
        <w:ind w:left="157" w:right="118"/>
        <w:jc w:val="both"/>
      </w:pPr>
      <w:r>
        <w:rPr>
          <w:color w:val="231F20"/>
        </w:rPr>
        <w:t>La prima di tali pronunce riguardanti </w:t>
      </w:r>
      <w:r>
        <w:rPr>
          <w:i/>
          <w:color w:val="231F20"/>
        </w:rPr>
        <w:t>ex professo </w:t>
      </w:r>
      <w:r>
        <w:rPr>
          <w:color w:val="231F20"/>
        </w:rPr>
        <w:t>l’interpretazione della direttiva 2011/16/UE è la nota sentenza </w:t>
      </w:r>
      <w:r>
        <w:rPr>
          <w:i/>
          <w:color w:val="231F20"/>
        </w:rPr>
        <w:t>Berlioz </w:t>
      </w:r>
      <w:r>
        <w:rPr>
          <w:color w:val="231F20"/>
        </w:rPr>
        <w:t>del 16 maggio 2017</w:t>
      </w:r>
      <w:r>
        <w:rPr>
          <w:color w:val="231F20"/>
          <w:position w:val="8"/>
          <w:sz w:val="14"/>
        </w:rPr>
        <w:t>63</w:t>
      </w:r>
      <w:r>
        <w:rPr>
          <w:color w:val="231F20"/>
        </w:rPr>
        <w:t>. Prima di quella data la Corte di giustizia aveva avuto una sola occasione</w:t>
      </w:r>
      <w:r>
        <w:rPr>
          <w:color w:val="231F20"/>
          <w:spacing w:val="80"/>
        </w:rPr>
        <w:t> </w:t>
      </w:r>
      <w:r>
        <w:rPr>
          <w:color w:val="231F20"/>
        </w:rPr>
        <w:t>di pronunciarsi sui diritti del contribuente nell’ambito dell’esecuzione </w:t>
      </w:r>
      <w:r>
        <w:rPr>
          <w:color w:val="231F20"/>
        </w:rPr>
        <w:t>di uno</w:t>
      </w:r>
      <w:r>
        <w:rPr>
          <w:color w:val="231F20"/>
          <w:spacing w:val="-15"/>
        </w:rPr>
        <w:t> </w:t>
      </w:r>
      <w:r>
        <w:rPr>
          <w:color w:val="231F20"/>
        </w:rPr>
        <w:t>scambio</w:t>
      </w:r>
      <w:r>
        <w:rPr>
          <w:color w:val="231F20"/>
          <w:spacing w:val="-15"/>
        </w:rPr>
        <w:t> </w:t>
      </w:r>
      <w:r>
        <w:rPr>
          <w:color w:val="231F20"/>
        </w:rPr>
        <w:t>di</w:t>
      </w:r>
      <w:r>
        <w:rPr>
          <w:color w:val="231F20"/>
          <w:spacing w:val="-15"/>
        </w:rPr>
        <w:t> </w:t>
      </w:r>
      <w:r>
        <w:rPr>
          <w:color w:val="231F20"/>
        </w:rPr>
        <w:t>informazioni</w:t>
      </w:r>
      <w:r>
        <w:rPr>
          <w:color w:val="231F20"/>
          <w:spacing w:val="-15"/>
        </w:rPr>
        <w:t> </w:t>
      </w:r>
      <w:r>
        <w:rPr>
          <w:color w:val="231F20"/>
        </w:rPr>
        <w:t>fra</w:t>
      </w:r>
      <w:r>
        <w:rPr>
          <w:color w:val="231F20"/>
          <w:spacing w:val="-15"/>
        </w:rPr>
        <w:t> </w:t>
      </w:r>
      <w:r>
        <w:rPr>
          <w:color w:val="231F20"/>
        </w:rPr>
        <w:t>amministrazioni</w:t>
      </w:r>
      <w:r>
        <w:rPr>
          <w:color w:val="231F20"/>
          <w:spacing w:val="-15"/>
        </w:rPr>
        <w:t> </w:t>
      </w:r>
      <w:r>
        <w:rPr>
          <w:color w:val="231F20"/>
        </w:rPr>
        <w:t>finanziarie</w:t>
      </w:r>
      <w:r>
        <w:rPr>
          <w:color w:val="231F20"/>
          <w:spacing w:val="-15"/>
        </w:rPr>
        <w:t> </w:t>
      </w:r>
      <w:r>
        <w:rPr>
          <w:color w:val="231F20"/>
        </w:rPr>
        <w:t>di</w:t>
      </w:r>
      <w:r>
        <w:rPr>
          <w:color w:val="231F20"/>
          <w:spacing w:val="-15"/>
        </w:rPr>
        <w:t> </w:t>
      </w:r>
      <w:r>
        <w:rPr>
          <w:color w:val="231F20"/>
        </w:rPr>
        <w:t>diversi</w:t>
      </w:r>
      <w:r>
        <w:rPr>
          <w:color w:val="231F20"/>
          <w:spacing w:val="-15"/>
        </w:rPr>
        <w:t> </w:t>
      </w:r>
      <w:r>
        <w:rPr>
          <w:color w:val="231F20"/>
        </w:rPr>
        <w:t>Stati membri,</w:t>
      </w:r>
      <w:r>
        <w:rPr>
          <w:color w:val="231F20"/>
          <w:spacing w:val="-13"/>
        </w:rPr>
        <w:t> </w:t>
      </w:r>
      <w:r>
        <w:rPr>
          <w:color w:val="231F20"/>
        </w:rPr>
        <w:t>con</w:t>
      </w:r>
      <w:r>
        <w:rPr>
          <w:color w:val="231F20"/>
          <w:spacing w:val="-13"/>
        </w:rPr>
        <w:t> </w:t>
      </w:r>
      <w:r>
        <w:rPr>
          <w:color w:val="231F20"/>
        </w:rPr>
        <w:t>riferimento</w:t>
      </w:r>
      <w:r>
        <w:rPr>
          <w:color w:val="231F20"/>
          <w:spacing w:val="-13"/>
        </w:rPr>
        <w:t> </w:t>
      </w:r>
      <w:r>
        <w:rPr>
          <w:color w:val="231F20"/>
        </w:rPr>
        <w:t>alla</w:t>
      </w:r>
      <w:r>
        <w:rPr>
          <w:color w:val="231F20"/>
          <w:spacing w:val="-13"/>
        </w:rPr>
        <w:t> </w:t>
      </w:r>
      <w:r>
        <w:rPr>
          <w:color w:val="231F20"/>
        </w:rPr>
        <w:t>prima</w:t>
      </w:r>
      <w:r>
        <w:rPr>
          <w:color w:val="231F20"/>
          <w:spacing w:val="-13"/>
        </w:rPr>
        <w:t> </w:t>
      </w:r>
      <w:r>
        <w:rPr>
          <w:color w:val="231F20"/>
        </w:rPr>
        <w:t>direttiva</w:t>
      </w:r>
      <w:r>
        <w:rPr>
          <w:color w:val="231F20"/>
          <w:spacing w:val="-13"/>
        </w:rPr>
        <w:t> </w:t>
      </w:r>
      <w:r>
        <w:rPr>
          <w:color w:val="231F20"/>
        </w:rPr>
        <w:t>77/799/CEE</w:t>
      </w:r>
      <w:r>
        <w:rPr>
          <w:color w:val="231F20"/>
          <w:spacing w:val="-13"/>
        </w:rPr>
        <w:t> </w:t>
      </w:r>
      <w:r>
        <w:rPr>
          <w:color w:val="231F20"/>
        </w:rPr>
        <w:t>che</w:t>
      </w:r>
      <w:r>
        <w:rPr>
          <w:color w:val="231F20"/>
          <w:spacing w:val="-13"/>
        </w:rPr>
        <w:t> </w:t>
      </w:r>
      <w:r>
        <w:rPr>
          <w:color w:val="231F20"/>
        </w:rPr>
        <w:t>ha</w:t>
      </w:r>
      <w:r>
        <w:rPr>
          <w:color w:val="231F20"/>
          <w:spacing w:val="-13"/>
        </w:rPr>
        <w:t> </w:t>
      </w:r>
      <w:r>
        <w:rPr>
          <w:color w:val="231F20"/>
        </w:rPr>
        <w:t>introdot- to e regolato la cooperazione amministrativa nel settore tributario. Nella sua</w:t>
      </w:r>
      <w:r>
        <w:rPr>
          <w:color w:val="231F20"/>
          <w:spacing w:val="8"/>
        </w:rPr>
        <w:t> </w:t>
      </w:r>
      <w:r>
        <w:rPr>
          <w:color w:val="231F20"/>
        </w:rPr>
        <w:t>sentenza</w:t>
      </w:r>
      <w:r>
        <w:rPr>
          <w:color w:val="231F20"/>
          <w:spacing w:val="9"/>
        </w:rPr>
        <w:t> </w:t>
      </w:r>
      <w:r>
        <w:rPr>
          <w:i/>
          <w:color w:val="231F20"/>
        </w:rPr>
        <w:t>Sabou</w:t>
      </w:r>
      <w:r>
        <w:rPr>
          <w:color w:val="231F20"/>
          <w:position w:val="8"/>
          <w:sz w:val="14"/>
        </w:rPr>
        <w:t>64</w:t>
      </w:r>
      <w:r>
        <w:rPr>
          <w:color w:val="231F20"/>
          <w:spacing w:val="34"/>
          <w:position w:val="8"/>
          <w:sz w:val="14"/>
        </w:rPr>
        <w:t> </w:t>
      </w:r>
      <w:r>
        <w:rPr>
          <w:color w:val="231F20"/>
        </w:rPr>
        <w:t>la</w:t>
      </w:r>
      <w:r>
        <w:rPr>
          <w:color w:val="231F20"/>
          <w:spacing w:val="9"/>
        </w:rPr>
        <w:t> </w:t>
      </w:r>
      <w:r>
        <w:rPr>
          <w:color w:val="231F20"/>
        </w:rPr>
        <w:t>Corte</w:t>
      </w:r>
      <w:r>
        <w:rPr>
          <w:color w:val="231F20"/>
          <w:spacing w:val="9"/>
        </w:rPr>
        <w:t> </w:t>
      </w:r>
      <w:r>
        <w:rPr>
          <w:color w:val="231F20"/>
        </w:rPr>
        <w:t>di</w:t>
      </w:r>
      <w:r>
        <w:rPr>
          <w:color w:val="231F20"/>
          <w:spacing w:val="8"/>
        </w:rPr>
        <w:t> </w:t>
      </w:r>
      <w:r>
        <w:rPr>
          <w:color w:val="231F20"/>
        </w:rPr>
        <w:t>giustizia</w:t>
      </w:r>
      <w:r>
        <w:rPr>
          <w:color w:val="231F20"/>
          <w:spacing w:val="9"/>
        </w:rPr>
        <w:t> </w:t>
      </w:r>
      <w:r>
        <w:rPr>
          <w:color w:val="231F20"/>
        </w:rPr>
        <w:t>ha</w:t>
      </w:r>
      <w:r>
        <w:rPr>
          <w:color w:val="231F20"/>
          <w:spacing w:val="9"/>
        </w:rPr>
        <w:t> </w:t>
      </w:r>
      <w:r>
        <w:rPr>
          <w:color w:val="231F20"/>
        </w:rPr>
        <w:t>dichiarato</w:t>
      </w:r>
      <w:r>
        <w:rPr>
          <w:color w:val="231F20"/>
          <w:spacing w:val="9"/>
        </w:rPr>
        <w:t> </w:t>
      </w:r>
      <w:r>
        <w:rPr>
          <w:color w:val="231F20"/>
        </w:rPr>
        <w:t>in</w:t>
      </w:r>
      <w:r>
        <w:rPr>
          <w:color w:val="231F20"/>
          <w:spacing w:val="9"/>
        </w:rPr>
        <w:t> </w:t>
      </w:r>
      <w:r>
        <w:rPr>
          <w:color w:val="231F20"/>
        </w:rPr>
        <w:t>sostanza</w:t>
      </w:r>
      <w:r>
        <w:rPr>
          <w:color w:val="231F20"/>
          <w:spacing w:val="9"/>
        </w:rPr>
        <w:t> </w:t>
      </w:r>
      <w:r>
        <w:rPr>
          <w:color w:val="231F20"/>
          <w:spacing w:val="-2"/>
        </w:rPr>
        <w:t>l’estra-</w:t>
      </w:r>
    </w:p>
    <w:p>
      <w:pPr>
        <w:pStyle w:val="BodyText"/>
        <w:spacing w:before="40"/>
        <w:rPr>
          <w:sz w:val="20"/>
        </w:rPr>
      </w:pPr>
      <w:r>
        <w:rPr/>
        <mc:AlternateContent>
          <mc:Choice Requires="wps">
            <w:drawing>
              <wp:anchor distT="0" distB="0" distL="0" distR="0" allowOverlap="1" layoutInCell="1" locked="0" behindDoc="1" simplePos="0" relativeHeight="487612416">
                <wp:simplePos x="0" y="0"/>
                <wp:positionH relativeFrom="page">
                  <wp:posOffset>899999</wp:posOffset>
                </wp:positionH>
                <wp:positionV relativeFrom="paragraph">
                  <wp:posOffset>202063</wp:posOffset>
                </wp:positionV>
                <wp:extent cx="792480" cy="1270"/>
                <wp:effectExtent l="0" t="0" r="0" b="0"/>
                <wp:wrapTopAndBottom/>
                <wp:docPr id="91" name="Graphic 91"/>
                <wp:cNvGraphicFramePr>
                  <a:graphicFrameLocks/>
                </wp:cNvGraphicFramePr>
                <a:graphic>
                  <a:graphicData uri="http://schemas.microsoft.com/office/word/2010/wordprocessingShape">
                    <wps:wsp>
                      <wps:cNvPr id="91" name="Graphic 91"/>
                      <wps:cNvSpPr/>
                      <wps:spPr>
                        <a:xfrm>
                          <a:off x="0" y="0"/>
                          <a:ext cx="792480" cy="1270"/>
                        </a:xfrm>
                        <a:custGeom>
                          <a:avLst/>
                          <a:gdLst/>
                          <a:ahLst/>
                          <a:cxnLst/>
                          <a:rect l="l" t="t" r="r" b="b"/>
                          <a:pathLst>
                            <a:path w="792480" h="0">
                              <a:moveTo>
                                <a:pt x="0" y="0"/>
                              </a:moveTo>
                              <a:lnTo>
                                <a:pt x="791997"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shape style="position:absolute;margin-left:70.866096pt;margin-top:15.91054pt;width:62.4pt;height:.1pt;mso-position-horizontal-relative:page;mso-position-vertical-relative:paragraph;z-index:-15704064;mso-wrap-distance-left:0;mso-wrap-distance-right:0" id="docshape75" coordorigin="1417,318" coordsize="1248,0" path="m1417,318l2665,318e" filled="false" stroked="true" strokeweight=".5pt" strokecolor="#231f20">
                <v:path arrowok="t"/>
                <v:stroke dashstyle="solid"/>
                <w10:wrap type="topAndBottom"/>
              </v:shape>
            </w:pict>
          </mc:Fallback>
        </mc:AlternateContent>
      </w:r>
    </w:p>
    <w:p>
      <w:pPr>
        <w:spacing w:line="228" w:lineRule="auto" w:before="199"/>
        <w:ind w:left="157" w:right="118" w:firstLine="0"/>
        <w:jc w:val="both"/>
        <w:rPr>
          <w:sz w:val="19"/>
        </w:rPr>
      </w:pPr>
      <w:r>
        <w:rPr>
          <w:color w:val="231F20"/>
          <w:position w:val="6"/>
          <w:sz w:val="11"/>
        </w:rPr>
        <w:t>63</w:t>
      </w:r>
      <w:r>
        <w:rPr>
          <w:color w:val="231F20"/>
          <w:spacing w:val="80"/>
          <w:position w:val="6"/>
          <w:sz w:val="11"/>
        </w:rPr>
        <w:t> </w:t>
      </w:r>
      <w:r>
        <w:rPr>
          <w:color w:val="231F20"/>
          <w:sz w:val="19"/>
        </w:rPr>
        <w:t>Corte giust. UE, sent. del 16 maggio 2017, causa C-682/15, </w:t>
      </w:r>
      <w:r>
        <w:rPr>
          <w:i/>
          <w:color w:val="231F20"/>
          <w:sz w:val="19"/>
        </w:rPr>
        <w:t>Berlioz Investment Fund. </w:t>
      </w:r>
      <w:r>
        <w:rPr>
          <w:color w:val="231F20"/>
          <w:sz w:val="19"/>
        </w:rPr>
        <w:t>Per un commento a tale importante pronuncia della Corte di giustizia, v. D. Berlin, </w:t>
      </w:r>
      <w:r>
        <w:rPr>
          <w:i/>
          <w:color w:val="231F20"/>
          <w:sz w:val="19"/>
        </w:rPr>
        <w:t>Souveraneité</w:t>
      </w:r>
      <w:r>
        <w:rPr>
          <w:i/>
          <w:color w:val="231F20"/>
          <w:sz w:val="19"/>
        </w:rPr>
        <w:t> et protection des droits fondamentaux: CJUE 16 mai 2017, Berlioz, affaire C-682/15</w:t>
      </w:r>
      <w:r>
        <w:rPr>
          <w:color w:val="231F20"/>
          <w:sz w:val="19"/>
        </w:rPr>
        <w:t>, in </w:t>
      </w:r>
      <w:r>
        <w:rPr>
          <w:i/>
          <w:color w:val="231F20"/>
          <w:sz w:val="19"/>
        </w:rPr>
        <w:t>Revue</w:t>
      </w:r>
      <w:r>
        <w:rPr>
          <w:i/>
          <w:color w:val="231F20"/>
          <w:sz w:val="19"/>
        </w:rPr>
        <w:t> des</w:t>
      </w:r>
      <w:r>
        <w:rPr>
          <w:i/>
          <w:color w:val="231F20"/>
          <w:spacing w:val="-6"/>
          <w:sz w:val="19"/>
        </w:rPr>
        <w:t> </w:t>
      </w:r>
      <w:r>
        <w:rPr>
          <w:i/>
          <w:color w:val="231F20"/>
          <w:sz w:val="19"/>
        </w:rPr>
        <w:t>Affaires</w:t>
      </w:r>
      <w:r>
        <w:rPr>
          <w:i/>
          <w:color w:val="231F20"/>
          <w:spacing w:val="-6"/>
          <w:sz w:val="19"/>
        </w:rPr>
        <w:t> </w:t>
      </w:r>
      <w:r>
        <w:rPr>
          <w:i/>
          <w:color w:val="231F20"/>
          <w:sz w:val="19"/>
        </w:rPr>
        <w:t>Européeennes</w:t>
      </w:r>
      <w:r>
        <w:rPr>
          <w:color w:val="231F20"/>
          <w:sz w:val="19"/>
        </w:rPr>
        <w:t>,</w:t>
      </w:r>
      <w:r>
        <w:rPr>
          <w:color w:val="231F20"/>
          <w:spacing w:val="-6"/>
          <w:sz w:val="19"/>
        </w:rPr>
        <w:t> </w:t>
      </w:r>
      <w:r>
        <w:rPr>
          <w:color w:val="231F20"/>
          <w:sz w:val="19"/>
        </w:rPr>
        <w:t>2,</w:t>
      </w:r>
      <w:r>
        <w:rPr>
          <w:color w:val="231F20"/>
          <w:spacing w:val="-6"/>
          <w:sz w:val="19"/>
        </w:rPr>
        <w:t> </w:t>
      </w:r>
      <w:r>
        <w:rPr>
          <w:color w:val="231F20"/>
          <w:sz w:val="19"/>
        </w:rPr>
        <w:t>2017,</w:t>
      </w:r>
      <w:r>
        <w:rPr>
          <w:color w:val="231F20"/>
          <w:spacing w:val="-6"/>
          <w:sz w:val="19"/>
        </w:rPr>
        <w:t> </w:t>
      </w:r>
      <w:r>
        <w:rPr>
          <w:color w:val="231F20"/>
          <w:sz w:val="19"/>
        </w:rPr>
        <w:t>pp.</w:t>
      </w:r>
      <w:r>
        <w:rPr>
          <w:color w:val="231F20"/>
          <w:spacing w:val="-6"/>
          <w:sz w:val="19"/>
        </w:rPr>
        <w:t> </w:t>
      </w:r>
      <w:r>
        <w:rPr>
          <w:color w:val="231F20"/>
          <w:sz w:val="19"/>
        </w:rPr>
        <w:t>307-320;</w:t>
      </w:r>
      <w:r>
        <w:rPr>
          <w:color w:val="231F20"/>
          <w:spacing w:val="-6"/>
          <w:sz w:val="19"/>
        </w:rPr>
        <w:t> </w:t>
      </w:r>
      <w:r>
        <w:rPr>
          <w:color w:val="231F20"/>
          <w:sz w:val="19"/>
        </w:rPr>
        <w:t>L.</w:t>
      </w:r>
      <w:r>
        <w:rPr>
          <w:color w:val="231F20"/>
          <w:spacing w:val="-6"/>
          <w:sz w:val="19"/>
        </w:rPr>
        <w:t> </w:t>
      </w:r>
      <w:r>
        <w:rPr>
          <w:color w:val="231F20"/>
          <w:sz w:val="19"/>
        </w:rPr>
        <w:t>Neve,</w:t>
      </w:r>
      <w:r>
        <w:rPr>
          <w:color w:val="231F20"/>
          <w:spacing w:val="-5"/>
          <w:sz w:val="19"/>
        </w:rPr>
        <w:t> </w:t>
      </w:r>
      <w:r>
        <w:rPr>
          <w:i/>
          <w:color w:val="231F20"/>
          <w:sz w:val="19"/>
        </w:rPr>
        <w:t>The</w:t>
      </w:r>
      <w:r>
        <w:rPr>
          <w:i/>
          <w:color w:val="231F20"/>
          <w:spacing w:val="-6"/>
          <w:sz w:val="19"/>
        </w:rPr>
        <w:t> </w:t>
      </w:r>
      <w:r>
        <w:rPr>
          <w:i/>
          <w:color w:val="231F20"/>
          <w:sz w:val="19"/>
        </w:rPr>
        <w:t>Berlioz</w:t>
      </w:r>
      <w:r>
        <w:rPr>
          <w:i/>
          <w:color w:val="231F20"/>
          <w:spacing w:val="-6"/>
          <w:sz w:val="19"/>
        </w:rPr>
        <w:t> </w:t>
      </w:r>
      <w:r>
        <w:rPr>
          <w:i/>
          <w:color w:val="231F20"/>
          <w:sz w:val="19"/>
        </w:rPr>
        <w:t>decision</w:t>
      </w:r>
      <w:r>
        <w:rPr>
          <w:i/>
          <w:color w:val="231F20"/>
          <w:spacing w:val="-6"/>
          <w:sz w:val="19"/>
        </w:rPr>
        <w:t> </w:t>
      </w:r>
      <w:r>
        <w:rPr>
          <w:i/>
          <w:color w:val="231F20"/>
          <w:sz w:val="19"/>
        </w:rPr>
        <w:t>of</w:t>
      </w:r>
      <w:r>
        <w:rPr>
          <w:i/>
          <w:color w:val="231F20"/>
          <w:spacing w:val="-6"/>
          <w:sz w:val="19"/>
        </w:rPr>
        <w:t> </w:t>
      </w:r>
      <w:r>
        <w:rPr>
          <w:i/>
          <w:color w:val="231F20"/>
          <w:sz w:val="19"/>
        </w:rPr>
        <w:t>CJEU</w:t>
      </w:r>
      <w:r>
        <w:rPr>
          <w:i/>
          <w:color w:val="231F20"/>
          <w:spacing w:val="-6"/>
          <w:sz w:val="19"/>
        </w:rPr>
        <w:t> </w:t>
      </w:r>
      <w:r>
        <w:rPr>
          <w:i/>
          <w:color w:val="231F20"/>
          <w:sz w:val="19"/>
        </w:rPr>
        <w:t>provides</w:t>
      </w:r>
      <w:r>
        <w:rPr>
          <w:i/>
          <w:color w:val="231F20"/>
          <w:sz w:val="19"/>
        </w:rPr>
        <w:t> legal</w:t>
      </w:r>
      <w:r>
        <w:rPr>
          <w:i/>
          <w:color w:val="231F20"/>
          <w:spacing w:val="-6"/>
          <w:sz w:val="19"/>
        </w:rPr>
        <w:t> </w:t>
      </w:r>
      <w:r>
        <w:rPr>
          <w:i/>
          <w:color w:val="231F20"/>
          <w:sz w:val="19"/>
        </w:rPr>
        <w:t>protection</w:t>
      </w:r>
      <w:r>
        <w:rPr>
          <w:i/>
          <w:color w:val="231F20"/>
          <w:spacing w:val="-6"/>
          <w:sz w:val="19"/>
        </w:rPr>
        <w:t> </w:t>
      </w:r>
      <w:r>
        <w:rPr>
          <w:i/>
          <w:color w:val="231F20"/>
          <w:sz w:val="19"/>
        </w:rPr>
        <w:t>for</w:t>
      </w:r>
      <w:r>
        <w:rPr>
          <w:i/>
          <w:color w:val="231F20"/>
          <w:spacing w:val="-6"/>
          <w:sz w:val="19"/>
        </w:rPr>
        <w:t> </w:t>
      </w:r>
      <w:r>
        <w:rPr>
          <w:i/>
          <w:color w:val="231F20"/>
          <w:sz w:val="19"/>
        </w:rPr>
        <w:t>concerned</w:t>
      </w:r>
      <w:r>
        <w:rPr>
          <w:i/>
          <w:color w:val="231F20"/>
          <w:spacing w:val="-6"/>
          <w:sz w:val="19"/>
        </w:rPr>
        <w:t> </w:t>
      </w:r>
      <w:r>
        <w:rPr>
          <w:i/>
          <w:color w:val="231F20"/>
          <w:sz w:val="19"/>
        </w:rPr>
        <w:t>persons</w:t>
      </w:r>
      <w:r>
        <w:rPr>
          <w:i/>
          <w:color w:val="231F20"/>
          <w:spacing w:val="-6"/>
          <w:sz w:val="19"/>
        </w:rPr>
        <w:t> </w:t>
      </w:r>
      <w:r>
        <w:rPr>
          <w:i/>
          <w:color w:val="231F20"/>
          <w:sz w:val="19"/>
        </w:rPr>
        <w:t>in</w:t>
      </w:r>
      <w:r>
        <w:rPr>
          <w:i/>
          <w:color w:val="231F20"/>
          <w:spacing w:val="-6"/>
          <w:sz w:val="19"/>
        </w:rPr>
        <w:t> </w:t>
      </w:r>
      <w:r>
        <w:rPr>
          <w:i/>
          <w:color w:val="231F20"/>
          <w:sz w:val="19"/>
        </w:rPr>
        <w:t>transnational</w:t>
      </w:r>
      <w:r>
        <w:rPr>
          <w:i/>
          <w:color w:val="231F20"/>
          <w:spacing w:val="-6"/>
          <w:sz w:val="19"/>
        </w:rPr>
        <w:t> </w:t>
      </w:r>
      <w:r>
        <w:rPr>
          <w:i/>
          <w:color w:val="231F20"/>
          <w:sz w:val="19"/>
        </w:rPr>
        <w:t>area?</w:t>
      </w:r>
      <w:r>
        <w:rPr>
          <w:i/>
          <w:color w:val="231F20"/>
          <w:spacing w:val="-6"/>
          <w:sz w:val="19"/>
        </w:rPr>
        <w:t> </w:t>
      </w:r>
      <w:r>
        <w:rPr>
          <w:i/>
          <w:color w:val="231F20"/>
          <w:sz w:val="19"/>
        </w:rPr>
        <w:t>Berlioz</w:t>
      </w:r>
      <w:r>
        <w:rPr>
          <w:i/>
          <w:color w:val="231F20"/>
          <w:spacing w:val="-6"/>
          <w:sz w:val="19"/>
        </w:rPr>
        <w:t> </w:t>
      </w:r>
      <w:r>
        <w:rPr>
          <w:i/>
          <w:color w:val="231F20"/>
          <w:sz w:val="19"/>
        </w:rPr>
        <w:t>and</w:t>
      </w:r>
      <w:r>
        <w:rPr>
          <w:i/>
          <w:color w:val="231F20"/>
          <w:spacing w:val="-6"/>
          <w:sz w:val="19"/>
        </w:rPr>
        <w:t> </w:t>
      </w:r>
      <w:r>
        <w:rPr>
          <w:i/>
          <w:color w:val="231F20"/>
          <w:sz w:val="19"/>
        </w:rPr>
        <w:t>remedies</w:t>
      </w:r>
      <w:r>
        <w:rPr>
          <w:i/>
          <w:color w:val="231F20"/>
          <w:spacing w:val="-6"/>
          <w:sz w:val="19"/>
        </w:rPr>
        <w:t> </w:t>
      </w:r>
      <w:r>
        <w:rPr>
          <w:i/>
          <w:color w:val="231F20"/>
          <w:sz w:val="19"/>
        </w:rPr>
        <w:t>to</w:t>
      </w:r>
      <w:r>
        <w:rPr>
          <w:i/>
          <w:color w:val="231F20"/>
          <w:spacing w:val="-6"/>
          <w:sz w:val="19"/>
        </w:rPr>
        <w:t> </w:t>
      </w:r>
      <w:r>
        <w:rPr>
          <w:i/>
          <w:color w:val="231F20"/>
          <w:sz w:val="19"/>
        </w:rPr>
        <w:t>ensure</w:t>
      </w:r>
      <w:r>
        <w:rPr>
          <w:i/>
          <w:color w:val="231F20"/>
          <w:spacing w:val="-6"/>
          <w:sz w:val="19"/>
        </w:rPr>
        <w:t> </w:t>
      </w:r>
      <w:r>
        <w:rPr>
          <w:i/>
          <w:color w:val="231F20"/>
          <w:sz w:val="19"/>
        </w:rPr>
        <w:t>effective legal</w:t>
      </w:r>
      <w:r>
        <w:rPr>
          <w:i/>
          <w:color w:val="231F20"/>
          <w:spacing w:val="17"/>
          <w:sz w:val="19"/>
        </w:rPr>
        <w:t> </w:t>
      </w:r>
      <w:r>
        <w:rPr>
          <w:i/>
          <w:color w:val="231F20"/>
          <w:sz w:val="19"/>
        </w:rPr>
        <w:t>protection,</w:t>
      </w:r>
      <w:r>
        <w:rPr>
          <w:i/>
          <w:color w:val="231F20"/>
          <w:spacing w:val="18"/>
          <w:sz w:val="19"/>
        </w:rPr>
        <w:t> </w:t>
      </w:r>
      <w:r>
        <w:rPr>
          <w:i/>
          <w:color w:val="231F20"/>
          <w:sz w:val="19"/>
        </w:rPr>
        <w:t>C-682/15,</w:t>
      </w:r>
      <w:r>
        <w:rPr>
          <w:i/>
          <w:color w:val="231F20"/>
          <w:spacing w:val="18"/>
          <w:sz w:val="19"/>
        </w:rPr>
        <w:t> </w:t>
      </w:r>
      <w:r>
        <w:rPr>
          <w:color w:val="231F20"/>
          <w:sz w:val="19"/>
        </w:rPr>
        <w:t>in</w:t>
      </w:r>
      <w:r>
        <w:rPr>
          <w:color w:val="231F20"/>
          <w:spacing w:val="19"/>
          <w:sz w:val="19"/>
        </w:rPr>
        <w:t> </w:t>
      </w:r>
      <w:r>
        <w:rPr>
          <w:i/>
          <w:color w:val="231F20"/>
          <w:sz w:val="19"/>
        </w:rPr>
        <w:t>Review</w:t>
      </w:r>
      <w:r>
        <w:rPr>
          <w:i/>
          <w:color w:val="231F20"/>
          <w:spacing w:val="18"/>
          <w:sz w:val="19"/>
        </w:rPr>
        <w:t> </w:t>
      </w:r>
      <w:r>
        <w:rPr>
          <w:i/>
          <w:color w:val="231F20"/>
          <w:sz w:val="19"/>
        </w:rPr>
        <w:t>of</w:t>
      </w:r>
      <w:r>
        <w:rPr>
          <w:i/>
          <w:color w:val="231F20"/>
          <w:spacing w:val="17"/>
          <w:sz w:val="19"/>
        </w:rPr>
        <w:t> </w:t>
      </w:r>
      <w:r>
        <w:rPr>
          <w:i/>
          <w:color w:val="231F20"/>
          <w:sz w:val="19"/>
        </w:rPr>
        <w:t>European</w:t>
      </w:r>
      <w:r>
        <w:rPr>
          <w:i/>
          <w:color w:val="231F20"/>
          <w:spacing w:val="18"/>
          <w:sz w:val="19"/>
        </w:rPr>
        <w:t> </w:t>
      </w:r>
      <w:r>
        <w:rPr>
          <w:i/>
          <w:color w:val="231F20"/>
          <w:sz w:val="19"/>
        </w:rPr>
        <w:t>Administrative</w:t>
      </w:r>
      <w:r>
        <w:rPr>
          <w:i/>
          <w:color w:val="231F20"/>
          <w:spacing w:val="18"/>
          <w:sz w:val="19"/>
        </w:rPr>
        <w:t> </w:t>
      </w:r>
      <w:r>
        <w:rPr>
          <w:i/>
          <w:color w:val="231F20"/>
          <w:sz w:val="19"/>
        </w:rPr>
        <w:t>Law</w:t>
      </w:r>
      <w:r>
        <w:rPr>
          <w:color w:val="231F20"/>
          <w:sz w:val="19"/>
        </w:rPr>
        <w:t>,</w:t>
      </w:r>
      <w:r>
        <w:rPr>
          <w:color w:val="231F20"/>
          <w:spacing w:val="18"/>
          <w:sz w:val="19"/>
        </w:rPr>
        <w:t> </w:t>
      </w:r>
      <w:r>
        <w:rPr>
          <w:color w:val="231F20"/>
          <w:sz w:val="19"/>
        </w:rPr>
        <w:t>2,</w:t>
      </w:r>
      <w:r>
        <w:rPr>
          <w:color w:val="231F20"/>
          <w:spacing w:val="18"/>
          <w:sz w:val="19"/>
        </w:rPr>
        <w:t> </w:t>
      </w:r>
      <w:r>
        <w:rPr>
          <w:color w:val="231F20"/>
          <w:sz w:val="19"/>
        </w:rPr>
        <w:t>2017,</w:t>
      </w:r>
      <w:r>
        <w:rPr>
          <w:color w:val="231F20"/>
          <w:spacing w:val="18"/>
          <w:sz w:val="19"/>
        </w:rPr>
        <w:t> </w:t>
      </w:r>
      <w:r>
        <w:rPr>
          <w:color w:val="231F20"/>
          <w:sz w:val="19"/>
        </w:rPr>
        <w:t>pp.</w:t>
      </w:r>
      <w:r>
        <w:rPr>
          <w:color w:val="231F20"/>
          <w:spacing w:val="18"/>
          <w:sz w:val="19"/>
        </w:rPr>
        <w:t> </w:t>
      </w:r>
      <w:r>
        <w:rPr>
          <w:color w:val="231F20"/>
          <w:sz w:val="19"/>
        </w:rPr>
        <w:t>95-</w:t>
      </w:r>
      <w:r>
        <w:rPr>
          <w:color w:val="231F20"/>
          <w:spacing w:val="-4"/>
          <w:sz w:val="19"/>
        </w:rPr>
        <w:t>119;</w:t>
      </w:r>
    </w:p>
    <w:p>
      <w:pPr>
        <w:spacing w:line="225" w:lineRule="auto" w:before="0"/>
        <w:ind w:left="157" w:right="118" w:firstLine="0"/>
        <w:jc w:val="both"/>
        <w:rPr>
          <w:sz w:val="19"/>
        </w:rPr>
      </w:pPr>
      <w:r>
        <w:rPr>
          <w:color w:val="231F20"/>
          <w:sz w:val="19"/>
        </w:rPr>
        <w:t>E. Pantanzantou, </w:t>
      </w:r>
      <w:r>
        <w:rPr>
          <w:i/>
          <w:color w:val="231F20"/>
          <w:sz w:val="19"/>
        </w:rPr>
        <w:t>Luxembourg: fundamental rights in the era of information exchange, the</w:t>
      </w:r>
      <w:r>
        <w:rPr>
          <w:i/>
          <w:color w:val="231F20"/>
          <w:sz w:val="19"/>
        </w:rPr>
        <w:t> Berlioz</w:t>
      </w:r>
      <w:r>
        <w:rPr>
          <w:i/>
          <w:color w:val="231F20"/>
          <w:spacing w:val="19"/>
          <w:sz w:val="19"/>
        </w:rPr>
        <w:t> </w:t>
      </w:r>
      <w:r>
        <w:rPr>
          <w:i/>
          <w:color w:val="231F20"/>
          <w:sz w:val="19"/>
        </w:rPr>
        <w:t>case</w:t>
      </w:r>
      <w:r>
        <w:rPr>
          <w:i/>
          <w:color w:val="231F20"/>
          <w:spacing w:val="19"/>
          <w:sz w:val="19"/>
        </w:rPr>
        <w:t> </w:t>
      </w:r>
      <w:r>
        <w:rPr>
          <w:i/>
          <w:color w:val="231F20"/>
          <w:sz w:val="19"/>
        </w:rPr>
        <w:t>C-682/15</w:t>
      </w:r>
      <w:r>
        <w:rPr>
          <w:color w:val="231F20"/>
          <w:sz w:val="19"/>
        </w:rPr>
        <w:t>,</w:t>
      </w:r>
      <w:r>
        <w:rPr>
          <w:color w:val="231F20"/>
          <w:spacing w:val="20"/>
          <w:sz w:val="19"/>
        </w:rPr>
        <w:t> </w:t>
      </w:r>
      <w:r>
        <w:rPr>
          <w:color w:val="231F20"/>
          <w:sz w:val="19"/>
        </w:rPr>
        <w:t>in</w:t>
      </w:r>
      <w:r>
        <w:rPr>
          <w:color w:val="231F20"/>
          <w:spacing w:val="19"/>
          <w:sz w:val="19"/>
        </w:rPr>
        <w:t> </w:t>
      </w:r>
      <w:r>
        <w:rPr>
          <w:i/>
          <w:color w:val="231F20"/>
          <w:sz w:val="19"/>
        </w:rPr>
        <w:t>CJEU:</w:t>
      </w:r>
      <w:r>
        <w:rPr>
          <w:i/>
          <w:color w:val="231F20"/>
          <w:spacing w:val="20"/>
          <w:sz w:val="19"/>
        </w:rPr>
        <w:t> </w:t>
      </w:r>
      <w:r>
        <w:rPr>
          <w:i/>
          <w:color w:val="231F20"/>
          <w:sz w:val="19"/>
        </w:rPr>
        <w:t>recent</w:t>
      </w:r>
      <w:r>
        <w:rPr>
          <w:i/>
          <w:color w:val="231F20"/>
          <w:spacing w:val="19"/>
          <w:sz w:val="19"/>
        </w:rPr>
        <w:t> </w:t>
      </w:r>
      <w:r>
        <w:rPr>
          <w:i/>
          <w:color w:val="231F20"/>
          <w:sz w:val="19"/>
        </w:rPr>
        <w:t>developmentes</w:t>
      </w:r>
      <w:r>
        <w:rPr>
          <w:i/>
          <w:color w:val="231F20"/>
          <w:spacing w:val="19"/>
          <w:sz w:val="19"/>
        </w:rPr>
        <w:t> </w:t>
      </w:r>
      <w:r>
        <w:rPr>
          <w:i/>
          <w:color w:val="231F20"/>
          <w:sz w:val="19"/>
        </w:rPr>
        <w:t>in</w:t>
      </w:r>
      <w:r>
        <w:rPr>
          <w:i/>
          <w:color w:val="231F20"/>
          <w:spacing w:val="20"/>
          <w:sz w:val="19"/>
        </w:rPr>
        <w:t> </w:t>
      </w:r>
      <w:r>
        <w:rPr>
          <w:i/>
          <w:color w:val="231F20"/>
          <w:sz w:val="19"/>
        </w:rPr>
        <w:t>direct</w:t>
      </w:r>
      <w:r>
        <w:rPr>
          <w:i/>
          <w:color w:val="231F20"/>
          <w:spacing w:val="19"/>
          <w:sz w:val="19"/>
        </w:rPr>
        <w:t> </w:t>
      </w:r>
      <w:r>
        <w:rPr>
          <w:i/>
          <w:color w:val="231F20"/>
          <w:sz w:val="19"/>
        </w:rPr>
        <w:t>taxation,</w:t>
      </w:r>
      <w:r>
        <w:rPr>
          <w:i/>
          <w:color w:val="231F20"/>
          <w:spacing w:val="20"/>
          <w:sz w:val="19"/>
        </w:rPr>
        <w:t> </w:t>
      </w:r>
      <w:r>
        <w:rPr>
          <w:color w:val="231F20"/>
          <w:sz w:val="19"/>
        </w:rPr>
        <w:t>2018,</w:t>
      </w:r>
      <w:r>
        <w:rPr>
          <w:color w:val="231F20"/>
          <w:spacing w:val="19"/>
          <w:sz w:val="19"/>
        </w:rPr>
        <w:t> </w:t>
      </w:r>
      <w:r>
        <w:rPr>
          <w:color w:val="231F20"/>
          <w:sz w:val="19"/>
        </w:rPr>
        <w:t>pp.</w:t>
      </w:r>
      <w:r>
        <w:rPr>
          <w:color w:val="231F20"/>
          <w:spacing w:val="20"/>
          <w:sz w:val="19"/>
        </w:rPr>
        <w:t> </w:t>
      </w:r>
      <w:r>
        <w:rPr>
          <w:color w:val="231F20"/>
          <w:sz w:val="19"/>
        </w:rPr>
        <w:t>127-</w:t>
      </w:r>
      <w:r>
        <w:rPr>
          <w:color w:val="231F20"/>
          <w:spacing w:val="-4"/>
          <w:sz w:val="19"/>
        </w:rPr>
        <w:t>151;</w:t>
      </w:r>
    </w:p>
    <w:p>
      <w:pPr>
        <w:spacing w:line="226" w:lineRule="exact" w:before="0"/>
        <w:ind w:left="157" w:right="0" w:firstLine="0"/>
        <w:jc w:val="both"/>
        <w:rPr>
          <w:i/>
          <w:sz w:val="19"/>
        </w:rPr>
      </w:pPr>
      <w:r>
        <w:rPr>
          <w:color w:val="231F20"/>
          <w:sz w:val="19"/>
        </w:rPr>
        <w:t>W.H.</w:t>
      </w:r>
      <w:r>
        <w:rPr>
          <w:color w:val="231F20"/>
          <w:spacing w:val="1"/>
          <w:sz w:val="19"/>
        </w:rPr>
        <w:t> </w:t>
      </w:r>
      <w:r>
        <w:rPr>
          <w:color w:val="231F20"/>
          <w:sz w:val="19"/>
        </w:rPr>
        <w:t>Haslehner,</w:t>
      </w:r>
      <w:r>
        <w:rPr>
          <w:color w:val="231F20"/>
          <w:spacing w:val="2"/>
          <w:sz w:val="19"/>
        </w:rPr>
        <w:t> </w:t>
      </w:r>
      <w:r>
        <w:rPr>
          <w:i/>
          <w:color w:val="231F20"/>
          <w:sz w:val="19"/>
        </w:rPr>
        <w:t>Luxembourg:</w:t>
      </w:r>
      <w:r>
        <w:rPr>
          <w:i/>
          <w:color w:val="231F20"/>
          <w:spacing w:val="1"/>
          <w:sz w:val="19"/>
        </w:rPr>
        <w:t> </w:t>
      </w:r>
      <w:r>
        <w:rPr>
          <w:i/>
          <w:color w:val="231F20"/>
          <w:sz w:val="19"/>
        </w:rPr>
        <w:t>exchange</w:t>
      </w:r>
      <w:r>
        <w:rPr>
          <w:i/>
          <w:color w:val="231F20"/>
          <w:spacing w:val="2"/>
          <w:sz w:val="19"/>
        </w:rPr>
        <w:t> </w:t>
      </w:r>
      <w:r>
        <w:rPr>
          <w:i/>
          <w:color w:val="231F20"/>
          <w:sz w:val="19"/>
        </w:rPr>
        <w:t>of</w:t>
      </w:r>
      <w:r>
        <w:rPr>
          <w:i/>
          <w:color w:val="231F20"/>
          <w:spacing w:val="1"/>
          <w:sz w:val="19"/>
        </w:rPr>
        <w:t> </w:t>
      </w:r>
      <w:r>
        <w:rPr>
          <w:i/>
          <w:color w:val="231F20"/>
          <w:sz w:val="19"/>
        </w:rPr>
        <w:t>information</w:t>
      </w:r>
      <w:r>
        <w:rPr>
          <w:i/>
          <w:color w:val="231F20"/>
          <w:spacing w:val="2"/>
          <w:sz w:val="19"/>
        </w:rPr>
        <w:t> </w:t>
      </w:r>
      <w:r>
        <w:rPr>
          <w:i/>
          <w:color w:val="231F20"/>
          <w:sz w:val="19"/>
        </w:rPr>
        <w:t>and</w:t>
      </w:r>
      <w:r>
        <w:rPr>
          <w:i/>
          <w:color w:val="231F20"/>
          <w:spacing w:val="1"/>
          <w:sz w:val="19"/>
        </w:rPr>
        <w:t> </w:t>
      </w:r>
      <w:r>
        <w:rPr>
          <w:i/>
          <w:color w:val="231F20"/>
          <w:sz w:val="19"/>
        </w:rPr>
        <w:t>EU</w:t>
      </w:r>
      <w:r>
        <w:rPr>
          <w:i/>
          <w:color w:val="231F20"/>
          <w:spacing w:val="2"/>
          <w:sz w:val="19"/>
        </w:rPr>
        <w:t> </w:t>
      </w:r>
      <w:r>
        <w:rPr>
          <w:i/>
          <w:color w:val="231F20"/>
          <w:sz w:val="19"/>
        </w:rPr>
        <w:t>fundamental</w:t>
      </w:r>
      <w:r>
        <w:rPr>
          <w:i/>
          <w:color w:val="231F20"/>
          <w:spacing w:val="1"/>
          <w:sz w:val="19"/>
        </w:rPr>
        <w:t> </w:t>
      </w:r>
      <w:r>
        <w:rPr>
          <w:i/>
          <w:color w:val="231F20"/>
          <w:sz w:val="19"/>
        </w:rPr>
        <w:t>rights</w:t>
      </w:r>
      <w:r>
        <w:rPr>
          <w:i/>
          <w:color w:val="231F20"/>
          <w:spacing w:val="2"/>
          <w:sz w:val="19"/>
        </w:rPr>
        <w:t> </w:t>
      </w:r>
      <w:r>
        <w:rPr>
          <w:i/>
          <w:color w:val="231F20"/>
          <w:sz w:val="19"/>
        </w:rPr>
        <w:t>(C-</w:t>
      </w:r>
      <w:r>
        <w:rPr>
          <w:i/>
          <w:color w:val="231F20"/>
          <w:spacing w:val="-2"/>
          <w:sz w:val="19"/>
        </w:rPr>
        <w:t>682/15,</w:t>
      </w:r>
    </w:p>
    <w:p>
      <w:pPr>
        <w:spacing w:line="228" w:lineRule="exact" w:before="0"/>
        <w:ind w:left="157" w:right="0" w:firstLine="0"/>
        <w:jc w:val="both"/>
        <w:rPr>
          <w:sz w:val="19"/>
        </w:rPr>
      </w:pPr>
      <w:r>
        <w:rPr>
          <w:color w:val="231F20"/>
          <w:sz w:val="19"/>
        </w:rPr>
        <w:t>Berlioz),</w:t>
      </w:r>
      <w:r>
        <w:rPr>
          <w:color w:val="231F20"/>
          <w:spacing w:val="-2"/>
          <w:sz w:val="19"/>
        </w:rPr>
        <w:t> </w:t>
      </w:r>
      <w:r>
        <w:rPr>
          <w:color w:val="231F20"/>
          <w:sz w:val="19"/>
        </w:rPr>
        <w:t>in</w:t>
      </w:r>
      <w:r>
        <w:rPr>
          <w:color w:val="231F20"/>
          <w:spacing w:val="-2"/>
          <w:sz w:val="19"/>
        </w:rPr>
        <w:t> </w:t>
      </w:r>
      <w:r>
        <w:rPr>
          <w:i/>
          <w:color w:val="231F20"/>
          <w:sz w:val="19"/>
        </w:rPr>
        <w:t>CJEU:</w:t>
      </w:r>
      <w:r>
        <w:rPr>
          <w:i/>
          <w:color w:val="231F20"/>
          <w:spacing w:val="-1"/>
          <w:sz w:val="19"/>
        </w:rPr>
        <w:t> </w:t>
      </w:r>
      <w:r>
        <w:rPr>
          <w:i/>
          <w:color w:val="231F20"/>
          <w:sz w:val="19"/>
        </w:rPr>
        <w:t>recent</w:t>
      </w:r>
      <w:r>
        <w:rPr>
          <w:i/>
          <w:color w:val="231F20"/>
          <w:spacing w:val="-2"/>
          <w:sz w:val="19"/>
        </w:rPr>
        <w:t> </w:t>
      </w:r>
      <w:r>
        <w:rPr>
          <w:i/>
          <w:color w:val="231F20"/>
          <w:sz w:val="19"/>
        </w:rPr>
        <w:t>developments</w:t>
      </w:r>
      <w:r>
        <w:rPr>
          <w:i/>
          <w:color w:val="231F20"/>
          <w:spacing w:val="-1"/>
          <w:sz w:val="19"/>
        </w:rPr>
        <w:t> </w:t>
      </w:r>
      <w:r>
        <w:rPr>
          <w:i/>
          <w:color w:val="231F20"/>
          <w:sz w:val="19"/>
        </w:rPr>
        <w:t>in</w:t>
      </w:r>
      <w:r>
        <w:rPr>
          <w:i/>
          <w:color w:val="231F20"/>
          <w:spacing w:val="-2"/>
          <w:sz w:val="19"/>
        </w:rPr>
        <w:t> </w:t>
      </w:r>
      <w:r>
        <w:rPr>
          <w:i/>
          <w:color w:val="231F20"/>
          <w:sz w:val="19"/>
        </w:rPr>
        <w:t>direct</w:t>
      </w:r>
      <w:r>
        <w:rPr>
          <w:i/>
          <w:color w:val="231F20"/>
          <w:spacing w:val="-2"/>
          <w:sz w:val="19"/>
        </w:rPr>
        <w:t> </w:t>
      </w:r>
      <w:r>
        <w:rPr>
          <w:i/>
          <w:color w:val="231F20"/>
          <w:sz w:val="19"/>
        </w:rPr>
        <w:t>taxation</w:t>
      </w:r>
      <w:r>
        <w:rPr>
          <w:color w:val="231F20"/>
          <w:sz w:val="19"/>
        </w:rPr>
        <w:t>,</w:t>
      </w:r>
      <w:r>
        <w:rPr>
          <w:color w:val="231F20"/>
          <w:spacing w:val="-1"/>
          <w:sz w:val="19"/>
        </w:rPr>
        <w:t> </w:t>
      </w:r>
      <w:r>
        <w:rPr>
          <w:color w:val="231F20"/>
          <w:sz w:val="19"/>
        </w:rPr>
        <w:t>2017,</w:t>
      </w:r>
      <w:r>
        <w:rPr>
          <w:color w:val="231F20"/>
          <w:spacing w:val="-2"/>
          <w:sz w:val="19"/>
        </w:rPr>
        <w:t> </w:t>
      </w:r>
      <w:r>
        <w:rPr>
          <w:color w:val="231F20"/>
          <w:sz w:val="19"/>
        </w:rPr>
        <w:t>pp.</w:t>
      </w:r>
      <w:r>
        <w:rPr>
          <w:color w:val="231F20"/>
          <w:spacing w:val="-1"/>
          <w:sz w:val="19"/>
        </w:rPr>
        <w:t> </w:t>
      </w:r>
      <w:r>
        <w:rPr>
          <w:color w:val="231F20"/>
          <w:sz w:val="19"/>
        </w:rPr>
        <w:t>97-</w:t>
      </w:r>
      <w:r>
        <w:rPr>
          <w:color w:val="231F20"/>
          <w:spacing w:val="-4"/>
          <w:sz w:val="19"/>
        </w:rPr>
        <w:t>116.</w:t>
      </w:r>
    </w:p>
    <w:p>
      <w:pPr>
        <w:spacing w:line="225" w:lineRule="auto" w:before="0"/>
        <w:ind w:left="157" w:right="118" w:firstLine="0"/>
        <w:jc w:val="both"/>
        <w:rPr>
          <w:sz w:val="19"/>
        </w:rPr>
      </w:pPr>
      <w:r>
        <w:rPr>
          <w:color w:val="231F20"/>
          <w:position w:val="6"/>
          <w:sz w:val="11"/>
        </w:rPr>
        <w:t>64</w:t>
      </w:r>
      <w:r>
        <w:rPr>
          <w:color w:val="231F20"/>
          <w:spacing w:val="59"/>
          <w:position w:val="6"/>
          <w:sz w:val="11"/>
        </w:rPr>
        <w:t>  </w:t>
      </w:r>
      <w:r>
        <w:rPr>
          <w:color w:val="231F20"/>
          <w:sz w:val="19"/>
        </w:rPr>
        <w:t>Corte</w:t>
      </w:r>
      <w:r>
        <w:rPr>
          <w:color w:val="231F20"/>
          <w:spacing w:val="16"/>
          <w:sz w:val="19"/>
        </w:rPr>
        <w:t> </w:t>
      </w:r>
      <w:r>
        <w:rPr>
          <w:color w:val="231F20"/>
          <w:sz w:val="19"/>
        </w:rPr>
        <w:t>giust.</w:t>
      </w:r>
      <w:r>
        <w:rPr>
          <w:color w:val="231F20"/>
          <w:spacing w:val="16"/>
          <w:sz w:val="19"/>
        </w:rPr>
        <w:t> </w:t>
      </w:r>
      <w:r>
        <w:rPr>
          <w:color w:val="231F20"/>
          <w:sz w:val="19"/>
        </w:rPr>
        <w:t>UE,</w:t>
      </w:r>
      <w:r>
        <w:rPr>
          <w:color w:val="231F20"/>
          <w:spacing w:val="16"/>
          <w:sz w:val="19"/>
        </w:rPr>
        <w:t> </w:t>
      </w:r>
      <w:r>
        <w:rPr>
          <w:color w:val="231F20"/>
          <w:sz w:val="19"/>
        </w:rPr>
        <w:t>sent.</w:t>
      </w:r>
      <w:r>
        <w:rPr>
          <w:color w:val="231F20"/>
          <w:spacing w:val="16"/>
          <w:sz w:val="19"/>
        </w:rPr>
        <w:t> </w:t>
      </w:r>
      <w:r>
        <w:rPr>
          <w:color w:val="231F20"/>
          <w:sz w:val="19"/>
        </w:rPr>
        <w:t>del</w:t>
      </w:r>
      <w:r>
        <w:rPr>
          <w:color w:val="231F20"/>
          <w:spacing w:val="16"/>
          <w:sz w:val="19"/>
        </w:rPr>
        <w:t> </w:t>
      </w:r>
      <w:r>
        <w:rPr>
          <w:color w:val="231F20"/>
          <w:sz w:val="19"/>
        </w:rPr>
        <w:t>22</w:t>
      </w:r>
      <w:r>
        <w:rPr>
          <w:color w:val="231F20"/>
          <w:spacing w:val="16"/>
          <w:sz w:val="19"/>
        </w:rPr>
        <w:t> </w:t>
      </w:r>
      <w:r>
        <w:rPr>
          <w:color w:val="231F20"/>
          <w:sz w:val="19"/>
        </w:rPr>
        <w:t>ottobre</w:t>
      </w:r>
      <w:r>
        <w:rPr>
          <w:color w:val="231F20"/>
          <w:spacing w:val="16"/>
          <w:sz w:val="19"/>
        </w:rPr>
        <w:t> </w:t>
      </w:r>
      <w:r>
        <w:rPr>
          <w:color w:val="231F20"/>
          <w:sz w:val="19"/>
        </w:rPr>
        <w:t>2013,</w:t>
      </w:r>
      <w:r>
        <w:rPr>
          <w:color w:val="231F20"/>
          <w:spacing w:val="16"/>
          <w:sz w:val="19"/>
        </w:rPr>
        <w:t> </w:t>
      </w:r>
      <w:r>
        <w:rPr>
          <w:color w:val="231F20"/>
          <w:sz w:val="19"/>
        </w:rPr>
        <w:t>causa</w:t>
      </w:r>
      <w:r>
        <w:rPr>
          <w:color w:val="231F20"/>
          <w:spacing w:val="16"/>
          <w:sz w:val="19"/>
        </w:rPr>
        <w:t> </w:t>
      </w:r>
      <w:r>
        <w:rPr>
          <w:color w:val="231F20"/>
          <w:sz w:val="19"/>
        </w:rPr>
        <w:t>C-276/12,</w:t>
      </w:r>
      <w:r>
        <w:rPr>
          <w:color w:val="231F20"/>
          <w:spacing w:val="16"/>
          <w:sz w:val="19"/>
        </w:rPr>
        <w:t> </w:t>
      </w:r>
      <w:r>
        <w:rPr>
          <w:i/>
          <w:color w:val="231F20"/>
          <w:sz w:val="19"/>
        </w:rPr>
        <w:t>Sabou</w:t>
      </w:r>
      <w:r>
        <w:rPr>
          <w:color w:val="231F20"/>
          <w:sz w:val="19"/>
        </w:rPr>
        <w:t>.</w:t>
      </w:r>
      <w:r>
        <w:rPr>
          <w:color w:val="231F20"/>
          <w:spacing w:val="16"/>
          <w:sz w:val="19"/>
        </w:rPr>
        <w:t> </w:t>
      </w:r>
      <w:r>
        <w:rPr>
          <w:color w:val="231F20"/>
          <w:sz w:val="19"/>
        </w:rPr>
        <w:t>Per</w:t>
      </w:r>
      <w:r>
        <w:rPr>
          <w:color w:val="231F20"/>
          <w:spacing w:val="16"/>
          <w:sz w:val="19"/>
        </w:rPr>
        <w:t> </w:t>
      </w:r>
      <w:r>
        <w:rPr>
          <w:color w:val="231F20"/>
          <w:sz w:val="19"/>
        </w:rPr>
        <w:t>un</w:t>
      </w:r>
      <w:r>
        <w:rPr>
          <w:color w:val="231F20"/>
          <w:spacing w:val="16"/>
          <w:sz w:val="19"/>
        </w:rPr>
        <w:t> </w:t>
      </w:r>
      <w:r>
        <w:rPr>
          <w:color w:val="231F20"/>
          <w:sz w:val="19"/>
        </w:rPr>
        <w:t>commento di tale pronuncia della Corte di giustizia v. J.M. Calderón Carrero, </w:t>
      </w:r>
      <w:r>
        <w:rPr>
          <w:i/>
          <w:color w:val="231F20"/>
          <w:sz w:val="19"/>
        </w:rPr>
        <w:t>The taxpayer’s right of</w:t>
      </w:r>
      <w:r>
        <w:rPr>
          <w:i/>
          <w:color w:val="231F20"/>
          <w:sz w:val="19"/>
        </w:rPr>
        <w:t> defence</w:t>
      </w:r>
      <w:r>
        <w:rPr>
          <w:i/>
          <w:color w:val="231F20"/>
          <w:spacing w:val="-12"/>
          <w:sz w:val="19"/>
        </w:rPr>
        <w:t> </w:t>
      </w:r>
      <w:r>
        <w:rPr>
          <w:i/>
          <w:color w:val="231F20"/>
          <w:sz w:val="19"/>
        </w:rPr>
        <w:t>in</w:t>
      </w:r>
      <w:r>
        <w:rPr>
          <w:i/>
          <w:color w:val="231F20"/>
          <w:spacing w:val="-12"/>
          <w:sz w:val="19"/>
        </w:rPr>
        <w:t> </w:t>
      </w:r>
      <w:r>
        <w:rPr>
          <w:i/>
          <w:color w:val="231F20"/>
          <w:sz w:val="19"/>
        </w:rPr>
        <w:t>crossborder</w:t>
      </w:r>
      <w:r>
        <w:rPr>
          <w:i/>
          <w:color w:val="231F20"/>
          <w:spacing w:val="-12"/>
          <w:sz w:val="19"/>
        </w:rPr>
        <w:t> </w:t>
      </w:r>
      <w:r>
        <w:rPr>
          <w:i/>
          <w:color w:val="231F20"/>
          <w:sz w:val="19"/>
        </w:rPr>
        <w:t>Exchange</w:t>
      </w:r>
      <w:r>
        <w:rPr>
          <w:i/>
          <w:color w:val="231F20"/>
          <w:spacing w:val="-12"/>
          <w:sz w:val="19"/>
        </w:rPr>
        <w:t> </w:t>
      </w:r>
      <w:r>
        <w:rPr>
          <w:i/>
          <w:color w:val="231F20"/>
          <w:sz w:val="19"/>
        </w:rPr>
        <w:t>of</w:t>
      </w:r>
      <w:r>
        <w:rPr>
          <w:i/>
          <w:color w:val="231F20"/>
          <w:spacing w:val="-12"/>
          <w:sz w:val="19"/>
        </w:rPr>
        <w:t> </w:t>
      </w:r>
      <w:r>
        <w:rPr>
          <w:i/>
          <w:color w:val="231F20"/>
          <w:sz w:val="19"/>
        </w:rPr>
        <w:t>information</w:t>
      </w:r>
      <w:r>
        <w:rPr>
          <w:i/>
          <w:color w:val="231F20"/>
          <w:spacing w:val="-12"/>
          <w:sz w:val="19"/>
        </w:rPr>
        <w:t> </w:t>
      </w:r>
      <w:r>
        <w:rPr>
          <w:i/>
          <w:color w:val="231F20"/>
          <w:sz w:val="19"/>
        </w:rPr>
        <w:t>procedures</w:t>
      </w:r>
      <w:r>
        <w:rPr>
          <w:color w:val="231F20"/>
          <w:sz w:val="19"/>
        </w:rPr>
        <w:t>,</w:t>
      </w:r>
      <w:r>
        <w:rPr>
          <w:color w:val="231F20"/>
          <w:spacing w:val="-12"/>
          <w:sz w:val="19"/>
        </w:rPr>
        <w:t> </w:t>
      </w:r>
      <w:r>
        <w:rPr>
          <w:color w:val="231F20"/>
          <w:sz w:val="19"/>
        </w:rPr>
        <w:t>in</w:t>
      </w:r>
      <w:r>
        <w:rPr>
          <w:color w:val="231F20"/>
          <w:spacing w:val="-11"/>
          <w:sz w:val="19"/>
        </w:rPr>
        <w:t> </w:t>
      </w:r>
      <w:r>
        <w:rPr>
          <w:i/>
          <w:color w:val="231F20"/>
          <w:sz w:val="19"/>
        </w:rPr>
        <w:t>Bulletin</w:t>
      </w:r>
      <w:r>
        <w:rPr>
          <w:i/>
          <w:color w:val="231F20"/>
          <w:spacing w:val="-12"/>
          <w:sz w:val="19"/>
        </w:rPr>
        <w:t> </w:t>
      </w:r>
      <w:r>
        <w:rPr>
          <w:i/>
          <w:color w:val="231F20"/>
          <w:sz w:val="19"/>
        </w:rPr>
        <w:t>of</w:t>
      </w:r>
      <w:r>
        <w:rPr>
          <w:i/>
          <w:color w:val="231F20"/>
          <w:spacing w:val="-12"/>
          <w:sz w:val="19"/>
        </w:rPr>
        <w:t> </w:t>
      </w:r>
      <w:r>
        <w:rPr>
          <w:i/>
          <w:color w:val="231F20"/>
          <w:sz w:val="19"/>
        </w:rPr>
        <w:t>International</w:t>
      </w:r>
      <w:r>
        <w:rPr>
          <w:i/>
          <w:color w:val="231F20"/>
          <w:spacing w:val="-12"/>
          <w:sz w:val="19"/>
        </w:rPr>
        <w:t> </w:t>
      </w:r>
      <w:r>
        <w:rPr>
          <w:i/>
          <w:color w:val="231F20"/>
          <w:sz w:val="19"/>
        </w:rPr>
        <w:t>Taxation,</w:t>
      </w:r>
      <w:r>
        <w:rPr>
          <w:i/>
          <w:color w:val="231F20"/>
          <w:spacing w:val="-12"/>
          <w:sz w:val="19"/>
        </w:rPr>
        <w:t> </w:t>
      </w:r>
      <w:r>
        <w:rPr>
          <w:color w:val="231F20"/>
          <w:sz w:val="19"/>
        </w:rPr>
        <w:t>9, 2014, p. 68.</w:t>
      </w:r>
    </w:p>
    <w:p>
      <w:pPr>
        <w:spacing w:after="0" w:line="225" w:lineRule="auto"/>
        <w:jc w:val="both"/>
        <w:rPr>
          <w:sz w:val="19"/>
        </w:rPr>
        <w:sectPr>
          <w:pgSz w:w="9640" w:h="13610"/>
          <w:pgMar w:header="0" w:footer="625" w:top="1260" w:bottom="820" w:left="1260" w:right="1240"/>
        </w:sectPr>
      </w:pPr>
    </w:p>
    <w:p>
      <w:pPr>
        <w:pStyle w:val="BodyText"/>
        <w:spacing w:line="225" w:lineRule="auto" w:before="117"/>
        <w:ind w:left="100" w:right="174"/>
        <w:jc w:val="right"/>
      </w:pPr>
      <w:r>
        <w:rPr>
          <w:color w:val="231F20"/>
        </w:rPr>
        <w:t>neità del principio del rispetto dei diritti della difesa del contribuente, alla procedura</w:t>
      </w:r>
      <w:r>
        <w:rPr>
          <w:color w:val="231F20"/>
          <w:spacing w:val="-11"/>
        </w:rPr>
        <w:t> </w:t>
      </w:r>
      <w:r>
        <w:rPr>
          <w:color w:val="231F20"/>
        </w:rPr>
        <w:t>di</w:t>
      </w:r>
      <w:r>
        <w:rPr>
          <w:color w:val="231F20"/>
          <w:spacing w:val="-11"/>
        </w:rPr>
        <w:t> </w:t>
      </w:r>
      <w:r>
        <w:rPr>
          <w:color w:val="231F20"/>
        </w:rPr>
        <w:t>reciproca</w:t>
      </w:r>
      <w:r>
        <w:rPr>
          <w:color w:val="231F20"/>
          <w:spacing w:val="-11"/>
        </w:rPr>
        <w:t> </w:t>
      </w:r>
      <w:r>
        <w:rPr>
          <w:color w:val="231F20"/>
        </w:rPr>
        <w:t>assistenza</w:t>
      </w:r>
      <w:r>
        <w:rPr>
          <w:color w:val="231F20"/>
          <w:spacing w:val="-11"/>
        </w:rPr>
        <w:t> </w:t>
      </w:r>
      <w:r>
        <w:rPr>
          <w:color w:val="231F20"/>
        </w:rPr>
        <w:t>fra</w:t>
      </w:r>
      <w:r>
        <w:rPr>
          <w:color w:val="231F20"/>
          <w:spacing w:val="-11"/>
        </w:rPr>
        <w:t> </w:t>
      </w:r>
      <w:r>
        <w:rPr>
          <w:color w:val="231F20"/>
        </w:rPr>
        <w:t>amministrazioni</w:t>
      </w:r>
      <w:r>
        <w:rPr>
          <w:color w:val="231F20"/>
          <w:spacing w:val="-11"/>
        </w:rPr>
        <w:t> </w:t>
      </w:r>
      <w:r>
        <w:rPr>
          <w:color w:val="231F20"/>
        </w:rPr>
        <w:t>degli</w:t>
      </w:r>
      <w:r>
        <w:rPr>
          <w:color w:val="231F20"/>
          <w:spacing w:val="-11"/>
        </w:rPr>
        <w:t> </w:t>
      </w:r>
      <w:r>
        <w:rPr>
          <w:color w:val="231F20"/>
        </w:rPr>
        <w:t>Stati</w:t>
      </w:r>
      <w:r>
        <w:rPr>
          <w:color w:val="231F20"/>
          <w:spacing w:val="-11"/>
        </w:rPr>
        <w:t> </w:t>
      </w:r>
      <w:r>
        <w:rPr>
          <w:color w:val="231F20"/>
        </w:rPr>
        <w:t>membri</w:t>
      </w:r>
      <w:r>
        <w:rPr>
          <w:color w:val="231F20"/>
          <w:spacing w:val="-11"/>
        </w:rPr>
        <w:t> </w:t>
      </w:r>
      <w:r>
        <w:rPr>
          <w:color w:val="231F20"/>
        </w:rPr>
        <w:t>in materia di imposte dirette</w:t>
      </w:r>
      <w:r>
        <w:rPr>
          <w:color w:val="231F20"/>
          <w:position w:val="8"/>
          <w:sz w:val="14"/>
        </w:rPr>
        <w:t>65</w:t>
      </w:r>
      <w:r>
        <w:rPr>
          <w:color w:val="231F20"/>
        </w:rPr>
        <w:t>. Dopo avere rilevato che la direttiva 77/799/ CEE</w:t>
      </w:r>
      <w:r>
        <w:rPr>
          <w:color w:val="231F20"/>
          <w:spacing w:val="-6"/>
        </w:rPr>
        <w:t> </w:t>
      </w:r>
      <w:r>
        <w:rPr>
          <w:color w:val="231F20"/>
        </w:rPr>
        <w:t>non</w:t>
      </w:r>
      <w:r>
        <w:rPr>
          <w:color w:val="231F20"/>
          <w:spacing w:val="-6"/>
        </w:rPr>
        <w:t> </w:t>
      </w:r>
      <w:r>
        <w:rPr>
          <w:color w:val="231F20"/>
        </w:rPr>
        <w:t>conferiva</w:t>
      </w:r>
      <w:r>
        <w:rPr>
          <w:color w:val="231F20"/>
          <w:spacing w:val="-6"/>
        </w:rPr>
        <w:t> </w:t>
      </w:r>
      <w:r>
        <w:rPr>
          <w:color w:val="231F20"/>
        </w:rPr>
        <w:t>diritti</w:t>
      </w:r>
      <w:r>
        <w:rPr>
          <w:color w:val="231F20"/>
          <w:spacing w:val="-6"/>
        </w:rPr>
        <w:t> </w:t>
      </w:r>
      <w:r>
        <w:rPr>
          <w:color w:val="231F20"/>
        </w:rPr>
        <w:t>specifici</w:t>
      </w:r>
      <w:r>
        <w:rPr>
          <w:color w:val="231F20"/>
          <w:spacing w:val="-6"/>
        </w:rPr>
        <w:t> </w:t>
      </w:r>
      <w:r>
        <w:rPr>
          <w:color w:val="231F20"/>
        </w:rPr>
        <w:t>al</w:t>
      </w:r>
      <w:r>
        <w:rPr>
          <w:color w:val="231F20"/>
          <w:spacing w:val="-6"/>
        </w:rPr>
        <w:t> </w:t>
      </w:r>
      <w:r>
        <w:rPr>
          <w:color w:val="231F20"/>
        </w:rPr>
        <w:t>contribuente,</w:t>
      </w:r>
      <w:r>
        <w:rPr>
          <w:color w:val="231F20"/>
          <w:spacing w:val="-6"/>
        </w:rPr>
        <w:t> </w:t>
      </w:r>
      <w:r>
        <w:rPr>
          <w:color w:val="231F20"/>
        </w:rPr>
        <w:t>né</w:t>
      </w:r>
      <w:r>
        <w:rPr>
          <w:color w:val="231F20"/>
          <w:spacing w:val="-6"/>
        </w:rPr>
        <w:t> </w:t>
      </w:r>
      <w:r>
        <w:rPr>
          <w:color w:val="231F20"/>
        </w:rPr>
        <w:t>imponeva</w:t>
      </w:r>
      <w:r>
        <w:rPr>
          <w:color w:val="231F20"/>
          <w:spacing w:val="-6"/>
        </w:rPr>
        <w:t> </w:t>
      </w:r>
      <w:r>
        <w:rPr>
          <w:color w:val="231F20"/>
        </w:rPr>
        <w:t>alcun</w:t>
      </w:r>
      <w:r>
        <w:rPr>
          <w:color w:val="231F20"/>
          <w:spacing w:val="-6"/>
        </w:rPr>
        <w:t> </w:t>
      </w:r>
      <w:r>
        <w:rPr>
          <w:color w:val="231F20"/>
        </w:rPr>
        <w:t>ob- bligo alle amministrazioni finanziarie di consultarlo, la Corte di giustizia ha</w:t>
      </w:r>
      <w:r>
        <w:rPr>
          <w:color w:val="231F20"/>
          <w:spacing w:val="-12"/>
        </w:rPr>
        <w:t> </w:t>
      </w:r>
      <w:r>
        <w:rPr>
          <w:color w:val="231F20"/>
        </w:rPr>
        <w:t>statuito</w:t>
      </w:r>
      <w:r>
        <w:rPr>
          <w:color w:val="231F20"/>
          <w:spacing w:val="-12"/>
        </w:rPr>
        <w:t> </w:t>
      </w:r>
      <w:r>
        <w:rPr>
          <w:color w:val="231F20"/>
        </w:rPr>
        <w:t>che</w:t>
      </w:r>
      <w:r>
        <w:rPr>
          <w:color w:val="231F20"/>
          <w:spacing w:val="-12"/>
        </w:rPr>
        <w:t> </w:t>
      </w:r>
      <w:r>
        <w:rPr>
          <w:color w:val="231F20"/>
        </w:rPr>
        <w:t>dette</w:t>
      </w:r>
      <w:r>
        <w:rPr>
          <w:color w:val="231F20"/>
          <w:spacing w:val="-12"/>
        </w:rPr>
        <w:t> </w:t>
      </w:r>
      <w:r>
        <w:rPr>
          <w:color w:val="231F20"/>
        </w:rPr>
        <w:t>amministrazioni</w:t>
      </w:r>
      <w:r>
        <w:rPr>
          <w:color w:val="231F20"/>
          <w:spacing w:val="-12"/>
        </w:rPr>
        <w:t> </w:t>
      </w:r>
      <w:r>
        <w:rPr>
          <w:color w:val="231F20"/>
        </w:rPr>
        <w:t>non</w:t>
      </w:r>
      <w:r>
        <w:rPr>
          <w:color w:val="231F20"/>
          <w:spacing w:val="-12"/>
        </w:rPr>
        <w:t> </w:t>
      </w:r>
      <w:r>
        <w:rPr>
          <w:color w:val="231F20"/>
        </w:rPr>
        <w:t>sono</w:t>
      </w:r>
      <w:r>
        <w:rPr>
          <w:color w:val="231F20"/>
          <w:spacing w:val="-12"/>
        </w:rPr>
        <w:t> </w:t>
      </w:r>
      <w:r>
        <w:rPr>
          <w:color w:val="231F20"/>
        </w:rPr>
        <w:t>tenute,</w:t>
      </w:r>
      <w:r>
        <w:rPr>
          <w:color w:val="231F20"/>
          <w:spacing w:val="-12"/>
        </w:rPr>
        <w:t> </w:t>
      </w:r>
      <w:r>
        <w:rPr>
          <w:color w:val="231F20"/>
        </w:rPr>
        <w:t>né</w:t>
      </w:r>
      <w:r>
        <w:rPr>
          <w:color w:val="231F20"/>
          <w:spacing w:val="-12"/>
        </w:rPr>
        <w:t> </w:t>
      </w:r>
      <w:r>
        <w:rPr>
          <w:color w:val="231F20"/>
        </w:rPr>
        <w:t>ad</w:t>
      </w:r>
      <w:r>
        <w:rPr>
          <w:color w:val="231F20"/>
          <w:spacing w:val="-12"/>
        </w:rPr>
        <w:t> </w:t>
      </w:r>
      <w:r>
        <w:rPr>
          <w:color w:val="231F20"/>
        </w:rPr>
        <w:t>informare,</w:t>
      </w:r>
      <w:r>
        <w:rPr>
          <w:color w:val="231F20"/>
          <w:spacing w:val="-12"/>
        </w:rPr>
        <w:t> </w:t>
      </w:r>
      <w:r>
        <w:rPr>
          <w:color w:val="231F20"/>
        </w:rPr>
        <w:t>né a sentire il contribuente nella fase preliminare del procedimento di accer- tamento</w:t>
      </w:r>
      <w:r>
        <w:rPr>
          <w:color w:val="231F20"/>
          <w:spacing w:val="-2"/>
        </w:rPr>
        <w:t> </w:t>
      </w:r>
      <w:r>
        <w:rPr>
          <w:color w:val="231F20"/>
        </w:rPr>
        <w:t>nel</w:t>
      </w:r>
      <w:r>
        <w:rPr>
          <w:color w:val="231F20"/>
          <w:spacing w:val="-2"/>
        </w:rPr>
        <w:t> </w:t>
      </w:r>
      <w:r>
        <w:rPr>
          <w:color w:val="231F20"/>
        </w:rPr>
        <w:t>corso</w:t>
      </w:r>
      <w:r>
        <w:rPr>
          <w:color w:val="231F20"/>
          <w:spacing w:val="-2"/>
        </w:rPr>
        <w:t> </w:t>
      </w:r>
      <w:r>
        <w:rPr>
          <w:color w:val="231F20"/>
        </w:rPr>
        <w:t>della</w:t>
      </w:r>
      <w:r>
        <w:rPr>
          <w:color w:val="231F20"/>
          <w:spacing w:val="-2"/>
        </w:rPr>
        <w:t> </w:t>
      </w:r>
      <w:r>
        <w:rPr>
          <w:color w:val="231F20"/>
        </w:rPr>
        <w:t>quale</w:t>
      </w:r>
      <w:r>
        <w:rPr>
          <w:color w:val="231F20"/>
          <w:spacing w:val="-2"/>
        </w:rPr>
        <w:t> </w:t>
      </w:r>
      <w:r>
        <w:rPr>
          <w:color w:val="231F20"/>
        </w:rPr>
        <w:t>vengono</w:t>
      </w:r>
      <w:r>
        <w:rPr>
          <w:color w:val="231F20"/>
          <w:spacing w:val="-2"/>
        </w:rPr>
        <w:t> </w:t>
      </w:r>
      <w:r>
        <w:rPr>
          <w:color w:val="231F20"/>
        </w:rPr>
        <w:t>semplicemente</w:t>
      </w:r>
      <w:r>
        <w:rPr>
          <w:color w:val="231F20"/>
          <w:spacing w:val="-2"/>
        </w:rPr>
        <w:t> </w:t>
      </w:r>
      <w:r>
        <w:rPr>
          <w:color w:val="231F20"/>
        </w:rPr>
        <w:t>raccolte</w:t>
      </w:r>
      <w:r>
        <w:rPr>
          <w:color w:val="231F20"/>
          <w:spacing w:val="-2"/>
        </w:rPr>
        <w:t> </w:t>
      </w:r>
      <w:r>
        <w:rPr>
          <w:color w:val="231F20"/>
        </w:rPr>
        <w:t>delle</w:t>
      </w:r>
      <w:r>
        <w:rPr>
          <w:color w:val="231F20"/>
          <w:spacing w:val="-2"/>
        </w:rPr>
        <w:t> </w:t>
      </w:r>
      <w:r>
        <w:rPr>
          <w:color w:val="231F20"/>
        </w:rPr>
        <w:t>infor- mazioni,</w:t>
      </w:r>
      <w:r>
        <w:rPr>
          <w:color w:val="231F20"/>
          <w:spacing w:val="-1"/>
        </w:rPr>
        <w:t> </w:t>
      </w:r>
      <w:r>
        <w:rPr>
          <w:color w:val="231F20"/>
        </w:rPr>
        <w:t>fase</w:t>
      </w:r>
      <w:r>
        <w:rPr>
          <w:color w:val="231F20"/>
          <w:spacing w:val="-1"/>
        </w:rPr>
        <w:t> </w:t>
      </w:r>
      <w:r>
        <w:rPr>
          <w:color w:val="231F20"/>
        </w:rPr>
        <w:t>preliminare</w:t>
      </w:r>
      <w:r>
        <w:rPr>
          <w:color w:val="231F20"/>
          <w:spacing w:val="-1"/>
        </w:rPr>
        <w:t> </w:t>
      </w:r>
      <w:r>
        <w:rPr>
          <w:color w:val="231F20"/>
        </w:rPr>
        <w:t>che</w:t>
      </w:r>
      <w:r>
        <w:rPr>
          <w:color w:val="231F20"/>
          <w:spacing w:val="-1"/>
        </w:rPr>
        <w:t> </w:t>
      </w:r>
      <w:r>
        <w:rPr>
          <w:color w:val="231F20"/>
        </w:rPr>
        <w:t>è</w:t>
      </w:r>
      <w:r>
        <w:rPr>
          <w:color w:val="231F20"/>
          <w:spacing w:val="-1"/>
        </w:rPr>
        <w:t> </w:t>
      </w:r>
      <w:r>
        <w:rPr>
          <w:color w:val="231F20"/>
        </w:rPr>
        <w:t>da</w:t>
      </w:r>
      <w:r>
        <w:rPr>
          <w:color w:val="231F20"/>
          <w:spacing w:val="-1"/>
        </w:rPr>
        <w:t> </w:t>
      </w:r>
      <w:r>
        <w:rPr>
          <w:color w:val="231F20"/>
        </w:rPr>
        <w:t>considerare</w:t>
      </w:r>
      <w:r>
        <w:rPr>
          <w:color w:val="231F20"/>
          <w:spacing w:val="-1"/>
        </w:rPr>
        <w:t> </w:t>
      </w:r>
      <w:r>
        <w:rPr>
          <w:color w:val="231F20"/>
        </w:rPr>
        <w:t>distinta</w:t>
      </w:r>
      <w:r>
        <w:rPr>
          <w:color w:val="231F20"/>
          <w:spacing w:val="-1"/>
        </w:rPr>
        <w:t> </w:t>
      </w:r>
      <w:r>
        <w:rPr>
          <w:color w:val="231F20"/>
        </w:rPr>
        <w:t>da</w:t>
      </w:r>
      <w:r>
        <w:rPr>
          <w:color w:val="231F20"/>
          <w:spacing w:val="-1"/>
        </w:rPr>
        <w:t> </w:t>
      </w:r>
      <w:r>
        <w:rPr>
          <w:color w:val="231F20"/>
        </w:rPr>
        <w:t>quella</w:t>
      </w:r>
      <w:r>
        <w:rPr>
          <w:color w:val="231F20"/>
          <w:spacing w:val="-1"/>
        </w:rPr>
        <w:t> </w:t>
      </w:r>
      <w:r>
        <w:rPr>
          <w:color w:val="231F20"/>
        </w:rPr>
        <w:t>finale</w:t>
      </w:r>
      <w:r>
        <w:rPr>
          <w:color w:val="231F20"/>
          <w:spacing w:val="-1"/>
        </w:rPr>
        <w:t> </w:t>
      </w:r>
      <w:r>
        <w:rPr>
          <w:color w:val="231F20"/>
        </w:rPr>
        <w:t>che sfocia</w:t>
      </w:r>
      <w:r>
        <w:rPr>
          <w:color w:val="231F20"/>
          <w:spacing w:val="-9"/>
        </w:rPr>
        <w:t> </w:t>
      </w:r>
      <w:r>
        <w:rPr>
          <w:color w:val="231F20"/>
        </w:rPr>
        <w:t>nell’adozione</w:t>
      </w:r>
      <w:r>
        <w:rPr>
          <w:color w:val="231F20"/>
          <w:spacing w:val="-9"/>
        </w:rPr>
        <w:t> </w:t>
      </w:r>
      <w:r>
        <w:rPr>
          <w:color w:val="231F20"/>
        </w:rPr>
        <w:t>dell’atto</w:t>
      </w:r>
      <w:r>
        <w:rPr>
          <w:color w:val="231F20"/>
          <w:spacing w:val="-9"/>
        </w:rPr>
        <w:t> </w:t>
      </w:r>
      <w:r>
        <w:rPr>
          <w:color w:val="231F20"/>
        </w:rPr>
        <w:t>di</w:t>
      </w:r>
      <w:r>
        <w:rPr>
          <w:color w:val="231F20"/>
          <w:spacing w:val="-9"/>
        </w:rPr>
        <w:t> </w:t>
      </w:r>
      <w:r>
        <w:rPr>
          <w:color w:val="231F20"/>
        </w:rPr>
        <w:t>imposizione</w:t>
      </w:r>
      <w:r>
        <w:rPr>
          <w:color w:val="231F20"/>
          <w:position w:val="8"/>
          <w:sz w:val="14"/>
        </w:rPr>
        <w:t>66</w:t>
      </w:r>
      <w:r>
        <w:rPr>
          <w:color w:val="231F20"/>
        </w:rPr>
        <w:t>.</w:t>
      </w:r>
      <w:r>
        <w:rPr>
          <w:color w:val="231F20"/>
          <w:spacing w:val="-9"/>
        </w:rPr>
        <w:t> </w:t>
      </w:r>
      <w:r>
        <w:rPr>
          <w:color w:val="231F20"/>
        </w:rPr>
        <w:t>Ne</w:t>
      </w:r>
      <w:r>
        <w:rPr>
          <w:color w:val="231F20"/>
          <w:spacing w:val="-9"/>
        </w:rPr>
        <w:t> </w:t>
      </w:r>
      <w:r>
        <w:rPr>
          <w:color w:val="231F20"/>
        </w:rPr>
        <w:t>consegue,</w:t>
      </w:r>
      <w:r>
        <w:rPr>
          <w:color w:val="231F20"/>
          <w:spacing w:val="-9"/>
        </w:rPr>
        <w:t> </w:t>
      </w:r>
      <w:r>
        <w:rPr>
          <w:color w:val="231F20"/>
        </w:rPr>
        <w:t>ha</w:t>
      </w:r>
      <w:r>
        <w:rPr>
          <w:color w:val="231F20"/>
          <w:spacing w:val="-9"/>
        </w:rPr>
        <w:t> </w:t>
      </w:r>
      <w:r>
        <w:rPr>
          <w:color w:val="231F20"/>
        </w:rPr>
        <w:t>concluso</w:t>
      </w:r>
      <w:r>
        <w:rPr>
          <w:color w:val="231F20"/>
          <w:spacing w:val="-9"/>
        </w:rPr>
        <w:t> </w:t>
      </w:r>
      <w:r>
        <w:rPr>
          <w:color w:val="231F20"/>
        </w:rPr>
        <w:t>la Corte, che il rispetto dei diritti della difesa non esige la partecipazione del contribuente, né alla formulazione della richiesta d’informazioni inoltrata dall’amministrazione</w:t>
      </w:r>
      <w:r>
        <w:rPr>
          <w:color w:val="231F20"/>
          <w:spacing w:val="-12"/>
        </w:rPr>
        <w:t> </w:t>
      </w:r>
      <w:r>
        <w:rPr>
          <w:color w:val="231F20"/>
        </w:rPr>
        <w:t>di</w:t>
      </w:r>
      <w:r>
        <w:rPr>
          <w:color w:val="231F20"/>
          <w:spacing w:val="-12"/>
        </w:rPr>
        <w:t> </w:t>
      </w:r>
      <w:r>
        <w:rPr>
          <w:color w:val="231F20"/>
        </w:rPr>
        <w:t>uno</w:t>
      </w:r>
      <w:r>
        <w:rPr>
          <w:color w:val="231F20"/>
          <w:spacing w:val="-12"/>
        </w:rPr>
        <w:t> </w:t>
      </w:r>
      <w:r>
        <w:rPr>
          <w:color w:val="231F20"/>
        </w:rPr>
        <w:t>Stato</w:t>
      </w:r>
      <w:r>
        <w:rPr>
          <w:color w:val="231F20"/>
          <w:spacing w:val="-12"/>
        </w:rPr>
        <w:t> </w:t>
      </w:r>
      <w:r>
        <w:rPr>
          <w:color w:val="231F20"/>
        </w:rPr>
        <w:t>membro</w:t>
      </w:r>
      <w:r>
        <w:rPr>
          <w:color w:val="231F20"/>
          <w:spacing w:val="-12"/>
        </w:rPr>
        <w:t> </w:t>
      </w:r>
      <w:r>
        <w:rPr>
          <w:color w:val="231F20"/>
        </w:rPr>
        <w:t>a</w:t>
      </w:r>
      <w:r>
        <w:rPr>
          <w:color w:val="231F20"/>
          <w:spacing w:val="-12"/>
        </w:rPr>
        <w:t> </w:t>
      </w:r>
      <w:r>
        <w:rPr>
          <w:color w:val="231F20"/>
        </w:rPr>
        <w:t>quella</w:t>
      </w:r>
      <w:r>
        <w:rPr>
          <w:color w:val="231F20"/>
          <w:spacing w:val="-12"/>
        </w:rPr>
        <w:t> </w:t>
      </w:r>
      <w:r>
        <w:rPr>
          <w:color w:val="231F20"/>
        </w:rPr>
        <w:t>di</w:t>
      </w:r>
      <w:r>
        <w:rPr>
          <w:color w:val="231F20"/>
          <w:spacing w:val="-12"/>
        </w:rPr>
        <w:t> </w:t>
      </w:r>
      <w:r>
        <w:rPr>
          <w:color w:val="231F20"/>
        </w:rPr>
        <w:t>un</w:t>
      </w:r>
      <w:r>
        <w:rPr>
          <w:color w:val="231F20"/>
          <w:spacing w:val="-12"/>
        </w:rPr>
        <w:t> </w:t>
      </w:r>
      <w:r>
        <w:rPr>
          <w:color w:val="231F20"/>
        </w:rPr>
        <w:t>altro</w:t>
      </w:r>
      <w:r>
        <w:rPr>
          <w:color w:val="231F20"/>
          <w:spacing w:val="-12"/>
        </w:rPr>
        <w:t> </w:t>
      </w:r>
      <w:r>
        <w:rPr>
          <w:color w:val="231F20"/>
        </w:rPr>
        <w:t>Stato</w:t>
      </w:r>
      <w:r>
        <w:rPr>
          <w:color w:val="231F20"/>
          <w:spacing w:val="-12"/>
        </w:rPr>
        <w:t> </w:t>
      </w:r>
      <w:r>
        <w:rPr>
          <w:color w:val="231F20"/>
        </w:rPr>
        <w:t>mem- bro al fine di verificare i dati forniti dal contribuente stesso nella sua di-</w:t>
      </w:r>
      <w:r>
        <w:rPr>
          <w:color w:val="231F20"/>
          <w:spacing w:val="40"/>
        </w:rPr>
        <w:t> </w:t>
      </w:r>
      <w:r>
        <w:rPr>
          <w:color w:val="231F20"/>
        </w:rPr>
        <w:t>chiarazione</w:t>
      </w:r>
      <w:r>
        <w:rPr>
          <w:color w:val="231F20"/>
          <w:spacing w:val="-11"/>
        </w:rPr>
        <w:t> </w:t>
      </w:r>
      <w:r>
        <w:rPr>
          <w:color w:val="231F20"/>
        </w:rPr>
        <w:t>dei</w:t>
      </w:r>
      <w:r>
        <w:rPr>
          <w:color w:val="231F20"/>
          <w:spacing w:val="-11"/>
        </w:rPr>
        <w:t> </w:t>
      </w:r>
      <w:r>
        <w:rPr>
          <w:color w:val="231F20"/>
        </w:rPr>
        <w:t>redditi,</w:t>
      </w:r>
      <w:r>
        <w:rPr>
          <w:color w:val="231F20"/>
          <w:spacing w:val="-11"/>
        </w:rPr>
        <w:t> </w:t>
      </w:r>
      <w:r>
        <w:rPr>
          <w:color w:val="231F20"/>
        </w:rPr>
        <w:t>né</w:t>
      </w:r>
      <w:r>
        <w:rPr>
          <w:color w:val="231F20"/>
          <w:spacing w:val="-11"/>
        </w:rPr>
        <w:t> </w:t>
      </w:r>
      <w:r>
        <w:rPr>
          <w:color w:val="231F20"/>
        </w:rPr>
        <w:t>allo</w:t>
      </w:r>
      <w:r>
        <w:rPr>
          <w:color w:val="231F20"/>
          <w:spacing w:val="-11"/>
        </w:rPr>
        <w:t> </w:t>
      </w:r>
      <w:r>
        <w:rPr>
          <w:color w:val="231F20"/>
        </w:rPr>
        <w:t>svolgimento</w:t>
      </w:r>
      <w:r>
        <w:rPr>
          <w:color w:val="231F20"/>
          <w:spacing w:val="-11"/>
        </w:rPr>
        <w:t> </w:t>
      </w:r>
      <w:r>
        <w:rPr>
          <w:color w:val="231F20"/>
        </w:rPr>
        <w:t>delle</w:t>
      </w:r>
      <w:r>
        <w:rPr>
          <w:color w:val="231F20"/>
          <w:spacing w:val="-11"/>
        </w:rPr>
        <w:t> </w:t>
      </w:r>
      <w:r>
        <w:rPr>
          <w:color w:val="231F20"/>
        </w:rPr>
        <w:t>indagini</w:t>
      </w:r>
      <w:r>
        <w:rPr>
          <w:color w:val="231F20"/>
          <w:spacing w:val="-11"/>
        </w:rPr>
        <w:t> </w:t>
      </w:r>
      <w:r>
        <w:rPr>
          <w:color w:val="231F20"/>
        </w:rPr>
        <w:t>fiscali</w:t>
      </w:r>
      <w:r>
        <w:rPr>
          <w:color w:val="231F20"/>
          <w:spacing w:val="-11"/>
        </w:rPr>
        <w:t> </w:t>
      </w:r>
      <w:r>
        <w:rPr>
          <w:color w:val="231F20"/>
        </w:rPr>
        <w:t>nello</w:t>
      </w:r>
      <w:r>
        <w:rPr>
          <w:color w:val="231F20"/>
          <w:spacing w:val="-11"/>
        </w:rPr>
        <w:t> </w:t>
      </w:r>
      <w:r>
        <w:rPr>
          <w:color w:val="231F20"/>
        </w:rPr>
        <w:t>Stato membro</w:t>
      </w:r>
      <w:r>
        <w:rPr>
          <w:color w:val="231F20"/>
          <w:spacing w:val="-7"/>
        </w:rPr>
        <w:t> </w:t>
      </w:r>
      <w:r>
        <w:rPr>
          <w:color w:val="231F20"/>
        </w:rPr>
        <w:t>richiesto,</w:t>
      </w:r>
      <w:r>
        <w:rPr>
          <w:color w:val="231F20"/>
          <w:spacing w:val="-7"/>
        </w:rPr>
        <w:t> </w:t>
      </w:r>
      <w:r>
        <w:rPr>
          <w:color w:val="231F20"/>
        </w:rPr>
        <w:t>né</w:t>
      </w:r>
      <w:r>
        <w:rPr>
          <w:color w:val="231F20"/>
          <w:spacing w:val="-7"/>
        </w:rPr>
        <w:t> </w:t>
      </w:r>
      <w:r>
        <w:rPr>
          <w:color w:val="231F20"/>
        </w:rPr>
        <w:t>alla</w:t>
      </w:r>
      <w:r>
        <w:rPr>
          <w:color w:val="231F20"/>
          <w:spacing w:val="-7"/>
        </w:rPr>
        <w:t> </w:t>
      </w:r>
      <w:r>
        <w:rPr>
          <w:color w:val="231F20"/>
        </w:rPr>
        <w:t>formulazione</w:t>
      </w:r>
      <w:r>
        <w:rPr>
          <w:color w:val="231F20"/>
          <w:spacing w:val="-7"/>
        </w:rPr>
        <w:t> </w:t>
      </w:r>
      <w:r>
        <w:rPr>
          <w:color w:val="231F20"/>
        </w:rPr>
        <w:t>della</w:t>
      </w:r>
      <w:r>
        <w:rPr>
          <w:color w:val="231F20"/>
          <w:spacing w:val="-7"/>
        </w:rPr>
        <w:t> </w:t>
      </w:r>
      <w:r>
        <w:rPr>
          <w:color w:val="231F20"/>
        </w:rPr>
        <w:t>risposta</w:t>
      </w:r>
      <w:r>
        <w:rPr>
          <w:color w:val="231F20"/>
          <w:spacing w:val="-7"/>
        </w:rPr>
        <w:t> </w:t>
      </w:r>
      <w:r>
        <w:rPr>
          <w:color w:val="231F20"/>
        </w:rPr>
        <w:t>trasmessa</w:t>
      </w:r>
      <w:r>
        <w:rPr>
          <w:color w:val="231F20"/>
          <w:spacing w:val="-7"/>
        </w:rPr>
        <w:t> </w:t>
      </w:r>
      <w:r>
        <w:rPr>
          <w:color w:val="231F20"/>
        </w:rPr>
        <w:t>dall’ammi- nistrazione</w:t>
      </w:r>
      <w:r>
        <w:rPr>
          <w:color w:val="231F20"/>
          <w:spacing w:val="-5"/>
        </w:rPr>
        <w:t> </w:t>
      </w:r>
      <w:r>
        <w:rPr>
          <w:color w:val="231F20"/>
        </w:rPr>
        <w:t>tributaria</w:t>
      </w:r>
      <w:r>
        <w:rPr>
          <w:color w:val="231F20"/>
          <w:spacing w:val="-5"/>
        </w:rPr>
        <w:t> </w:t>
      </w:r>
      <w:r>
        <w:rPr>
          <w:color w:val="231F20"/>
        </w:rPr>
        <w:t>richiesta</w:t>
      </w:r>
      <w:r>
        <w:rPr>
          <w:color w:val="231F20"/>
          <w:spacing w:val="-5"/>
        </w:rPr>
        <w:t> </w:t>
      </w:r>
      <w:r>
        <w:rPr>
          <w:color w:val="231F20"/>
        </w:rPr>
        <w:t>all’amministrazione</w:t>
      </w:r>
      <w:r>
        <w:rPr>
          <w:color w:val="231F20"/>
          <w:spacing w:val="-5"/>
        </w:rPr>
        <w:t> </w:t>
      </w:r>
      <w:r>
        <w:rPr>
          <w:color w:val="231F20"/>
        </w:rPr>
        <w:t>tributaria</w:t>
      </w:r>
      <w:r>
        <w:rPr>
          <w:color w:val="231F20"/>
          <w:spacing w:val="-5"/>
        </w:rPr>
        <w:t> </w:t>
      </w:r>
      <w:r>
        <w:rPr>
          <w:color w:val="231F20"/>
        </w:rPr>
        <w:t>richiedente</w:t>
      </w:r>
      <w:r>
        <w:rPr>
          <w:color w:val="231F20"/>
          <w:position w:val="8"/>
          <w:sz w:val="14"/>
        </w:rPr>
        <w:t>67</w:t>
      </w:r>
      <w:r>
        <w:rPr>
          <w:color w:val="231F20"/>
        </w:rPr>
        <w:t>. Di ben altro tenore e spessore è invece la sentenza </w:t>
      </w:r>
      <w:r>
        <w:rPr>
          <w:i/>
          <w:color w:val="231F20"/>
        </w:rPr>
        <w:t>Berlioz </w:t>
      </w:r>
      <w:r>
        <w:rPr>
          <w:color w:val="231F20"/>
        </w:rPr>
        <w:t>che ha tratto origine</w:t>
      </w:r>
      <w:r>
        <w:rPr>
          <w:color w:val="231F20"/>
          <w:spacing w:val="-15"/>
        </w:rPr>
        <w:t> </w:t>
      </w:r>
      <w:r>
        <w:rPr>
          <w:color w:val="231F20"/>
        </w:rPr>
        <w:t>da</w:t>
      </w:r>
      <w:r>
        <w:rPr>
          <w:color w:val="231F20"/>
          <w:spacing w:val="-15"/>
        </w:rPr>
        <w:t> </w:t>
      </w:r>
      <w:r>
        <w:rPr>
          <w:color w:val="231F20"/>
        </w:rPr>
        <w:t>una</w:t>
      </w:r>
      <w:r>
        <w:rPr>
          <w:color w:val="231F20"/>
          <w:spacing w:val="-15"/>
        </w:rPr>
        <w:t> </w:t>
      </w:r>
      <w:r>
        <w:rPr>
          <w:color w:val="231F20"/>
        </w:rPr>
        <w:t>richiesta</w:t>
      </w:r>
      <w:r>
        <w:rPr>
          <w:color w:val="231F20"/>
          <w:spacing w:val="-15"/>
        </w:rPr>
        <w:t> </w:t>
      </w:r>
      <w:r>
        <w:rPr>
          <w:color w:val="231F20"/>
        </w:rPr>
        <w:t>di</w:t>
      </w:r>
      <w:r>
        <w:rPr>
          <w:color w:val="231F20"/>
          <w:spacing w:val="-15"/>
        </w:rPr>
        <w:t> </w:t>
      </w:r>
      <w:r>
        <w:rPr>
          <w:color w:val="231F20"/>
        </w:rPr>
        <w:t>informazioni</w:t>
      </w:r>
      <w:r>
        <w:rPr>
          <w:color w:val="231F20"/>
          <w:spacing w:val="-15"/>
        </w:rPr>
        <w:t> </w:t>
      </w:r>
      <w:r>
        <w:rPr>
          <w:color w:val="231F20"/>
        </w:rPr>
        <w:t>inviata</w:t>
      </w:r>
      <w:r>
        <w:rPr>
          <w:color w:val="231F20"/>
          <w:spacing w:val="-15"/>
        </w:rPr>
        <w:t> </w:t>
      </w:r>
      <w:r>
        <w:rPr>
          <w:color w:val="231F20"/>
        </w:rPr>
        <w:t>dall’amministrazione</w:t>
      </w:r>
      <w:r>
        <w:rPr>
          <w:color w:val="231F20"/>
          <w:spacing w:val="-15"/>
        </w:rPr>
        <w:t> </w:t>
      </w:r>
      <w:r>
        <w:rPr>
          <w:color w:val="231F20"/>
        </w:rPr>
        <w:t>finan- ziaria francese all’amministrazione lussemburghese al fine di verificare se i dividendi</w:t>
      </w:r>
      <w:r>
        <w:rPr>
          <w:color w:val="231F20"/>
          <w:spacing w:val="-6"/>
        </w:rPr>
        <w:t> </w:t>
      </w:r>
      <w:r>
        <w:rPr>
          <w:color w:val="231F20"/>
        </w:rPr>
        <w:t>percepiti</w:t>
      </w:r>
      <w:r>
        <w:rPr>
          <w:color w:val="231F20"/>
          <w:spacing w:val="-6"/>
        </w:rPr>
        <w:t> </w:t>
      </w:r>
      <w:r>
        <w:rPr>
          <w:color w:val="231F20"/>
        </w:rPr>
        <w:t>dalla</w:t>
      </w:r>
      <w:r>
        <w:rPr>
          <w:color w:val="231F20"/>
          <w:spacing w:val="-6"/>
        </w:rPr>
        <w:t> </w:t>
      </w:r>
      <w:r>
        <w:rPr>
          <w:color w:val="231F20"/>
        </w:rPr>
        <w:t>società</w:t>
      </w:r>
      <w:r>
        <w:rPr>
          <w:color w:val="231F20"/>
          <w:spacing w:val="-6"/>
        </w:rPr>
        <w:t> </w:t>
      </w:r>
      <w:r>
        <w:rPr>
          <w:color w:val="231F20"/>
        </w:rPr>
        <w:t>per</w:t>
      </w:r>
      <w:r>
        <w:rPr>
          <w:color w:val="231F20"/>
          <w:spacing w:val="-6"/>
        </w:rPr>
        <w:t> </w:t>
      </w:r>
      <w:r>
        <w:rPr>
          <w:color w:val="231F20"/>
        </w:rPr>
        <w:t>azioni</w:t>
      </w:r>
      <w:r>
        <w:rPr>
          <w:color w:val="231F20"/>
          <w:spacing w:val="-6"/>
        </w:rPr>
        <w:t> </w:t>
      </w:r>
      <w:r>
        <w:rPr>
          <w:i/>
          <w:color w:val="231F20"/>
        </w:rPr>
        <w:t>Berlioz</w:t>
      </w:r>
      <w:r>
        <w:rPr>
          <w:color w:val="231F20"/>
        </w:rPr>
        <w:t>,</w:t>
      </w:r>
      <w:r>
        <w:rPr>
          <w:color w:val="231F20"/>
          <w:spacing w:val="-6"/>
        </w:rPr>
        <w:t> </w:t>
      </w:r>
      <w:r>
        <w:rPr>
          <w:color w:val="231F20"/>
        </w:rPr>
        <w:t>con</w:t>
      </w:r>
      <w:r>
        <w:rPr>
          <w:color w:val="231F20"/>
          <w:spacing w:val="-6"/>
        </w:rPr>
        <w:t> </w:t>
      </w:r>
      <w:r>
        <w:rPr>
          <w:color w:val="231F20"/>
        </w:rPr>
        <w:t>sede</w:t>
      </w:r>
      <w:r>
        <w:rPr>
          <w:color w:val="231F20"/>
          <w:spacing w:val="-6"/>
        </w:rPr>
        <w:t> </w:t>
      </w:r>
      <w:r>
        <w:rPr>
          <w:color w:val="231F20"/>
        </w:rPr>
        <w:t>in</w:t>
      </w:r>
      <w:r>
        <w:rPr>
          <w:color w:val="231F20"/>
          <w:spacing w:val="-6"/>
        </w:rPr>
        <w:t> </w:t>
      </w:r>
      <w:r>
        <w:rPr>
          <w:color w:val="231F20"/>
        </w:rPr>
        <w:t>Lussembur- go,</w:t>
      </w:r>
      <w:r>
        <w:rPr>
          <w:color w:val="231F20"/>
          <w:spacing w:val="-8"/>
        </w:rPr>
        <w:t> </w:t>
      </w:r>
      <w:r>
        <w:rPr>
          <w:color w:val="231F20"/>
        </w:rPr>
        <w:t>e</w:t>
      </w:r>
      <w:r>
        <w:rPr>
          <w:color w:val="231F20"/>
          <w:spacing w:val="-8"/>
        </w:rPr>
        <w:t> </w:t>
      </w:r>
      <w:r>
        <w:rPr>
          <w:color w:val="231F20"/>
        </w:rPr>
        <w:t>versati</w:t>
      </w:r>
      <w:r>
        <w:rPr>
          <w:color w:val="231F20"/>
          <w:spacing w:val="-8"/>
        </w:rPr>
        <w:t> </w:t>
      </w:r>
      <w:r>
        <w:rPr>
          <w:color w:val="231F20"/>
        </w:rPr>
        <w:t>dalla</w:t>
      </w:r>
      <w:r>
        <w:rPr>
          <w:color w:val="231F20"/>
          <w:spacing w:val="-8"/>
        </w:rPr>
        <w:t> </w:t>
      </w:r>
      <w:r>
        <w:rPr>
          <w:color w:val="231F20"/>
        </w:rPr>
        <w:t>propria</w:t>
      </w:r>
      <w:r>
        <w:rPr>
          <w:color w:val="231F20"/>
          <w:spacing w:val="-8"/>
        </w:rPr>
        <w:t> </w:t>
      </w:r>
      <w:r>
        <w:rPr>
          <w:color w:val="231F20"/>
        </w:rPr>
        <w:t>controllata</w:t>
      </w:r>
      <w:r>
        <w:rPr>
          <w:color w:val="231F20"/>
          <w:spacing w:val="-8"/>
        </w:rPr>
        <w:t> </w:t>
      </w:r>
      <w:r>
        <w:rPr>
          <w:i/>
          <w:color w:val="231F20"/>
        </w:rPr>
        <w:t>Cofima</w:t>
      </w:r>
      <w:r>
        <w:rPr>
          <w:i/>
          <w:color w:val="231F20"/>
          <w:spacing w:val="-8"/>
        </w:rPr>
        <w:t> </w:t>
      </w:r>
      <w:r>
        <w:rPr>
          <w:color w:val="231F20"/>
        </w:rPr>
        <w:t>con</w:t>
      </w:r>
      <w:r>
        <w:rPr>
          <w:color w:val="231F20"/>
          <w:spacing w:val="-8"/>
        </w:rPr>
        <w:t> </w:t>
      </w:r>
      <w:r>
        <w:rPr>
          <w:color w:val="231F20"/>
        </w:rPr>
        <w:t>sede</w:t>
      </w:r>
      <w:r>
        <w:rPr>
          <w:color w:val="231F20"/>
          <w:spacing w:val="-8"/>
        </w:rPr>
        <w:t> </w:t>
      </w:r>
      <w:r>
        <w:rPr>
          <w:color w:val="231F20"/>
        </w:rPr>
        <w:t>in</w:t>
      </w:r>
      <w:r>
        <w:rPr>
          <w:color w:val="231F20"/>
          <w:spacing w:val="-8"/>
        </w:rPr>
        <w:t> </w:t>
      </w:r>
      <w:r>
        <w:rPr>
          <w:color w:val="231F20"/>
        </w:rPr>
        <w:t>Francia,</w:t>
      </w:r>
      <w:r>
        <w:rPr>
          <w:color w:val="231F20"/>
          <w:spacing w:val="-8"/>
        </w:rPr>
        <w:t> </w:t>
      </w:r>
      <w:r>
        <w:rPr>
          <w:color w:val="231F20"/>
        </w:rPr>
        <w:t>potevano effettivamente beneficiare dell’esenzione dalla ritenuta alla fonte prevista dalla legislazione francese in materia di imposte sui redditi. Al fine di dare seguito</w:t>
      </w:r>
      <w:r>
        <w:rPr>
          <w:color w:val="231F20"/>
          <w:spacing w:val="-9"/>
        </w:rPr>
        <w:t> </w:t>
      </w:r>
      <w:r>
        <w:rPr>
          <w:color w:val="231F20"/>
        </w:rPr>
        <w:t>alla</w:t>
      </w:r>
      <w:r>
        <w:rPr>
          <w:color w:val="231F20"/>
          <w:spacing w:val="-9"/>
        </w:rPr>
        <w:t> </w:t>
      </w:r>
      <w:r>
        <w:rPr>
          <w:color w:val="231F20"/>
        </w:rPr>
        <w:t>richiesta</w:t>
      </w:r>
      <w:r>
        <w:rPr>
          <w:color w:val="231F20"/>
          <w:spacing w:val="-9"/>
        </w:rPr>
        <w:t> </w:t>
      </w:r>
      <w:r>
        <w:rPr>
          <w:color w:val="231F20"/>
        </w:rPr>
        <w:t>di</w:t>
      </w:r>
      <w:r>
        <w:rPr>
          <w:color w:val="231F20"/>
          <w:spacing w:val="-9"/>
        </w:rPr>
        <w:t> </w:t>
      </w:r>
      <w:r>
        <w:rPr>
          <w:color w:val="231F20"/>
        </w:rPr>
        <w:t>informazioni</w:t>
      </w:r>
      <w:r>
        <w:rPr>
          <w:color w:val="231F20"/>
          <w:spacing w:val="-9"/>
        </w:rPr>
        <w:t> </w:t>
      </w:r>
      <w:r>
        <w:rPr>
          <w:color w:val="231F20"/>
        </w:rPr>
        <w:t>dell’amministrazione</w:t>
      </w:r>
      <w:r>
        <w:rPr>
          <w:color w:val="231F20"/>
          <w:spacing w:val="-9"/>
        </w:rPr>
        <w:t> </w:t>
      </w:r>
      <w:r>
        <w:rPr>
          <w:color w:val="231F20"/>
        </w:rPr>
        <w:t>finanziaria</w:t>
      </w:r>
      <w:r>
        <w:rPr>
          <w:color w:val="231F20"/>
          <w:spacing w:val="-9"/>
        </w:rPr>
        <w:t> </w:t>
      </w:r>
      <w:r>
        <w:rPr>
          <w:color w:val="231F20"/>
        </w:rPr>
        <w:t>fran- cese,</w:t>
      </w:r>
      <w:r>
        <w:rPr>
          <w:color w:val="231F20"/>
          <w:spacing w:val="-9"/>
        </w:rPr>
        <w:t> </w:t>
      </w:r>
      <w:r>
        <w:rPr>
          <w:color w:val="231F20"/>
        </w:rPr>
        <w:t>il</w:t>
      </w:r>
      <w:r>
        <w:rPr>
          <w:color w:val="231F20"/>
          <w:spacing w:val="-9"/>
        </w:rPr>
        <w:t> </w:t>
      </w:r>
      <w:r>
        <w:rPr>
          <w:color w:val="231F20"/>
        </w:rPr>
        <w:t>direttore</w:t>
      </w:r>
      <w:r>
        <w:rPr>
          <w:color w:val="231F20"/>
          <w:spacing w:val="-9"/>
        </w:rPr>
        <w:t> </w:t>
      </w:r>
      <w:r>
        <w:rPr>
          <w:color w:val="231F20"/>
        </w:rPr>
        <w:t>dell’amministrazione</w:t>
      </w:r>
      <w:r>
        <w:rPr>
          <w:color w:val="231F20"/>
          <w:spacing w:val="-9"/>
        </w:rPr>
        <w:t> </w:t>
      </w:r>
      <w:r>
        <w:rPr>
          <w:color w:val="231F20"/>
        </w:rPr>
        <w:t>delle</w:t>
      </w:r>
      <w:r>
        <w:rPr>
          <w:color w:val="231F20"/>
          <w:spacing w:val="-9"/>
        </w:rPr>
        <w:t> </w:t>
      </w:r>
      <w:r>
        <w:rPr>
          <w:color w:val="231F20"/>
        </w:rPr>
        <w:t>imposte</w:t>
      </w:r>
      <w:r>
        <w:rPr>
          <w:color w:val="231F20"/>
          <w:spacing w:val="-9"/>
        </w:rPr>
        <w:t> </w:t>
      </w:r>
      <w:r>
        <w:rPr>
          <w:color w:val="231F20"/>
        </w:rPr>
        <w:t>dirette</w:t>
      </w:r>
      <w:r>
        <w:rPr>
          <w:color w:val="231F20"/>
          <w:spacing w:val="-9"/>
        </w:rPr>
        <w:t> </w:t>
      </w:r>
      <w:r>
        <w:rPr>
          <w:color w:val="231F20"/>
        </w:rPr>
        <w:t>del</w:t>
      </w:r>
      <w:r>
        <w:rPr>
          <w:color w:val="231F20"/>
          <w:spacing w:val="-9"/>
        </w:rPr>
        <w:t> </w:t>
      </w:r>
      <w:r>
        <w:rPr>
          <w:color w:val="231F20"/>
        </w:rPr>
        <w:t>Lussembur- go</w:t>
      </w:r>
      <w:r>
        <w:rPr>
          <w:color w:val="231F20"/>
          <w:spacing w:val="-12"/>
        </w:rPr>
        <w:t> </w:t>
      </w:r>
      <w:r>
        <w:rPr>
          <w:color w:val="231F20"/>
        </w:rPr>
        <w:t>emetteva</w:t>
      </w:r>
      <w:r>
        <w:rPr>
          <w:color w:val="231F20"/>
          <w:spacing w:val="-12"/>
        </w:rPr>
        <w:t> </w:t>
      </w:r>
      <w:r>
        <w:rPr>
          <w:color w:val="231F20"/>
        </w:rPr>
        <w:t>un</w:t>
      </w:r>
      <w:r>
        <w:rPr>
          <w:color w:val="231F20"/>
          <w:spacing w:val="-12"/>
        </w:rPr>
        <w:t> </w:t>
      </w:r>
      <w:r>
        <w:rPr>
          <w:color w:val="231F20"/>
        </w:rPr>
        <w:t>atto</w:t>
      </w:r>
      <w:r>
        <w:rPr>
          <w:color w:val="231F20"/>
          <w:spacing w:val="-12"/>
        </w:rPr>
        <w:t> </w:t>
      </w:r>
      <w:r>
        <w:rPr>
          <w:color w:val="231F20"/>
        </w:rPr>
        <w:t>di</w:t>
      </w:r>
      <w:r>
        <w:rPr>
          <w:color w:val="231F20"/>
          <w:spacing w:val="-12"/>
        </w:rPr>
        <w:t> </w:t>
      </w:r>
      <w:r>
        <w:rPr>
          <w:color w:val="231F20"/>
        </w:rPr>
        <w:t>ingiunzione</w:t>
      </w:r>
      <w:r>
        <w:rPr>
          <w:color w:val="231F20"/>
          <w:spacing w:val="-12"/>
        </w:rPr>
        <w:t> </w:t>
      </w:r>
      <w:r>
        <w:rPr>
          <w:color w:val="231F20"/>
        </w:rPr>
        <w:t>con</w:t>
      </w:r>
      <w:r>
        <w:rPr>
          <w:color w:val="231F20"/>
          <w:spacing w:val="-12"/>
        </w:rPr>
        <w:t> </w:t>
      </w:r>
      <w:r>
        <w:rPr>
          <w:color w:val="231F20"/>
        </w:rPr>
        <w:t>il</w:t>
      </w:r>
      <w:r>
        <w:rPr>
          <w:color w:val="231F20"/>
          <w:spacing w:val="-12"/>
        </w:rPr>
        <w:t> </w:t>
      </w:r>
      <w:r>
        <w:rPr>
          <w:color w:val="231F20"/>
        </w:rPr>
        <w:t>quale</w:t>
      </w:r>
      <w:r>
        <w:rPr>
          <w:color w:val="231F20"/>
          <w:spacing w:val="-12"/>
        </w:rPr>
        <w:t> </w:t>
      </w:r>
      <w:r>
        <w:rPr>
          <w:color w:val="231F20"/>
        </w:rPr>
        <w:t>ordinava</w:t>
      </w:r>
      <w:r>
        <w:rPr>
          <w:color w:val="231F20"/>
          <w:spacing w:val="-12"/>
        </w:rPr>
        <w:t> </w:t>
      </w:r>
      <w:r>
        <w:rPr>
          <w:color w:val="231F20"/>
        </w:rPr>
        <w:t>alla</w:t>
      </w:r>
      <w:r>
        <w:rPr>
          <w:color w:val="231F20"/>
          <w:spacing w:val="-12"/>
        </w:rPr>
        <w:t> </w:t>
      </w:r>
      <w:r>
        <w:rPr>
          <w:color w:val="231F20"/>
        </w:rPr>
        <w:t>società</w:t>
      </w:r>
      <w:r>
        <w:rPr>
          <w:color w:val="231F20"/>
          <w:spacing w:val="-12"/>
        </w:rPr>
        <w:t> </w:t>
      </w:r>
      <w:r>
        <w:rPr>
          <w:i/>
          <w:color w:val="231F20"/>
        </w:rPr>
        <w:t>Berlioz</w:t>
      </w:r>
      <w:r>
        <w:rPr>
          <w:i/>
          <w:color w:val="231F20"/>
        </w:rPr>
        <w:t> </w:t>
      </w:r>
      <w:r>
        <w:rPr>
          <w:color w:val="231F20"/>
        </w:rPr>
        <w:t>di comunicare una lunga serie di informazioni volte ad accertare se detta società svolgeva un’attività effettiva nel Granducato o se si trattava di una società «schermo» costituita al solo fine di eludere l’imposizione francese sui</w:t>
      </w:r>
      <w:r>
        <w:rPr>
          <w:color w:val="231F20"/>
          <w:spacing w:val="18"/>
        </w:rPr>
        <w:t> </w:t>
      </w:r>
      <w:r>
        <w:rPr>
          <w:color w:val="231F20"/>
        </w:rPr>
        <w:t>dividendi.</w:t>
      </w:r>
      <w:r>
        <w:rPr>
          <w:color w:val="231F20"/>
          <w:spacing w:val="19"/>
        </w:rPr>
        <w:t> </w:t>
      </w:r>
      <w:r>
        <w:rPr>
          <w:color w:val="231F20"/>
        </w:rPr>
        <w:t>La</w:t>
      </w:r>
      <w:r>
        <w:rPr>
          <w:color w:val="231F20"/>
          <w:spacing w:val="19"/>
        </w:rPr>
        <w:t> </w:t>
      </w:r>
      <w:r>
        <w:rPr>
          <w:color w:val="231F20"/>
        </w:rPr>
        <w:t>società</w:t>
      </w:r>
      <w:r>
        <w:rPr>
          <w:color w:val="231F20"/>
          <w:spacing w:val="19"/>
        </w:rPr>
        <w:t> </w:t>
      </w:r>
      <w:r>
        <w:rPr>
          <w:i/>
          <w:color w:val="231F20"/>
        </w:rPr>
        <w:t>Berlioz</w:t>
      </w:r>
      <w:r>
        <w:rPr>
          <w:i/>
          <w:color w:val="231F20"/>
          <w:spacing w:val="19"/>
        </w:rPr>
        <w:t> </w:t>
      </w:r>
      <w:r>
        <w:rPr>
          <w:color w:val="231F20"/>
        </w:rPr>
        <w:t>rispondeva</w:t>
      </w:r>
      <w:r>
        <w:rPr>
          <w:color w:val="231F20"/>
          <w:spacing w:val="19"/>
        </w:rPr>
        <w:t> </w:t>
      </w:r>
      <w:r>
        <w:rPr>
          <w:color w:val="231F20"/>
        </w:rPr>
        <w:t>che</w:t>
      </w:r>
      <w:r>
        <w:rPr>
          <w:color w:val="231F20"/>
          <w:spacing w:val="19"/>
        </w:rPr>
        <w:t> </w:t>
      </w:r>
      <w:r>
        <w:rPr>
          <w:color w:val="231F20"/>
        </w:rPr>
        <w:t>avrebbe</w:t>
      </w:r>
      <w:r>
        <w:rPr>
          <w:color w:val="231F20"/>
          <w:spacing w:val="19"/>
        </w:rPr>
        <w:t> </w:t>
      </w:r>
      <w:r>
        <w:rPr>
          <w:color w:val="231F20"/>
        </w:rPr>
        <w:t>ottemperato</w:t>
      </w:r>
      <w:r>
        <w:rPr>
          <w:color w:val="231F20"/>
          <w:spacing w:val="19"/>
        </w:rPr>
        <w:t> </w:t>
      </w:r>
      <w:r>
        <w:rPr>
          <w:color w:val="231F20"/>
          <w:spacing w:val="-4"/>
        </w:rPr>
        <w:t>alla</w:t>
      </w:r>
    </w:p>
    <w:p>
      <w:pPr>
        <w:pStyle w:val="BodyText"/>
        <w:spacing w:before="7"/>
        <w:rPr>
          <w:sz w:val="7"/>
        </w:rPr>
      </w:pPr>
      <w:r>
        <w:rPr/>
        <mc:AlternateContent>
          <mc:Choice Requires="wps">
            <w:drawing>
              <wp:anchor distT="0" distB="0" distL="0" distR="0" allowOverlap="1" layoutInCell="1" locked="0" behindDoc="1" simplePos="0" relativeHeight="487613952">
                <wp:simplePos x="0" y="0"/>
                <wp:positionH relativeFrom="page">
                  <wp:posOffset>864000</wp:posOffset>
                </wp:positionH>
                <wp:positionV relativeFrom="paragraph">
                  <wp:posOffset>76591</wp:posOffset>
                </wp:positionV>
                <wp:extent cx="792480" cy="1270"/>
                <wp:effectExtent l="0" t="0" r="0" b="0"/>
                <wp:wrapTopAndBottom/>
                <wp:docPr id="92" name="Graphic 92"/>
                <wp:cNvGraphicFramePr>
                  <a:graphicFrameLocks/>
                </wp:cNvGraphicFramePr>
                <a:graphic>
                  <a:graphicData uri="http://schemas.microsoft.com/office/word/2010/wordprocessingShape">
                    <wps:wsp>
                      <wps:cNvPr id="92" name="Graphic 92"/>
                      <wps:cNvSpPr/>
                      <wps:spPr>
                        <a:xfrm>
                          <a:off x="0" y="0"/>
                          <a:ext cx="792480" cy="1270"/>
                        </a:xfrm>
                        <a:custGeom>
                          <a:avLst/>
                          <a:gdLst/>
                          <a:ahLst/>
                          <a:cxnLst/>
                          <a:rect l="l" t="t" r="r" b="b"/>
                          <a:pathLst>
                            <a:path w="792480" h="0">
                              <a:moveTo>
                                <a:pt x="0" y="0"/>
                              </a:moveTo>
                              <a:lnTo>
                                <a:pt x="791997"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shape style="position:absolute;margin-left:68.031502pt;margin-top:6.03082pt;width:62.4pt;height:.1pt;mso-position-horizontal-relative:page;mso-position-vertical-relative:paragraph;z-index:-15702528;mso-wrap-distance-left:0;mso-wrap-distance-right:0" id="docshape76" coordorigin="1361,121" coordsize="1248,0" path="m1361,121l2608,121e" filled="false" stroked="true" strokeweight=".5pt" strokecolor="#231f20">
                <v:path arrowok="t"/>
                <v:stroke dashstyle="solid"/>
                <w10:wrap type="topAndBottom"/>
              </v:shape>
            </w:pict>
          </mc:Fallback>
        </mc:AlternateContent>
      </w:r>
    </w:p>
    <w:p>
      <w:pPr>
        <w:spacing w:line="225" w:lineRule="auto" w:before="201"/>
        <w:ind w:left="100" w:right="174" w:firstLine="0"/>
        <w:jc w:val="both"/>
        <w:rPr>
          <w:sz w:val="19"/>
        </w:rPr>
      </w:pPr>
      <w:r>
        <w:rPr>
          <w:color w:val="231F20"/>
          <w:position w:val="6"/>
          <w:sz w:val="11"/>
        </w:rPr>
        <w:t>65</w:t>
      </w:r>
      <w:r>
        <w:rPr>
          <w:color w:val="231F20"/>
          <w:spacing w:val="74"/>
          <w:position w:val="6"/>
          <w:sz w:val="11"/>
        </w:rPr>
        <w:t>  </w:t>
      </w:r>
      <w:r>
        <w:rPr>
          <w:color w:val="231F20"/>
          <w:sz w:val="19"/>
        </w:rPr>
        <w:t>Direttiva</w:t>
      </w:r>
      <w:r>
        <w:rPr>
          <w:color w:val="231F20"/>
          <w:spacing w:val="40"/>
          <w:sz w:val="19"/>
        </w:rPr>
        <w:t> </w:t>
      </w:r>
      <w:r>
        <w:rPr>
          <w:color w:val="231F20"/>
          <w:sz w:val="19"/>
        </w:rPr>
        <w:t>77/799/CEE</w:t>
      </w:r>
      <w:r>
        <w:rPr>
          <w:color w:val="231F20"/>
          <w:spacing w:val="40"/>
          <w:sz w:val="19"/>
        </w:rPr>
        <w:t> </w:t>
      </w:r>
      <w:r>
        <w:rPr>
          <w:color w:val="231F20"/>
          <w:sz w:val="19"/>
        </w:rPr>
        <w:t>del</w:t>
      </w:r>
      <w:r>
        <w:rPr>
          <w:color w:val="231F20"/>
          <w:spacing w:val="40"/>
          <w:sz w:val="19"/>
        </w:rPr>
        <w:t> </w:t>
      </w:r>
      <w:r>
        <w:rPr>
          <w:color w:val="231F20"/>
          <w:sz w:val="19"/>
        </w:rPr>
        <w:t>Consiglio</w:t>
      </w:r>
      <w:r>
        <w:rPr>
          <w:color w:val="231F20"/>
          <w:spacing w:val="40"/>
          <w:sz w:val="19"/>
        </w:rPr>
        <w:t> </w:t>
      </w:r>
      <w:r>
        <w:rPr>
          <w:color w:val="231F20"/>
          <w:sz w:val="19"/>
        </w:rPr>
        <w:t>del</w:t>
      </w:r>
      <w:r>
        <w:rPr>
          <w:color w:val="231F20"/>
          <w:spacing w:val="40"/>
          <w:sz w:val="19"/>
        </w:rPr>
        <w:t> </w:t>
      </w:r>
      <w:r>
        <w:rPr>
          <w:color w:val="231F20"/>
          <w:sz w:val="19"/>
        </w:rPr>
        <w:t>19.12.1977,</w:t>
      </w:r>
      <w:r>
        <w:rPr>
          <w:color w:val="231F20"/>
          <w:spacing w:val="40"/>
          <w:sz w:val="19"/>
        </w:rPr>
        <w:t> </w:t>
      </w:r>
      <w:r>
        <w:rPr>
          <w:color w:val="231F20"/>
          <w:sz w:val="19"/>
        </w:rPr>
        <w:t>poi</w:t>
      </w:r>
      <w:r>
        <w:rPr>
          <w:color w:val="231F20"/>
          <w:spacing w:val="40"/>
          <w:sz w:val="19"/>
        </w:rPr>
        <w:t> </w:t>
      </w:r>
      <w:r>
        <w:rPr>
          <w:color w:val="231F20"/>
          <w:sz w:val="19"/>
        </w:rPr>
        <w:t>abrogata</w:t>
      </w:r>
      <w:r>
        <w:rPr>
          <w:color w:val="231F20"/>
          <w:spacing w:val="40"/>
          <w:sz w:val="19"/>
        </w:rPr>
        <w:t> </w:t>
      </w:r>
      <w:r>
        <w:rPr>
          <w:color w:val="231F20"/>
          <w:sz w:val="19"/>
        </w:rPr>
        <w:t>e</w:t>
      </w:r>
      <w:r>
        <w:rPr>
          <w:color w:val="231F20"/>
          <w:spacing w:val="40"/>
          <w:sz w:val="19"/>
        </w:rPr>
        <w:t> </w:t>
      </w:r>
      <w:r>
        <w:rPr>
          <w:color w:val="231F20"/>
          <w:sz w:val="19"/>
        </w:rPr>
        <w:t>sostituita</w:t>
      </w:r>
      <w:r>
        <w:rPr>
          <w:color w:val="231F20"/>
          <w:spacing w:val="40"/>
          <w:sz w:val="19"/>
        </w:rPr>
        <w:t> </w:t>
      </w:r>
      <w:r>
        <w:rPr>
          <w:color w:val="231F20"/>
          <w:sz w:val="19"/>
        </w:rPr>
        <w:t>dalla più volte citata direttiva 2011/16/UE del Consiglio del 15.02.2011, anch’essa relativa alla cooperazione fra amministrazioni finanziarie degli Stati membri. A differenza della direttiva 2011/16/UE attualmente in vigore, la prima direttiva del 1977 disciplinava la cooperazione amministrativa non soltanto nel settore delle imposte dirette, ma anche nei settori dell’IVA e delle accise armonizzate.</w:t>
      </w:r>
    </w:p>
    <w:p>
      <w:pPr>
        <w:spacing w:line="230" w:lineRule="exact" w:before="0"/>
        <w:ind w:left="100" w:right="0" w:firstLine="0"/>
        <w:jc w:val="both"/>
        <w:rPr>
          <w:sz w:val="19"/>
        </w:rPr>
      </w:pPr>
      <w:r>
        <w:rPr>
          <w:color w:val="231F20"/>
          <w:position w:val="6"/>
          <w:sz w:val="11"/>
        </w:rPr>
        <w:t>66</w:t>
      </w:r>
      <w:r>
        <w:rPr>
          <w:color w:val="231F20"/>
          <w:spacing w:val="53"/>
          <w:position w:val="6"/>
          <w:sz w:val="11"/>
        </w:rPr>
        <w:t>  </w:t>
      </w:r>
      <w:r>
        <w:rPr>
          <w:color w:val="231F20"/>
          <w:sz w:val="19"/>
        </w:rPr>
        <w:t>Corte</w:t>
      </w:r>
      <w:r>
        <w:rPr>
          <w:color w:val="231F20"/>
          <w:spacing w:val="1"/>
          <w:sz w:val="19"/>
        </w:rPr>
        <w:t> </w:t>
      </w:r>
      <w:r>
        <w:rPr>
          <w:color w:val="231F20"/>
          <w:sz w:val="19"/>
        </w:rPr>
        <w:t>giust. UE, sent. del 22</w:t>
      </w:r>
      <w:r>
        <w:rPr>
          <w:color w:val="231F20"/>
          <w:spacing w:val="-1"/>
          <w:sz w:val="19"/>
        </w:rPr>
        <w:t> </w:t>
      </w:r>
      <w:r>
        <w:rPr>
          <w:color w:val="231F20"/>
          <w:sz w:val="19"/>
        </w:rPr>
        <w:t>ottobre 2013, causa C-276/12, cit., punti 36 e </w:t>
      </w:r>
      <w:r>
        <w:rPr>
          <w:color w:val="231F20"/>
          <w:spacing w:val="-5"/>
          <w:sz w:val="19"/>
        </w:rPr>
        <w:t>40.</w:t>
      </w:r>
    </w:p>
    <w:p>
      <w:pPr>
        <w:spacing w:line="235" w:lineRule="exact" w:before="0"/>
        <w:ind w:left="100" w:right="0" w:firstLine="0"/>
        <w:jc w:val="both"/>
        <w:rPr>
          <w:sz w:val="19"/>
        </w:rPr>
      </w:pPr>
      <w:r>
        <w:rPr>
          <w:color w:val="231F20"/>
          <w:position w:val="6"/>
          <w:sz w:val="11"/>
        </w:rPr>
        <w:t>67</w:t>
      </w:r>
      <w:r>
        <w:rPr>
          <w:color w:val="231F20"/>
          <w:spacing w:val="53"/>
          <w:position w:val="6"/>
          <w:sz w:val="11"/>
        </w:rPr>
        <w:t>  </w:t>
      </w:r>
      <w:r>
        <w:rPr>
          <w:color w:val="231F20"/>
          <w:sz w:val="19"/>
        </w:rPr>
        <w:t>Corte</w:t>
      </w:r>
      <w:r>
        <w:rPr>
          <w:color w:val="231F20"/>
          <w:spacing w:val="1"/>
          <w:sz w:val="19"/>
        </w:rPr>
        <w:t> </w:t>
      </w:r>
      <w:r>
        <w:rPr>
          <w:color w:val="231F20"/>
          <w:sz w:val="19"/>
        </w:rPr>
        <w:t>giust. UE,</w:t>
      </w:r>
      <w:r>
        <w:rPr>
          <w:color w:val="231F20"/>
          <w:spacing w:val="1"/>
          <w:sz w:val="19"/>
        </w:rPr>
        <w:t> </w:t>
      </w:r>
      <w:r>
        <w:rPr>
          <w:color w:val="231F20"/>
          <w:sz w:val="19"/>
        </w:rPr>
        <w:t>ult. cit., punti 44 e </w:t>
      </w:r>
      <w:r>
        <w:rPr>
          <w:color w:val="231F20"/>
          <w:spacing w:val="-5"/>
          <w:sz w:val="19"/>
        </w:rPr>
        <w:t>46.</w:t>
      </w:r>
    </w:p>
    <w:p>
      <w:pPr>
        <w:spacing w:after="0" w:line="235" w:lineRule="exact"/>
        <w:jc w:val="both"/>
        <w:rPr>
          <w:sz w:val="19"/>
        </w:rPr>
        <w:sectPr>
          <w:pgSz w:w="9640" w:h="13610"/>
          <w:pgMar w:header="0" w:footer="625" w:top="1260" w:bottom="820" w:left="1260" w:right="1240"/>
        </w:sectPr>
      </w:pPr>
    </w:p>
    <w:p>
      <w:pPr>
        <w:pStyle w:val="BodyText"/>
        <w:spacing w:line="225" w:lineRule="auto" w:before="117"/>
        <w:ind w:left="157" w:right="117"/>
        <w:jc w:val="both"/>
      </w:pPr>
      <w:r>
        <w:rPr/>
        <mc:AlternateContent>
          <mc:Choice Requires="wps">
            <w:drawing>
              <wp:anchor distT="0" distB="0" distL="0" distR="0" allowOverlap="1" layoutInCell="1" locked="0" behindDoc="0" simplePos="0" relativeHeight="15755776">
                <wp:simplePos x="0" y="0"/>
                <wp:positionH relativeFrom="page">
                  <wp:posOffset>5608609</wp:posOffset>
                </wp:positionH>
                <wp:positionV relativeFrom="page">
                  <wp:posOffset>2376001</wp:posOffset>
                </wp:positionV>
                <wp:extent cx="511809" cy="2412365"/>
                <wp:effectExtent l="0" t="0" r="0" b="0"/>
                <wp:wrapNone/>
                <wp:docPr id="93" name="Group 93"/>
                <wp:cNvGraphicFramePr>
                  <a:graphicFrameLocks/>
                </wp:cNvGraphicFramePr>
                <a:graphic>
                  <a:graphicData uri="http://schemas.microsoft.com/office/word/2010/wordprocessingGroup">
                    <wpg:wgp>
                      <wpg:cNvPr id="93" name="Group 93"/>
                      <wpg:cNvGrpSpPr/>
                      <wpg:grpSpPr>
                        <a:xfrm>
                          <a:off x="0" y="0"/>
                          <a:ext cx="511809" cy="2412365"/>
                          <a:chExt cx="511809" cy="2412365"/>
                        </a:xfrm>
                      </wpg:grpSpPr>
                      <wps:wsp>
                        <wps:cNvPr id="94" name="Graphic 94"/>
                        <wps:cNvSpPr/>
                        <wps:spPr>
                          <a:xfrm>
                            <a:off x="7393" y="3"/>
                            <a:ext cx="504190" cy="360045"/>
                          </a:xfrm>
                          <a:custGeom>
                            <a:avLst/>
                            <a:gdLst/>
                            <a:ahLst/>
                            <a:cxnLst/>
                            <a:rect l="l" t="t" r="r" b="b"/>
                            <a:pathLst>
                              <a:path w="504190" h="360045">
                                <a:moveTo>
                                  <a:pt x="503999" y="0"/>
                                </a:moveTo>
                                <a:lnTo>
                                  <a:pt x="0" y="0"/>
                                </a:lnTo>
                                <a:lnTo>
                                  <a:pt x="0" y="359994"/>
                                </a:lnTo>
                                <a:lnTo>
                                  <a:pt x="503999" y="359994"/>
                                </a:lnTo>
                                <a:lnTo>
                                  <a:pt x="503999" y="0"/>
                                </a:lnTo>
                                <a:close/>
                              </a:path>
                            </a:pathLst>
                          </a:custGeom>
                          <a:solidFill>
                            <a:srgbClr val="939598"/>
                          </a:solidFill>
                        </wps:spPr>
                        <wps:bodyPr wrap="square" lIns="0" tIns="0" rIns="0" bIns="0" rtlCol="0">
                          <a:prstTxWarp prst="textNoShape">
                            <a:avLst/>
                          </a:prstTxWarp>
                          <a:noAutofit/>
                        </wps:bodyPr>
                      </wps:wsp>
                      <wps:wsp>
                        <wps:cNvPr id="95" name="Graphic 95"/>
                        <wps:cNvSpPr/>
                        <wps:spPr>
                          <a:xfrm>
                            <a:off x="6350" y="0"/>
                            <a:ext cx="1270" cy="2412365"/>
                          </a:xfrm>
                          <a:custGeom>
                            <a:avLst/>
                            <a:gdLst/>
                            <a:ahLst/>
                            <a:cxnLst/>
                            <a:rect l="l" t="t" r="r" b="b"/>
                            <a:pathLst>
                              <a:path w="0" h="2412365">
                                <a:moveTo>
                                  <a:pt x="0" y="0"/>
                                </a:moveTo>
                                <a:lnTo>
                                  <a:pt x="0" y="2411996"/>
                                </a:lnTo>
                              </a:path>
                            </a:pathLst>
                          </a:custGeom>
                          <a:ln w="12700">
                            <a:solidFill>
                              <a:srgbClr val="939598"/>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441.622803pt;margin-top:187.0867pt;width:40.3pt;height:189.95pt;mso-position-horizontal-relative:page;mso-position-vertical-relative:page;z-index:15755776" id="docshapegroup77" coordorigin="8832,3742" coordsize="806,3799">
                <v:rect style="position:absolute;left:8844;top:3741;width:794;height:567" id="docshape78" filled="true" fillcolor="#939598" stroked="false">
                  <v:fill type="solid"/>
                </v:rect>
                <v:line style="position:absolute" from="8842,3742" to="8842,7540" stroked="true" strokeweight="1pt" strokecolor="#939598">
                  <v:stroke dashstyle="solid"/>
                </v:line>
                <w10:wrap type="none"/>
              </v:group>
            </w:pict>
          </mc:Fallback>
        </mc:AlternateContent>
      </w:r>
      <w:r>
        <w:rPr/>
        <mc:AlternateContent>
          <mc:Choice Requires="wps">
            <w:drawing>
              <wp:anchor distT="0" distB="0" distL="0" distR="0" allowOverlap="1" layoutInCell="1" locked="0" behindDoc="0" simplePos="0" relativeHeight="15756288">
                <wp:simplePos x="0" y="0"/>
                <wp:positionH relativeFrom="page">
                  <wp:posOffset>5635147</wp:posOffset>
                </wp:positionH>
                <wp:positionV relativeFrom="page">
                  <wp:posOffset>2795300</wp:posOffset>
                </wp:positionV>
                <wp:extent cx="299720" cy="1995805"/>
                <wp:effectExtent l="0" t="0" r="0" b="0"/>
                <wp:wrapNone/>
                <wp:docPr id="96" name="Textbox 96"/>
                <wp:cNvGraphicFramePr>
                  <a:graphicFrameLocks/>
                </wp:cNvGraphicFramePr>
                <a:graphic>
                  <a:graphicData uri="http://schemas.microsoft.com/office/word/2010/wordprocessingShape">
                    <wps:wsp>
                      <wps:cNvPr id="96" name="Textbox 96"/>
                      <wps:cNvSpPr txBox="1"/>
                      <wps:spPr>
                        <a:xfrm>
                          <a:off x="0" y="0"/>
                          <a:ext cx="299720" cy="1995805"/>
                        </a:xfrm>
                        <a:prstGeom prst="rect">
                          <a:avLst/>
                        </a:prstGeom>
                      </wps:spPr>
                      <wps:txbx>
                        <w:txbxContent>
                          <w:p>
                            <w:pPr>
                              <w:spacing w:before="20"/>
                              <w:ind w:left="20" w:right="0" w:firstLine="0"/>
                              <w:jc w:val="left"/>
                              <w:rPr>
                                <w:rFonts w:ascii="Minion Pro"/>
                                <w:sz w:val="32"/>
                              </w:rPr>
                            </w:pPr>
                            <w:r>
                              <w:rPr>
                                <w:rFonts w:ascii="Minion Pro"/>
                                <w:color w:val="231F20"/>
                                <w:sz w:val="32"/>
                              </w:rPr>
                              <w:t>Commented</w:t>
                            </w:r>
                            <w:r>
                              <w:rPr>
                                <w:rFonts w:ascii="Minion Pro"/>
                                <w:color w:val="231F20"/>
                                <w:spacing w:val="-10"/>
                                <w:sz w:val="32"/>
                              </w:rPr>
                              <w:t> </w:t>
                            </w:r>
                            <w:r>
                              <w:rPr>
                                <w:rFonts w:ascii="Minion Pro"/>
                                <w:color w:val="231F20"/>
                                <w:spacing w:val="-2"/>
                                <w:sz w:val="32"/>
                              </w:rPr>
                              <w:t>documents</w:t>
                            </w:r>
                          </w:p>
                        </w:txbxContent>
                      </wps:txbx>
                      <wps:bodyPr wrap="square" lIns="0" tIns="0" rIns="0" bIns="0" rtlCol="0" vert="vert">
                        <a:noAutofit/>
                      </wps:bodyPr>
                    </wps:wsp>
                  </a:graphicData>
                </a:graphic>
              </wp:anchor>
            </w:drawing>
          </mc:Choice>
          <mc:Fallback>
            <w:pict>
              <v:shape style="position:absolute;margin-left:443.712402pt;margin-top:220.102402pt;width:23.6pt;height:157.15pt;mso-position-horizontal-relative:page;mso-position-vertical-relative:page;z-index:15756288" type="#_x0000_t202" id="docshape79" filled="false" stroked="false">
                <v:textbox inset="0,0,0,0" style="layout-flow:vertical">
                  <w:txbxContent>
                    <w:p>
                      <w:pPr>
                        <w:spacing w:before="20"/>
                        <w:ind w:left="20" w:right="0" w:firstLine="0"/>
                        <w:jc w:val="left"/>
                        <w:rPr>
                          <w:rFonts w:ascii="Minion Pro"/>
                          <w:sz w:val="32"/>
                        </w:rPr>
                      </w:pPr>
                      <w:r>
                        <w:rPr>
                          <w:rFonts w:ascii="Minion Pro"/>
                          <w:color w:val="231F20"/>
                          <w:sz w:val="32"/>
                        </w:rPr>
                        <w:t>Commented</w:t>
                      </w:r>
                      <w:r>
                        <w:rPr>
                          <w:rFonts w:ascii="Minion Pro"/>
                          <w:color w:val="231F20"/>
                          <w:spacing w:val="-10"/>
                          <w:sz w:val="32"/>
                        </w:rPr>
                        <w:t> </w:t>
                      </w:r>
                      <w:r>
                        <w:rPr>
                          <w:rFonts w:ascii="Minion Pro"/>
                          <w:color w:val="231F20"/>
                          <w:spacing w:val="-2"/>
                          <w:sz w:val="32"/>
                        </w:rPr>
                        <w:t>documents</w:t>
                      </w:r>
                    </w:p>
                  </w:txbxContent>
                </v:textbox>
                <w10:wrap type="none"/>
              </v:shape>
            </w:pict>
          </mc:Fallback>
        </mc:AlternateContent>
      </w:r>
      <w:r>
        <w:rPr>
          <w:color w:val="231F20"/>
        </w:rPr>
        <w:t>richiesta di informazioni notificatale dall’amministrazione finanziaria </w:t>
      </w:r>
      <w:r>
        <w:rPr>
          <w:color w:val="231F20"/>
        </w:rPr>
        <w:t>del Lussemburgo,</w:t>
      </w:r>
      <w:r>
        <w:rPr>
          <w:color w:val="231F20"/>
          <w:spacing w:val="-6"/>
        </w:rPr>
        <w:t> </w:t>
      </w:r>
      <w:r>
        <w:rPr>
          <w:color w:val="231F20"/>
        </w:rPr>
        <w:t>tranne</w:t>
      </w:r>
      <w:r>
        <w:rPr>
          <w:color w:val="231F20"/>
          <w:spacing w:val="-6"/>
        </w:rPr>
        <w:t> </w:t>
      </w:r>
      <w:r>
        <w:rPr>
          <w:color w:val="231F20"/>
        </w:rPr>
        <w:t>che</w:t>
      </w:r>
      <w:r>
        <w:rPr>
          <w:color w:val="231F20"/>
          <w:spacing w:val="-6"/>
        </w:rPr>
        <w:t> </w:t>
      </w:r>
      <w:r>
        <w:rPr>
          <w:color w:val="231F20"/>
        </w:rPr>
        <w:t>per</w:t>
      </w:r>
      <w:r>
        <w:rPr>
          <w:color w:val="231F20"/>
          <w:spacing w:val="-6"/>
        </w:rPr>
        <w:t> </w:t>
      </w:r>
      <w:r>
        <w:rPr>
          <w:color w:val="231F20"/>
        </w:rPr>
        <w:t>quanto</w:t>
      </w:r>
      <w:r>
        <w:rPr>
          <w:color w:val="231F20"/>
          <w:spacing w:val="-6"/>
        </w:rPr>
        <w:t> </w:t>
      </w:r>
      <w:r>
        <w:rPr>
          <w:color w:val="231F20"/>
        </w:rPr>
        <w:t>riguardava</w:t>
      </w:r>
      <w:r>
        <w:rPr>
          <w:color w:val="231F20"/>
          <w:spacing w:val="-6"/>
        </w:rPr>
        <w:t> </w:t>
      </w:r>
      <w:r>
        <w:rPr>
          <w:color w:val="231F20"/>
        </w:rPr>
        <w:t>i</w:t>
      </w:r>
      <w:r>
        <w:rPr>
          <w:color w:val="231F20"/>
          <w:spacing w:val="-6"/>
        </w:rPr>
        <w:t> </w:t>
      </w:r>
      <w:r>
        <w:rPr>
          <w:color w:val="231F20"/>
        </w:rPr>
        <w:t>nominativi</w:t>
      </w:r>
      <w:r>
        <w:rPr>
          <w:color w:val="231F20"/>
          <w:spacing w:val="-6"/>
        </w:rPr>
        <w:t> </w:t>
      </w:r>
      <w:r>
        <w:rPr>
          <w:color w:val="231F20"/>
        </w:rPr>
        <w:t>dei</w:t>
      </w:r>
      <w:r>
        <w:rPr>
          <w:color w:val="231F20"/>
          <w:spacing w:val="-6"/>
        </w:rPr>
        <w:t> </w:t>
      </w:r>
      <w:r>
        <w:rPr>
          <w:color w:val="231F20"/>
        </w:rPr>
        <w:t>suoi</w:t>
      </w:r>
      <w:r>
        <w:rPr>
          <w:color w:val="231F20"/>
          <w:spacing w:val="-6"/>
        </w:rPr>
        <w:t> </w:t>
      </w:r>
      <w:r>
        <w:rPr>
          <w:color w:val="231F20"/>
        </w:rPr>
        <w:t>soci, l’importo</w:t>
      </w:r>
      <w:r>
        <w:rPr>
          <w:color w:val="231F20"/>
          <w:spacing w:val="-15"/>
        </w:rPr>
        <w:t> </w:t>
      </w:r>
      <w:r>
        <w:rPr>
          <w:color w:val="231F20"/>
        </w:rPr>
        <w:t>del</w:t>
      </w:r>
      <w:r>
        <w:rPr>
          <w:color w:val="231F20"/>
          <w:spacing w:val="-15"/>
        </w:rPr>
        <w:t> </w:t>
      </w:r>
      <w:r>
        <w:rPr>
          <w:color w:val="231F20"/>
        </w:rPr>
        <w:t>capitale</w:t>
      </w:r>
      <w:r>
        <w:rPr>
          <w:color w:val="231F20"/>
          <w:spacing w:val="-15"/>
        </w:rPr>
        <w:t> </w:t>
      </w:r>
      <w:r>
        <w:rPr>
          <w:color w:val="231F20"/>
        </w:rPr>
        <w:t>detenuto</w:t>
      </w:r>
      <w:r>
        <w:rPr>
          <w:color w:val="231F20"/>
          <w:spacing w:val="-15"/>
        </w:rPr>
        <w:t> </w:t>
      </w:r>
      <w:r>
        <w:rPr>
          <w:color w:val="231F20"/>
        </w:rPr>
        <w:t>da</w:t>
      </w:r>
      <w:r>
        <w:rPr>
          <w:color w:val="231F20"/>
          <w:spacing w:val="-15"/>
        </w:rPr>
        <w:t> </w:t>
      </w:r>
      <w:r>
        <w:rPr>
          <w:color w:val="231F20"/>
        </w:rPr>
        <w:t>ciascuno</w:t>
      </w:r>
      <w:r>
        <w:rPr>
          <w:color w:val="231F20"/>
          <w:spacing w:val="-15"/>
        </w:rPr>
        <w:t> </w:t>
      </w:r>
      <w:r>
        <w:rPr>
          <w:color w:val="231F20"/>
        </w:rPr>
        <w:t>di</w:t>
      </w:r>
      <w:r>
        <w:rPr>
          <w:color w:val="231F20"/>
          <w:spacing w:val="-15"/>
        </w:rPr>
        <w:t> </w:t>
      </w:r>
      <w:r>
        <w:rPr>
          <w:color w:val="231F20"/>
        </w:rPr>
        <w:t>essi</w:t>
      </w:r>
      <w:r>
        <w:rPr>
          <w:color w:val="231F20"/>
          <w:spacing w:val="-15"/>
        </w:rPr>
        <w:t> </w:t>
      </w:r>
      <w:r>
        <w:rPr>
          <w:color w:val="231F20"/>
        </w:rPr>
        <w:t>e</w:t>
      </w:r>
      <w:r>
        <w:rPr>
          <w:color w:val="231F20"/>
          <w:spacing w:val="-15"/>
        </w:rPr>
        <w:t> </w:t>
      </w:r>
      <w:r>
        <w:rPr>
          <w:color w:val="231F20"/>
        </w:rPr>
        <w:t>la</w:t>
      </w:r>
      <w:r>
        <w:rPr>
          <w:color w:val="231F20"/>
          <w:spacing w:val="-15"/>
        </w:rPr>
        <w:t> </w:t>
      </w:r>
      <w:r>
        <w:rPr>
          <w:color w:val="231F20"/>
        </w:rPr>
        <w:t>rispettiva</w:t>
      </w:r>
      <w:r>
        <w:rPr>
          <w:color w:val="231F20"/>
          <w:spacing w:val="-15"/>
        </w:rPr>
        <w:t> </w:t>
      </w:r>
      <w:r>
        <w:rPr>
          <w:color w:val="231F20"/>
        </w:rPr>
        <w:t>percentuale di</w:t>
      </w:r>
      <w:r>
        <w:rPr>
          <w:color w:val="231F20"/>
          <w:spacing w:val="-12"/>
        </w:rPr>
        <w:t> </w:t>
      </w:r>
      <w:r>
        <w:rPr>
          <w:color w:val="231F20"/>
        </w:rPr>
        <w:t>partecipazione,</w:t>
      </w:r>
      <w:r>
        <w:rPr>
          <w:color w:val="231F20"/>
          <w:spacing w:val="-12"/>
        </w:rPr>
        <w:t> </w:t>
      </w:r>
      <w:r>
        <w:rPr>
          <w:color w:val="231F20"/>
        </w:rPr>
        <w:t>adducendo</w:t>
      </w:r>
      <w:r>
        <w:rPr>
          <w:color w:val="231F20"/>
          <w:spacing w:val="-12"/>
        </w:rPr>
        <w:t> </w:t>
      </w:r>
      <w:r>
        <w:rPr>
          <w:color w:val="231F20"/>
        </w:rPr>
        <w:t>che</w:t>
      </w:r>
      <w:r>
        <w:rPr>
          <w:color w:val="231F20"/>
          <w:spacing w:val="-12"/>
        </w:rPr>
        <w:t> </w:t>
      </w:r>
      <w:r>
        <w:rPr>
          <w:color w:val="231F20"/>
        </w:rPr>
        <w:t>tali</w:t>
      </w:r>
      <w:r>
        <w:rPr>
          <w:color w:val="231F20"/>
          <w:spacing w:val="-12"/>
        </w:rPr>
        <w:t> </w:t>
      </w:r>
      <w:r>
        <w:rPr>
          <w:color w:val="231F20"/>
        </w:rPr>
        <w:t>informazioni</w:t>
      </w:r>
      <w:r>
        <w:rPr>
          <w:color w:val="231F20"/>
          <w:spacing w:val="-12"/>
        </w:rPr>
        <w:t> </w:t>
      </w:r>
      <w:r>
        <w:rPr>
          <w:color w:val="231F20"/>
        </w:rPr>
        <w:t>non</w:t>
      </w:r>
      <w:r>
        <w:rPr>
          <w:color w:val="231F20"/>
          <w:spacing w:val="-12"/>
        </w:rPr>
        <w:t> </w:t>
      </w:r>
      <w:r>
        <w:rPr>
          <w:color w:val="231F20"/>
        </w:rPr>
        <w:t>erano</w:t>
      </w:r>
      <w:r>
        <w:rPr>
          <w:color w:val="231F20"/>
          <w:spacing w:val="-12"/>
        </w:rPr>
        <w:t> </w:t>
      </w:r>
      <w:r>
        <w:rPr>
          <w:color w:val="231F20"/>
        </w:rPr>
        <w:t>«pertinenti», secondo</w:t>
      </w:r>
      <w:r>
        <w:rPr>
          <w:color w:val="231F20"/>
          <w:spacing w:val="-11"/>
        </w:rPr>
        <w:t> </w:t>
      </w:r>
      <w:r>
        <w:rPr>
          <w:color w:val="231F20"/>
        </w:rPr>
        <w:t>quanto</w:t>
      </w:r>
      <w:r>
        <w:rPr>
          <w:color w:val="231F20"/>
          <w:spacing w:val="-11"/>
        </w:rPr>
        <w:t> </w:t>
      </w:r>
      <w:r>
        <w:rPr>
          <w:color w:val="231F20"/>
        </w:rPr>
        <w:t>previsto</w:t>
      </w:r>
      <w:r>
        <w:rPr>
          <w:color w:val="231F20"/>
          <w:spacing w:val="-11"/>
        </w:rPr>
        <w:t> </w:t>
      </w:r>
      <w:r>
        <w:rPr>
          <w:color w:val="231F20"/>
        </w:rPr>
        <w:t>dall’art.</w:t>
      </w:r>
      <w:r>
        <w:rPr>
          <w:color w:val="231F20"/>
          <w:spacing w:val="-11"/>
        </w:rPr>
        <w:t> </w:t>
      </w:r>
      <w:r>
        <w:rPr>
          <w:color w:val="231F20"/>
        </w:rPr>
        <w:t>1</w:t>
      </w:r>
      <w:r>
        <w:rPr>
          <w:color w:val="231F20"/>
          <w:spacing w:val="-11"/>
        </w:rPr>
        <w:t> </w:t>
      </w:r>
      <w:r>
        <w:rPr>
          <w:color w:val="231F20"/>
        </w:rPr>
        <w:t>della</w:t>
      </w:r>
      <w:r>
        <w:rPr>
          <w:color w:val="231F20"/>
          <w:spacing w:val="-11"/>
        </w:rPr>
        <w:t> </w:t>
      </w:r>
      <w:r>
        <w:rPr>
          <w:color w:val="231F20"/>
        </w:rPr>
        <w:t>direttiva</w:t>
      </w:r>
      <w:r>
        <w:rPr>
          <w:color w:val="231F20"/>
          <w:spacing w:val="-11"/>
        </w:rPr>
        <w:t> </w:t>
      </w:r>
      <w:r>
        <w:rPr>
          <w:color w:val="231F20"/>
        </w:rPr>
        <w:t>2011/16/UE,</w:t>
      </w:r>
      <w:r>
        <w:rPr>
          <w:color w:val="231F20"/>
          <w:spacing w:val="-11"/>
        </w:rPr>
        <w:t> </w:t>
      </w:r>
      <w:r>
        <w:rPr>
          <w:color w:val="231F20"/>
        </w:rPr>
        <w:t>ai</w:t>
      </w:r>
      <w:r>
        <w:rPr>
          <w:color w:val="231F20"/>
          <w:spacing w:val="-11"/>
        </w:rPr>
        <w:t> </w:t>
      </w:r>
      <w:r>
        <w:rPr>
          <w:color w:val="231F20"/>
        </w:rPr>
        <w:t>fini</w:t>
      </w:r>
      <w:r>
        <w:rPr>
          <w:color w:val="231F20"/>
          <w:spacing w:val="-11"/>
        </w:rPr>
        <w:t> </w:t>
      </w:r>
      <w:r>
        <w:rPr>
          <w:color w:val="231F20"/>
        </w:rPr>
        <w:t>della verifica</w:t>
      </w:r>
      <w:r>
        <w:rPr>
          <w:color w:val="231F20"/>
          <w:spacing w:val="-10"/>
        </w:rPr>
        <w:t> </w:t>
      </w:r>
      <w:r>
        <w:rPr>
          <w:color w:val="231F20"/>
        </w:rPr>
        <w:t>disposta</w:t>
      </w:r>
      <w:r>
        <w:rPr>
          <w:color w:val="231F20"/>
          <w:spacing w:val="-10"/>
        </w:rPr>
        <w:t> </w:t>
      </w:r>
      <w:r>
        <w:rPr>
          <w:color w:val="231F20"/>
        </w:rPr>
        <w:t>dall’amministrazione</w:t>
      </w:r>
      <w:r>
        <w:rPr>
          <w:color w:val="231F20"/>
          <w:spacing w:val="-10"/>
        </w:rPr>
        <w:t> </w:t>
      </w:r>
      <w:r>
        <w:rPr>
          <w:color w:val="231F20"/>
        </w:rPr>
        <w:t>finanziaria</w:t>
      </w:r>
      <w:r>
        <w:rPr>
          <w:color w:val="231F20"/>
          <w:spacing w:val="-10"/>
        </w:rPr>
        <w:t> </w:t>
      </w:r>
      <w:r>
        <w:rPr>
          <w:color w:val="231F20"/>
        </w:rPr>
        <w:t>francese.</w:t>
      </w:r>
      <w:r>
        <w:rPr>
          <w:color w:val="231F20"/>
          <w:spacing w:val="-10"/>
        </w:rPr>
        <w:t> </w:t>
      </w:r>
      <w:r>
        <w:rPr>
          <w:color w:val="231F20"/>
        </w:rPr>
        <w:t>A</w:t>
      </w:r>
      <w:r>
        <w:rPr>
          <w:color w:val="231F20"/>
          <w:spacing w:val="-10"/>
        </w:rPr>
        <w:t> </w:t>
      </w:r>
      <w:r>
        <w:rPr>
          <w:color w:val="231F20"/>
        </w:rPr>
        <w:t>seguito</w:t>
      </w:r>
      <w:r>
        <w:rPr>
          <w:color w:val="231F20"/>
          <w:spacing w:val="-10"/>
        </w:rPr>
        <w:t> </w:t>
      </w:r>
      <w:r>
        <w:rPr>
          <w:color w:val="231F20"/>
        </w:rPr>
        <w:t>di</w:t>
      </w:r>
      <w:r>
        <w:rPr>
          <w:color w:val="231F20"/>
          <w:spacing w:val="-10"/>
        </w:rPr>
        <w:t> </w:t>
      </w:r>
      <w:r>
        <w:rPr>
          <w:color w:val="231F20"/>
        </w:rPr>
        <w:t>tale diniego</w:t>
      </w:r>
      <w:r>
        <w:rPr>
          <w:color w:val="231F20"/>
          <w:spacing w:val="-15"/>
        </w:rPr>
        <w:t> </w:t>
      </w:r>
      <w:r>
        <w:rPr>
          <w:color w:val="231F20"/>
        </w:rPr>
        <w:t>di</w:t>
      </w:r>
      <w:r>
        <w:rPr>
          <w:color w:val="231F20"/>
          <w:spacing w:val="-15"/>
        </w:rPr>
        <w:t> </w:t>
      </w:r>
      <w:r>
        <w:rPr>
          <w:color w:val="231F20"/>
        </w:rPr>
        <w:t>trasmissione</w:t>
      </w:r>
      <w:r>
        <w:rPr>
          <w:color w:val="231F20"/>
          <w:spacing w:val="-15"/>
        </w:rPr>
        <w:t> </w:t>
      </w:r>
      <w:r>
        <w:rPr>
          <w:color w:val="231F20"/>
        </w:rPr>
        <w:t>di</w:t>
      </w:r>
      <w:r>
        <w:rPr>
          <w:color w:val="231F20"/>
          <w:spacing w:val="-15"/>
        </w:rPr>
        <w:t> </w:t>
      </w:r>
      <w:r>
        <w:rPr>
          <w:color w:val="231F20"/>
        </w:rPr>
        <w:t>una</w:t>
      </w:r>
      <w:r>
        <w:rPr>
          <w:color w:val="231F20"/>
          <w:spacing w:val="-15"/>
        </w:rPr>
        <w:t> </w:t>
      </w:r>
      <w:r>
        <w:rPr>
          <w:color w:val="231F20"/>
        </w:rPr>
        <w:t>parte</w:t>
      </w:r>
      <w:r>
        <w:rPr>
          <w:color w:val="231F20"/>
          <w:spacing w:val="-15"/>
        </w:rPr>
        <w:t> </w:t>
      </w:r>
      <w:r>
        <w:rPr>
          <w:color w:val="231F20"/>
        </w:rPr>
        <w:t>delle</w:t>
      </w:r>
      <w:r>
        <w:rPr>
          <w:color w:val="231F20"/>
          <w:spacing w:val="-15"/>
        </w:rPr>
        <w:t> </w:t>
      </w:r>
      <w:r>
        <w:rPr>
          <w:color w:val="231F20"/>
        </w:rPr>
        <w:t>informazioni</w:t>
      </w:r>
      <w:r>
        <w:rPr>
          <w:color w:val="231F20"/>
          <w:spacing w:val="-15"/>
        </w:rPr>
        <w:t> </w:t>
      </w:r>
      <w:r>
        <w:rPr>
          <w:color w:val="231F20"/>
        </w:rPr>
        <w:t>richieste,</w:t>
      </w:r>
      <w:r>
        <w:rPr>
          <w:color w:val="231F20"/>
          <w:spacing w:val="-15"/>
        </w:rPr>
        <w:t> </w:t>
      </w:r>
      <w:r>
        <w:rPr>
          <w:color w:val="231F20"/>
        </w:rPr>
        <w:t>il</w:t>
      </w:r>
      <w:r>
        <w:rPr>
          <w:color w:val="231F20"/>
          <w:spacing w:val="-15"/>
        </w:rPr>
        <w:t> </w:t>
      </w:r>
      <w:r>
        <w:rPr>
          <w:color w:val="231F20"/>
        </w:rPr>
        <w:t>direttore dell’amministrazione delle imposte dirette del Lussemburgo irrogava alla società</w:t>
      </w:r>
      <w:r>
        <w:rPr>
          <w:color w:val="231F20"/>
          <w:spacing w:val="-13"/>
        </w:rPr>
        <w:t> </w:t>
      </w:r>
      <w:r>
        <w:rPr>
          <w:i/>
          <w:color w:val="231F20"/>
        </w:rPr>
        <w:t>Berlioz</w:t>
      </w:r>
      <w:r>
        <w:rPr>
          <w:i/>
          <w:color w:val="231F20"/>
          <w:spacing w:val="-13"/>
        </w:rPr>
        <w:t> </w:t>
      </w:r>
      <w:r>
        <w:rPr>
          <w:color w:val="231F20"/>
        </w:rPr>
        <w:t>una</w:t>
      </w:r>
      <w:r>
        <w:rPr>
          <w:color w:val="231F20"/>
          <w:spacing w:val="-13"/>
        </w:rPr>
        <w:t> </w:t>
      </w:r>
      <w:r>
        <w:rPr>
          <w:color w:val="231F20"/>
        </w:rPr>
        <w:t>sanzione</w:t>
      </w:r>
      <w:r>
        <w:rPr>
          <w:color w:val="231F20"/>
          <w:spacing w:val="-13"/>
        </w:rPr>
        <w:t> </w:t>
      </w:r>
      <w:r>
        <w:rPr>
          <w:color w:val="231F20"/>
        </w:rPr>
        <w:t>amministrativa</w:t>
      </w:r>
      <w:r>
        <w:rPr>
          <w:color w:val="231F20"/>
          <w:spacing w:val="-13"/>
        </w:rPr>
        <w:t> </w:t>
      </w:r>
      <w:r>
        <w:rPr>
          <w:color w:val="231F20"/>
        </w:rPr>
        <w:t>di</w:t>
      </w:r>
      <w:r>
        <w:rPr>
          <w:color w:val="231F20"/>
          <w:spacing w:val="-13"/>
        </w:rPr>
        <w:t> </w:t>
      </w:r>
      <w:r>
        <w:rPr>
          <w:color w:val="231F20"/>
        </w:rPr>
        <w:t>ben</w:t>
      </w:r>
      <w:r>
        <w:rPr>
          <w:color w:val="231F20"/>
          <w:spacing w:val="-13"/>
        </w:rPr>
        <w:t> </w:t>
      </w:r>
      <w:r>
        <w:rPr>
          <w:color w:val="231F20"/>
        </w:rPr>
        <w:t>250.000</w:t>
      </w:r>
      <w:r>
        <w:rPr>
          <w:color w:val="231F20"/>
          <w:spacing w:val="-13"/>
        </w:rPr>
        <w:t> </w:t>
      </w:r>
      <w:r>
        <w:rPr>
          <w:color w:val="231F20"/>
        </w:rPr>
        <w:t>euro,</w:t>
      </w:r>
      <w:r>
        <w:rPr>
          <w:color w:val="231F20"/>
          <w:spacing w:val="-13"/>
        </w:rPr>
        <w:t> </w:t>
      </w:r>
      <w:r>
        <w:rPr>
          <w:color w:val="231F20"/>
        </w:rPr>
        <w:t>decisione immediatamente</w:t>
      </w:r>
      <w:r>
        <w:rPr>
          <w:color w:val="231F20"/>
          <w:spacing w:val="-4"/>
        </w:rPr>
        <w:t> </w:t>
      </w:r>
      <w:r>
        <w:rPr>
          <w:color w:val="231F20"/>
        </w:rPr>
        <w:t>impugnata</w:t>
      </w:r>
      <w:r>
        <w:rPr>
          <w:color w:val="231F20"/>
          <w:spacing w:val="-4"/>
        </w:rPr>
        <w:t> </w:t>
      </w:r>
      <w:r>
        <w:rPr>
          <w:color w:val="231F20"/>
        </w:rPr>
        <w:t>dalla</w:t>
      </w:r>
      <w:r>
        <w:rPr>
          <w:color w:val="231F20"/>
          <w:spacing w:val="-4"/>
        </w:rPr>
        <w:t> </w:t>
      </w:r>
      <w:r>
        <w:rPr>
          <w:color w:val="231F20"/>
        </w:rPr>
        <w:t>suddetta</w:t>
      </w:r>
      <w:r>
        <w:rPr>
          <w:color w:val="231F20"/>
          <w:spacing w:val="-4"/>
        </w:rPr>
        <w:t> </w:t>
      </w:r>
      <w:r>
        <w:rPr>
          <w:color w:val="231F20"/>
        </w:rPr>
        <w:t>società</w:t>
      </w:r>
      <w:r>
        <w:rPr>
          <w:color w:val="231F20"/>
          <w:spacing w:val="-4"/>
        </w:rPr>
        <w:t> </w:t>
      </w:r>
      <w:r>
        <w:rPr>
          <w:color w:val="231F20"/>
        </w:rPr>
        <w:t>dinanzi</w:t>
      </w:r>
      <w:r>
        <w:rPr>
          <w:color w:val="231F20"/>
          <w:spacing w:val="-4"/>
        </w:rPr>
        <w:t> </w:t>
      </w:r>
      <w:r>
        <w:rPr>
          <w:color w:val="231F20"/>
        </w:rPr>
        <w:t>alle</w:t>
      </w:r>
      <w:r>
        <w:rPr>
          <w:color w:val="231F20"/>
          <w:spacing w:val="-4"/>
        </w:rPr>
        <w:t> </w:t>
      </w:r>
      <w:r>
        <w:rPr>
          <w:color w:val="231F20"/>
        </w:rPr>
        <w:t>giurisdizio- ni amministrative di prima istanza e poi d’appello, del Granducato.</w:t>
      </w:r>
    </w:p>
    <w:p>
      <w:pPr>
        <w:pStyle w:val="BodyText"/>
        <w:spacing w:before="36"/>
      </w:pPr>
    </w:p>
    <w:p>
      <w:pPr>
        <w:pStyle w:val="ListParagraph"/>
        <w:numPr>
          <w:ilvl w:val="2"/>
          <w:numId w:val="4"/>
        </w:numPr>
        <w:tabs>
          <w:tab w:pos="757" w:val="left" w:leader="none"/>
        </w:tabs>
        <w:spacing w:line="295" w:lineRule="exact" w:before="0" w:after="0"/>
        <w:ind w:left="757" w:right="0" w:hanging="600"/>
        <w:jc w:val="left"/>
        <w:rPr>
          <w:i/>
          <w:sz w:val="24"/>
        </w:rPr>
      </w:pPr>
      <w:r>
        <w:rPr>
          <w:i/>
          <w:color w:val="231F20"/>
          <w:sz w:val="24"/>
        </w:rPr>
        <w:t>Applicabilità</w:t>
      </w:r>
      <w:r>
        <w:rPr>
          <w:i/>
          <w:color w:val="231F20"/>
          <w:spacing w:val="-1"/>
          <w:sz w:val="24"/>
        </w:rPr>
        <w:t> </w:t>
      </w:r>
      <w:r>
        <w:rPr>
          <w:i/>
          <w:color w:val="231F20"/>
          <w:sz w:val="24"/>
        </w:rPr>
        <w:t>della</w:t>
      </w:r>
      <w:r>
        <w:rPr>
          <w:i/>
          <w:color w:val="231F20"/>
          <w:spacing w:val="-1"/>
          <w:sz w:val="24"/>
        </w:rPr>
        <w:t> </w:t>
      </w:r>
      <w:r>
        <w:rPr>
          <w:i/>
          <w:color w:val="231F20"/>
          <w:sz w:val="24"/>
        </w:rPr>
        <w:t>Carta</w:t>
      </w:r>
      <w:r>
        <w:rPr>
          <w:i/>
          <w:color w:val="231F20"/>
          <w:spacing w:val="-1"/>
          <w:sz w:val="24"/>
        </w:rPr>
        <w:t> </w:t>
      </w:r>
      <w:r>
        <w:rPr>
          <w:i/>
          <w:color w:val="231F20"/>
          <w:sz w:val="24"/>
        </w:rPr>
        <w:t>dei</w:t>
      </w:r>
      <w:r>
        <w:rPr>
          <w:i/>
          <w:color w:val="231F20"/>
          <w:spacing w:val="-1"/>
          <w:sz w:val="24"/>
        </w:rPr>
        <w:t> </w:t>
      </w:r>
      <w:r>
        <w:rPr>
          <w:i/>
          <w:color w:val="231F20"/>
          <w:sz w:val="24"/>
        </w:rPr>
        <w:t>diritti</w:t>
      </w:r>
      <w:r>
        <w:rPr>
          <w:i/>
          <w:color w:val="231F20"/>
          <w:spacing w:val="-1"/>
          <w:sz w:val="24"/>
        </w:rPr>
        <w:t> </w:t>
      </w:r>
      <w:r>
        <w:rPr>
          <w:i/>
          <w:color w:val="231F20"/>
          <w:sz w:val="24"/>
        </w:rPr>
        <w:t>fondamentali</w:t>
      </w:r>
      <w:r>
        <w:rPr>
          <w:i/>
          <w:color w:val="231F20"/>
          <w:spacing w:val="-1"/>
          <w:sz w:val="24"/>
        </w:rPr>
        <w:t> </w:t>
      </w:r>
      <w:r>
        <w:rPr>
          <w:i/>
          <w:color w:val="231F20"/>
          <w:sz w:val="24"/>
        </w:rPr>
        <w:t>alla </w:t>
      </w:r>
      <w:r>
        <w:rPr>
          <w:i/>
          <w:color w:val="231F20"/>
          <w:spacing w:val="-2"/>
          <w:sz w:val="24"/>
        </w:rPr>
        <w:t>legislazione</w:t>
      </w:r>
    </w:p>
    <w:p>
      <w:pPr>
        <w:spacing w:line="295" w:lineRule="exact" w:before="0"/>
        <w:ind w:left="157" w:right="0" w:firstLine="0"/>
        <w:jc w:val="both"/>
        <w:rPr>
          <w:i/>
          <w:sz w:val="24"/>
        </w:rPr>
      </w:pPr>
      <w:r>
        <w:rPr>
          <w:i/>
          <w:color w:val="231F20"/>
          <w:sz w:val="24"/>
        </w:rPr>
        <w:t>che</w:t>
      </w:r>
      <w:r>
        <w:rPr>
          <w:i/>
          <w:color w:val="231F20"/>
          <w:spacing w:val="-2"/>
          <w:sz w:val="24"/>
        </w:rPr>
        <w:t> </w:t>
      </w:r>
      <w:r>
        <w:rPr>
          <w:i/>
          <w:color w:val="231F20"/>
          <w:sz w:val="24"/>
        </w:rPr>
        <w:t>in</w:t>
      </w:r>
      <w:r>
        <w:rPr>
          <w:i/>
          <w:color w:val="231F20"/>
          <w:spacing w:val="-2"/>
          <w:sz w:val="24"/>
        </w:rPr>
        <w:t> </w:t>
      </w:r>
      <w:r>
        <w:rPr>
          <w:i/>
          <w:color w:val="231F20"/>
          <w:sz w:val="24"/>
        </w:rPr>
        <w:t>ogni</w:t>
      </w:r>
      <w:r>
        <w:rPr>
          <w:i/>
          <w:color w:val="231F20"/>
          <w:spacing w:val="-1"/>
          <w:sz w:val="24"/>
        </w:rPr>
        <w:t> </w:t>
      </w:r>
      <w:r>
        <w:rPr>
          <w:i/>
          <w:color w:val="231F20"/>
          <w:sz w:val="24"/>
        </w:rPr>
        <w:t>Stato</w:t>
      </w:r>
      <w:r>
        <w:rPr>
          <w:i/>
          <w:color w:val="231F20"/>
          <w:spacing w:val="-2"/>
          <w:sz w:val="24"/>
        </w:rPr>
        <w:t> </w:t>
      </w:r>
      <w:r>
        <w:rPr>
          <w:i/>
          <w:color w:val="231F20"/>
          <w:sz w:val="24"/>
        </w:rPr>
        <w:t>membro</w:t>
      </w:r>
      <w:r>
        <w:rPr>
          <w:i/>
          <w:color w:val="231F20"/>
          <w:spacing w:val="-2"/>
          <w:sz w:val="24"/>
        </w:rPr>
        <w:t> </w:t>
      </w:r>
      <w:r>
        <w:rPr>
          <w:i/>
          <w:color w:val="231F20"/>
          <w:sz w:val="24"/>
        </w:rPr>
        <w:t>disciplina</w:t>
      </w:r>
      <w:r>
        <w:rPr>
          <w:i/>
          <w:color w:val="231F20"/>
          <w:spacing w:val="-1"/>
          <w:sz w:val="24"/>
        </w:rPr>
        <w:t> </w:t>
      </w:r>
      <w:r>
        <w:rPr>
          <w:i/>
          <w:color w:val="231F20"/>
          <w:sz w:val="24"/>
        </w:rPr>
        <w:t>la</w:t>
      </w:r>
      <w:r>
        <w:rPr>
          <w:i/>
          <w:color w:val="231F20"/>
          <w:spacing w:val="-2"/>
          <w:sz w:val="24"/>
        </w:rPr>
        <w:t> </w:t>
      </w:r>
      <w:r>
        <w:rPr>
          <w:i/>
          <w:color w:val="231F20"/>
          <w:sz w:val="24"/>
        </w:rPr>
        <w:t>procedura</w:t>
      </w:r>
      <w:r>
        <w:rPr>
          <w:i/>
          <w:color w:val="231F20"/>
          <w:spacing w:val="-2"/>
          <w:sz w:val="24"/>
        </w:rPr>
        <w:t> </w:t>
      </w:r>
      <w:r>
        <w:rPr>
          <w:i/>
          <w:color w:val="231F20"/>
          <w:sz w:val="24"/>
        </w:rPr>
        <w:t>di</w:t>
      </w:r>
      <w:r>
        <w:rPr>
          <w:i/>
          <w:color w:val="231F20"/>
          <w:spacing w:val="-1"/>
          <w:sz w:val="24"/>
        </w:rPr>
        <w:t> </w:t>
      </w:r>
      <w:r>
        <w:rPr>
          <w:i/>
          <w:color w:val="231F20"/>
          <w:sz w:val="24"/>
        </w:rPr>
        <w:t>scambio</w:t>
      </w:r>
      <w:r>
        <w:rPr>
          <w:i/>
          <w:color w:val="231F20"/>
          <w:spacing w:val="-2"/>
          <w:sz w:val="24"/>
        </w:rPr>
        <w:t> </w:t>
      </w:r>
      <w:r>
        <w:rPr>
          <w:i/>
          <w:color w:val="231F20"/>
          <w:sz w:val="24"/>
        </w:rPr>
        <w:t>di</w:t>
      </w:r>
      <w:r>
        <w:rPr>
          <w:i/>
          <w:color w:val="231F20"/>
          <w:spacing w:val="-1"/>
          <w:sz w:val="24"/>
        </w:rPr>
        <w:t> </w:t>
      </w:r>
      <w:r>
        <w:rPr>
          <w:i/>
          <w:color w:val="231F20"/>
          <w:spacing w:val="-2"/>
          <w:sz w:val="24"/>
        </w:rPr>
        <w:t>informazioni</w:t>
      </w:r>
    </w:p>
    <w:p>
      <w:pPr>
        <w:pStyle w:val="BodyText"/>
        <w:spacing w:line="225" w:lineRule="auto" w:before="170"/>
        <w:ind w:left="157" w:right="118"/>
        <w:jc w:val="both"/>
      </w:pPr>
      <w:r>
        <w:rPr>
          <w:color w:val="231F20"/>
        </w:rPr>
        <w:t>L’oggetto</w:t>
      </w:r>
      <w:r>
        <w:rPr>
          <w:color w:val="231F20"/>
          <w:spacing w:val="-7"/>
        </w:rPr>
        <w:t> </w:t>
      </w:r>
      <w:r>
        <w:rPr>
          <w:color w:val="231F20"/>
        </w:rPr>
        <w:t>immediato</w:t>
      </w:r>
      <w:r>
        <w:rPr>
          <w:color w:val="231F20"/>
          <w:spacing w:val="-7"/>
        </w:rPr>
        <w:t> </w:t>
      </w:r>
      <w:r>
        <w:rPr>
          <w:color w:val="231F20"/>
        </w:rPr>
        <w:t>del</w:t>
      </w:r>
      <w:r>
        <w:rPr>
          <w:color w:val="231F20"/>
          <w:spacing w:val="-7"/>
        </w:rPr>
        <w:t> </w:t>
      </w:r>
      <w:r>
        <w:rPr>
          <w:color w:val="231F20"/>
        </w:rPr>
        <w:t>ricorso</w:t>
      </w:r>
      <w:r>
        <w:rPr>
          <w:color w:val="231F20"/>
          <w:spacing w:val="-7"/>
        </w:rPr>
        <w:t> </w:t>
      </w:r>
      <w:r>
        <w:rPr>
          <w:color w:val="231F20"/>
        </w:rPr>
        <w:t>della</w:t>
      </w:r>
      <w:r>
        <w:rPr>
          <w:color w:val="231F20"/>
          <w:spacing w:val="-7"/>
        </w:rPr>
        <w:t> </w:t>
      </w:r>
      <w:r>
        <w:rPr>
          <w:color w:val="231F20"/>
        </w:rPr>
        <w:t>suddetta</w:t>
      </w:r>
      <w:r>
        <w:rPr>
          <w:color w:val="231F20"/>
          <w:spacing w:val="-7"/>
        </w:rPr>
        <w:t> </w:t>
      </w:r>
      <w:r>
        <w:rPr>
          <w:color w:val="231F20"/>
        </w:rPr>
        <w:t>società</w:t>
      </w:r>
      <w:r>
        <w:rPr>
          <w:color w:val="231F20"/>
          <w:spacing w:val="-7"/>
        </w:rPr>
        <w:t> </w:t>
      </w:r>
      <w:r>
        <w:rPr>
          <w:color w:val="231F20"/>
        </w:rPr>
        <w:t>nel</w:t>
      </w:r>
      <w:r>
        <w:rPr>
          <w:color w:val="231F20"/>
          <w:spacing w:val="-7"/>
        </w:rPr>
        <w:t> </w:t>
      </w:r>
      <w:r>
        <w:rPr>
          <w:color w:val="231F20"/>
        </w:rPr>
        <w:t>processo</w:t>
      </w:r>
      <w:r>
        <w:rPr>
          <w:color w:val="231F20"/>
          <w:spacing w:val="-7"/>
        </w:rPr>
        <w:t> </w:t>
      </w:r>
      <w:r>
        <w:rPr>
          <w:i/>
          <w:color w:val="231F20"/>
        </w:rPr>
        <w:t>a</w:t>
      </w:r>
      <w:r>
        <w:rPr>
          <w:i/>
          <w:color w:val="231F20"/>
          <w:spacing w:val="-7"/>
        </w:rPr>
        <w:t> </w:t>
      </w:r>
      <w:r>
        <w:rPr>
          <w:i/>
          <w:color w:val="231F20"/>
        </w:rPr>
        <w:t>quo</w:t>
      </w:r>
      <w:r>
        <w:rPr>
          <w:i/>
          <w:color w:val="231F20"/>
          <w:spacing w:val="-7"/>
        </w:rPr>
        <w:t> </w:t>
      </w:r>
      <w:r>
        <w:rPr>
          <w:color w:val="231F20"/>
        </w:rPr>
        <w:t>– ovvero l’annullamento della severa sanzione irrogata dall’amministrazione finanziaria lussemburghese – ha fatto sì che la Corte di giustizia abbia do- vuto preliminarmente stabilire «a monte» se le normative nazionali aventi ad</w:t>
      </w:r>
      <w:r>
        <w:rPr>
          <w:color w:val="231F20"/>
          <w:spacing w:val="-10"/>
        </w:rPr>
        <w:t> </w:t>
      </w:r>
      <w:r>
        <w:rPr>
          <w:color w:val="231F20"/>
        </w:rPr>
        <w:t>oggetto</w:t>
      </w:r>
      <w:r>
        <w:rPr>
          <w:color w:val="231F20"/>
          <w:spacing w:val="-10"/>
        </w:rPr>
        <w:t> </w:t>
      </w:r>
      <w:r>
        <w:rPr>
          <w:color w:val="231F20"/>
        </w:rPr>
        <w:t>delle</w:t>
      </w:r>
      <w:r>
        <w:rPr>
          <w:color w:val="231F20"/>
          <w:spacing w:val="-10"/>
        </w:rPr>
        <w:t> </w:t>
      </w:r>
      <w:r>
        <w:rPr>
          <w:color w:val="231F20"/>
        </w:rPr>
        <w:t>sanzioni</w:t>
      </w:r>
      <w:r>
        <w:rPr>
          <w:color w:val="231F20"/>
          <w:spacing w:val="-10"/>
        </w:rPr>
        <w:t> </w:t>
      </w:r>
      <w:r>
        <w:rPr>
          <w:color w:val="231F20"/>
        </w:rPr>
        <w:t>tributarie</w:t>
      </w:r>
      <w:r>
        <w:rPr>
          <w:color w:val="231F20"/>
          <w:spacing w:val="-10"/>
        </w:rPr>
        <w:t> </w:t>
      </w:r>
      <w:r>
        <w:rPr>
          <w:color w:val="231F20"/>
        </w:rPr>
        <w:t>nei</w:t>
      </w:r>
      <w:r>
        <w:rPr>
          <w:color w:val="231F20"/>
          <w:spacing w:val="-10"/>
        </w:rPr>
        <w:t> </w:t>
      </w:r>
      <w:r>
        <w:rPr>
          <w:color w:val="231F20"/>
        </w:rPr>
        <w:t>settori</w:t>
      </w:r>
      <w:r>
        <w:rPr>
          <w:color w:val="231F20"/>
          <w:spacing w:val="-10"/>
        </w:rPr>
        <w:t> </w:t>
      </w:r>
      <w:r>
        <w:rPr>
          <w:color w:val="231F20"/>
        </w:rPr>
        <w:t>disciplinati</w:t>
      </w:r>
      <w:r>
        <w:rPr>
          <w:color w:val="231F20"/>
          <w:spacing w:val="-10"/>
        </w:rPr>
        <w:t> </w:t>
      </w:r>
      <w:r>
        <w:rPr>
          <w:color w:val="231F20"/>
        </w:rPr>
        <w:t>da</w:t>
      </w:r>
      <w:r>
        <w:rPr>
          <w:color w:val="231F20"/>
          <w:spacing w:val="-10"/>
        </w:rPr>
        <w:t> </w:t>
      </w:r>
      <w:r>
        <w:rPr>
          <w:color w:val="231F20"/>
        </w:rPr>
        <w:t>direttive</w:t>
      </w:r>
      <w:r>
        <w:rPr>
          <w:color w:val="231F20"/>
          <w:spacing w:val="-10"/>
        </w:rPr>
        <w:t> </w:t>
      </w:r>
      <w:r>
        <w:rPr>
          <w:color w:val="231F20"/>
        </w:rPr>
        <w:t>di</w:t>
      </w:r>
      <w:r>
        <w:rPr>
          <w:color w:val="231F20"/>
          <w:spacing w:val="-10"/>
        </w:rPr>
        <w:t> </w:t>
      </w:r>
      <w:r>
        <w:rPr>
          <w:color w:val="231F20"/>
        </w:rPr>
        <w:t>ar- </w:t>
      </w:r>
      <w:r>
        <w:rPr>
          <w:color w:val="231F20"/>
          <w:spacing w:val="-2"/>
        </w:rPr>
        <w:t>monizzazione fiscale costituivano «</w:t>
      </w:r>
      <w:r>
        <w:rPr>
          <w:i/>
          <w:color w:val="231F20"/>
          <w:spacing w:val="-2"/>
        </w:rPr>
        <w:t>attuazione del</w:t>
      </w:r>
      <w:r>
        <w:rPr>
          <w:i/>
          <w:color w:val="231F20"/>
          <w:spacing w:val="-3"/>
        </w:rPr>
        <w:t> </w:t>
      </w:r>
      <w:r>
        <w:rPr>
          <w:i/>
          <w:color w:val="231F20"/>
          <w:spacing w:val="-2"/>
        </w:rPr>
        <w:t>diritto dell’Unione</w:t>
      </w:r>
      <w:r>
        <w:rPr>
          <w:color w:val="231F20"/>
          <w:spacing w:val="-2"/>
        </w:rPr>
        <w:t>» ai sensi </w:t>
      </w:r>
      <w:r>
        <w:rPr>
          <w:color w:val="231F20"/>
        </w:rPr>
        <w:t>dell’art.</w:t>
      </w:r>
      <w:r>
        <w:rPr>
          <w:color w:val="231F20"/>
          <w:spacing w:val="-14"/>
        </w:rPr>
        <w:t> </w:t>
      </w:r>
      <w:r>
        <w:rPr>
          <w:color w:val="231F20"/>
        </w:rPr>
        <w:t>51,</w:t>
      </w:r>
      <w:r>
        <w:rPr>
          <w:color w:val="231F20"/>
          <w:spacing w:val="-14"/>
        </w:rPr>
        <w:t> </w:t>
      </w:r>
      <w:r>
        <w:rPr>
          <w:color w:val="231F20"/>
        </w:rPr>
        <w:t>par.</w:t>
      </w:r>
      <w:r>
        <w:rPr>
          <w:color w:val="231F20"/>
          <w:spacing w:val="-14"/>
        </w:rPr>
        <w:t> </w:t>
      </w:r>
      <w:r>
        <w:rPr>
          <w:color w:val="231F20"/>
        </w:rPr>
        <w:t>1,</w:t>
      </w:r>
      <w:r>
        <w:rPr>
          <w:color w:val="231F20"/>
          <w:spacing w:val="-14"/>
        </w:rPr>
        <w:t> </w:t>
      </w:r>
      <w:r>
        <w:rPr>
          <w:color w:val="231F20"/>
        </w:rPr>
        <w:t>della</w:t>
      </w:r>
      <w:r>
        <w:rPr>
          <w:color w:val="231F20"/>
          <w:spacing w:val="-14"/>
        </w:rPr>
        <w:t> </w:t>
      </w:r>
      <w:r>
        <w:rPr>
          <w:color w:val="231F20"/>
        </w:rPr>
        <w:t>Carta</w:t>
      </w:r>
      <w:r>
        <w:rPr>
          <w:color w:val="231F20"/>
          <w:spacing w:val="-14"/>
        </w:rPr>
        <w:t> </w:t>
      </w:r>
      <w:r>
        <w:rPr>
          <w:color w:val="231F20"/>
        </w:rPr>
        <w:t>dei</w:t>
      </w:r>
      <w:r>
        <w:rPr>
          <w:color w:val="231F20"/>
          <w:spacing w:val="-14"/>
        </w:rPr>
        <w:t> </w:t>
      </w:r>
      <w:r>
        <w:rPr>
          <w:color w:val="231F20"/>
        </w:rPr>
        <w:t>diritti</w:t>
      </w:r>
      <w:r>
        <w:rPr>
          <w:color w:val="231F20"/>
          <w:spacing w:val="-14"/>
        </w:rPr>
        <w:t> </w:t>
      </w:r>
      <w:r>
        <w:rPr>
          <w:color w:val="231F20"/>
        </w:rPr>
        <w:t>fondamentali</w:t>
      </w:r>
      <w:r>
        <w:rPr>
          <w:color w:val="231F20"/>
          <w:spacing w:val="-14"/>
        </w:rPr>
        <w:t> </w:t>
      </w:r>
      <w:r>
        <w:rPr>
          <w:color w:val="231F20"/>
        </w:rPr>
        <w:t>dell’Unione</w:t>
      </w:r>
      <w:r>
        <w:rPr>
          <w:color w:val="231F20"/>
          <w:spacing w:val="-14"/>
        </w:rPr>
        <w:t> </w:t>
      </w:r>
      <w:r>
        <w:rPr>
          <w:color w:val="231F20"/>
        </w:rPr>
        <w:t>europea e</w:t>
      </w:r>
      <w:r>
        <w:rPr>
          <w:color w:val="231F20"/>
          <w:spacing w:val="-9"/>
        </w:rPr>
        <w:t> </w:t>
      </w:r>
      <w:r>
        <w:rPr>
          <w:color w:val="231F20"/>
        </w:rPr>
        <w:t>questo,</w:t>
      </w:r>
      <w:r>
        <w:rPr>
          <w:color w:val="231F20"/>
          <w:spacing w:val="-9"/>
        </w:rPr>
        <w:t> </w:t>
      </w:r>
      <w:r>
        <w:rPr>
          <w:color w:val="231F20"/>
        </w:rPr>
        <w:t>nonostante</w:t>
      </w:r>
      <w:r>
        <w:rPr>
          <w:color w:val="231F20"/>
          <w:spacing w:val="-9"/>
        </w:rPr>
        <w:t> </w:t>
      </w:r>
      <w:r>
        <w:rPr>
          <w:color w:val="231F20"/>
        </w:rPr>
        <w:t>il</w:t>
      </w:r>
      <w:r>
        <w:rPr>
          <w:color w:val="231F20"/>
          <w:spacing w:val="-9"/>
        </w:rPr>
        <w:t> </w:t>
      </w:r>
      <w:r>
        <w:rPr>
          <w:color w:val="231F20"/>
        </w:rPr>
        <w:t>fatto</w:t>
      </w:r>
      <w:r>
        <w:rPr>
          <w:color w:val="231F20"/>
          <w:spacing w:val="-9"/>
        </w:rPr>
        <w:t> </w:t>
      </w:r>
      <w:r>
        <w:rPr>
          <w:color w:val="231F20"/>
        </w:rPr>
        <w:t>che</w:t>
      </w:r>
      <w:r>
        <w:rPr>
          <w:color w:val="231F20"/>
          <w:spacing w:val="-9"/>
        </w:rPr>
        <w:t> </w:t>
      </w:r>
      <w:r>
        <w:rPr>
          <w:color w:val="231F20"/>
        </w:rPr>
        <w:t>tali</w:t>
      </w:r>
      <w:r>
        <w:rPr>
          <w:color w:val="231F20"/>
          <w:spacing w:val="-9"/>
        </w:rPr>
        <w:t> </w:t>
      </w:r>
      <w:r>
        <w:rPr>
          <w:color w:val="231F20"/>
        </w:rPr>
        <w:t>direttive</w:t>
      </w:r>
      <w:r>
        <w:rPr>
          <w:color w:val="231F20"/>
          <w:spacing w:val="-9"/>
        </w:rPr>
        <w:t> </w:t>
      </w:r>
      <w:r>
        <w:rPr>
          <w:color w:val="231F20"/>
        </w:rPr>
        <w:t>di</w:t>
      </w:r>
      <w:r>
        <w:rPr>
          <w:color w:val="231F20"/>
          <w:spacing w:val="-9"/>
        </w:rPr>
        <w:t> </w:t>
      </w:r>
      <w:r>
        <w:rPr>
          <w:color w:val="231F20"/>
        </w:rPr>
        <w:t>armonizzazione,</w:t>
      </w:r>
      <w:r>
        <w:rPr>
          <w:color w:val="231F20"/>
          <w:spacing w:val="-9"/>
        </w:rPr>
        <w:t> </w:t>
      </w:r>
      <w:r>
        <w:rPr>
          <w:color w:val="231F20"/>
        </w:rPr>
        <w:t>ivi</w:t>
      </w:r>
      <w:r>
        <w:rPr>
          <w:color w:val="231F20"/>
          <w:spacing w:val="-9"/>
        </w:rPr>
        <w:t> </w:t>
      </w:r>
      <w:r>
        <w:rPr>
          <w:color w:val="231F20"/>
        </w:rPr>
        <w:t>inclusa la</w:t>
      </w:r>
      <w:r>
        <w:rPr>
          <w:color w:val="231F20"/>
          <w:spacing w:val="-5"/>
        </w:rPr>
        <w:t> </w:t>
      </w:r>
      <w:r>
        <w:rPr>
          <w:color w:val="231F20"/>
        </w:rPr>
        <w:t>direttiva</w:t>
      </w:r>
      <w:r>
        <w:rPr>
          <w:color w:val="231F20"/>
          <w:spacing w:val="-5"/>
        </w:rPr>
        <w:t> </w:t>
      </w:r>
      <w:r>
        <w:rPr>
          <w:color w:val="231F20"/>
        </w:rPr>
        <w:t>2011/16/UE,</w:t>
      </w:r>
      <w:r>
        <w:rPr>
          <w:color w:val="231F20"/>
          <w:spacing w:val="-5"/>
        </w:rPr>
        <w:t> </w:t>
      </w:r>
      <w:r>
        <w:rPr>
          <w:color w:val="231F20"/>
        </w:rPr>
        <w:t>non</w:t>
      </w:r>
      <w:r>
        <w:rPr>
          <w:color w:val="231F20"/>
          <w:spacing w:val="-5"/>
        </w:rPr>
        <w:t> </w:t>
      </w:r>
      <w:r>
        <w:rPr>
          <w:color w:val="231F20"/>
        </w:rPr>
        <w:t>contenessero</w:t>
      </w:r>
      <w:r>
        <w:rPr>
          <w:color w:val="231F20"/>
          <w:spacing w:val="-5"/>
        </w:rPr>
        <w:t> </w:t>
      </w:r>
      <w:r>
        <w:rPr>
          <w:color w:val="231F20"/>
        </w:rPr>
        <w:t>disposizioni</w:t>
      </w:r>
      <w:r>
        <w:rPr>
          <w:color w:val="231F20"/>
          <w:spacing w:val="-5"/>
        </w:rPr>
        <w:t> </w:t>
      </w:r>
      <w:r>
        <w:rPr>
          <w:color w:val="231F20"/>
        </w:rPr>
        <w:t>riguardanti</w:t>
      </w:r>
      <w:r>
        <w:rPr>
          <w:color w:val="231F20"/>
          <w:spacing w:val="-5"/>
        </w:rPr>
        <w:t> </w:t>
      </w:r>
      <w:r>
        <w:rPr>
          <w:color w:val="231F20"/>
        </w:rPr>
        <w:t>le</w:t>
      </w:r>
      <w:r>
        <w:rPr>
          <w:color w:val="231F20"/>
          <w:spacing w:val="-5"/>
        </w:rPr>
        <w:t> </w:t>
      </w:r>
      <w:r>
        <w:rPr>
          <w:color w:val="231F20"/>
        </w:rPr>
        <w:t>san- zioni</w:t>
      </w:r>
      <w:r>
        <w:rPr>
          <w:color w:val="231F20"/>
          <w:spacing w:val="-7"/>
        </w:rPr>
        <w:t> </w:t>
      </w:r>
      <w:r>
        <w:rPr>
          <w:color w:val="231F20"/>
        </w:rPr>
        <w:t>per</w:t>
      </w:r>
      <w:r>
        <w:rPr>
          <w:color w:val="231F20"/>
          <w:spacing w:val="-7"/>
        </w:rPr>
        <w:t> </w:t>
      </w:r>
      <w:r>
        <w:rPr>
          <w:color w:val="231F20"/>
        </w:rPr>
        <w:t>le</w:t>
      </w:r>
      <w:r>
        <w:rPr>
          <w:color w:val="231F20"/>
          <w:spacing w:val="-7"/>
        </w:rPr>
        <w:t> </w:t>
      </w:r>
      <w:r>
        <w:rPr>
          <w:color w:val="231F20"/>
        </w:rPr>
        <w:t>violazioni</w:t>
      </w:r>
      <w:r>
        <w:rPr>
          <w:color w:val="231F20"/>
          <w:spacing w:val="-7"/>
        </w:rPr>
        <w:t> </w:t>
      </w:r>
      <w:r>
        <w:rPr>
          <w:color w:val="231F20"/>
        </w:rPr>
        <w:t>degli</w:t>
      </w:r>
      <w:r>
        <w:rPr>
          <w:color w:val="231F20"/>
          <w:spacing w:val="-7"/>
        </w:rPr>
        <w:t> </w:t>
      </w:r>
      <w:r>
        <w:rPr>
          <w:color w:val="231F20"/>
        </w:rPr>
        <w:t>obblighi</w:t>
      </w:r>
      <w:r>
        <w:rPr>
          <w:color w:val="231F20"/>
          <w:spacing w:val="-7"/>
        </w:rPr>
        <w:t> </w:t>
      </w:r>
      <w:r>
        <w:rPr>
          <w:color w:val="231F20"/>
        </w:rPr>
        <w:t>posti</w:t>
      </w:r>
      <w:r>
        <w:rPr>
          <w:color w:val="231F20"/>
          <w:spacing w:val="-7"/>
        </w:rPr>
        <w:t> </w:t>
      </w:r>
      <w:r>
        <w:rPr>
          <w:color w:val="231F20"/>
        </w:rPr>
        <w:t>dalle</w:t>
      </w:r>
      <w:r>
        <w:rPr>
          <w:color w:val="231F20"/>
          <w:spacing w:val="-7"/>
        </w:rPr>
        <w:t> </w:t>
      </w:r>
      <w:r>
        <w:rPr>
          <w:color w:val="231F20"/>
        </w:rPr>
        <w:t>medesime</w:t>
      </w:r>
      <w:r>
        <w:rPr>
          <w:color w:val="231F20"/>
          <w:spacing w:val="-7"/>
        </w:rPr>
        <w:t> </w:t>
      </w:r>
      <w:r>
        <w:rPr>
          <w:color w:val="231F20"/>
        </w:rPr>
        <w:t>direttive</w:t>
      </w:r>
      <w:r>
        <w:rPr>
          <w:color w:val="231F20"/>
          <w:spacing w:val="-7"/>
        </w:rPr>
        <w:t> </w:t>
      </w:r>
      <w:r>
        <w:rPr>
          <w:color w:val="231F20"/>
        </w:rPr>
        <w:t>a</w:t>
      </w:r>
      <w:r>
        <w:rPr>
          <w:color w:val="231F20"/>
          <w:spacing w:val="-7"/>
        </w:rPr>
        <w:t> </w:t>
      </w:r>
      <w:r>
        <w:rPr>
          <w:color w:val="231F20"/>
        </w:rPr>
        <w:t>carico </w:t>
      </w:r>
      <w:r>
        <w:rPr>
          <w:color w:val="231F20"/>
          <w:spacing w:val="-2"/>
        </w:rPr>
        <w:t>dei</w:t>
      </w:r>
      <w:r>
        <w:rPr>
          <w:color w:val="231F20"/>
          <w:spacing w:val="-13"/>
        </w:rPr>
        <w:t> </w:t>
      </w:r>
      <w:r>
        <w:rPr>
          <w:color w:val="231F20"/>
          <w:spacing w:val="-2"/>
        </w:rPr>
        <w:t>contribuenti</w:t>
      </w:r>
      <w:r>
        <w:rPr>
          <w:color w:val="231F20"/>
          <w:spacing w:val="-13"/>
        </w:rPr>
        <w:t> </w:t>
      </w:r>
      <w:r>
        <w:rPr>
          <w:color w:val="231F20"/>
          <w:spacing w:val="-2"/>
        </w:rPr>
        <w:t>ed</w:t>
      </w:r>
      <w:r>
        <w:rPr>
          <w:color w:val="231F20"/>
          <w:spacing w:val="-13"/>
        </w:rPr>
        <w:t> </w:t>
      </w:r>
      <w:r>
        <w:rPr>
          <w:color w:val="231F20"/>
          <w:spacing w:val="-2"/>
        </w:rPr>
        <w:t>eventualmente</w:t>
      </w:r>
      <w:r>
        <w:rPr>
          <w:color w:val="231F20"/>
          <w:spacing w:val="-13"/>
        </w:rPr>
        <w:t> </w:t>
      </w:r>
      <w:r>
        <w:rPr>
          <w:color w:val="231F20"/>
          <w:spacing w:val="-2"/>
        </w:rPr>
        <w:t>di</w:t>
      </w:r>
      <w:r>
        <w:rPr>
          <w:color w:val="231F20"/>
          <w:spacing w:val="-13"/>
        </w:rPr>
        <w:t> </w:t>
      </w:r>
      <w:r>
        <w:rPr>
          <w:color w:val="231F20"/>
          <w:spacing w:val="-2"/>
        </w:rPr>
        <w:t>altri</w:t>
      </w:r>
      <w:r>
        <w:rPr>
          <w:color w:val="231F20"/>
          <w:spacing w:val="-13"/>
        </w:rPr>
        <w:t> </w:t>
      </w:r>
      <w:r>
        <w:rPr>
          <w:color w:val="231F20"/>
          <w:spacing w:val="-2"/>
        </w:rPr>
        <w:t>soggetti</w:t>
      </w:r>
      <w:r>
        <w:rPr>
          <w:color w:val="231F20"/>
          <w:spacing w:val="-13"/>
        </w:rPr>
        <w:t> </w:t>
      </w:r>
      <w:r>
        <w:rPr>
          <w:color w:val="231F20"/>
          <w:spacing w:val="-2"/>
        </w:rPr>
        <w:t>coinvolti</w:t>
      </w:r>
      <w:r>
        <w:rPr>
          <w:color w:val="231F20"/>
          <w:spacing w:val="-13"/>
        </w:rPr>
        <w:t> </w:t>
      </w:r>
      <w:r>
        <w:rPr>
          <w:color w:val="231F20"/>
          <w:spacing w:val="-2"/>
        </w:rPr>
        <w:t>nei</w:t>
      </w:r>
      <w:r>
        <w:rPr>
          <w:color w:val="231F20"/>
          <w:spacing w:val="-13"/>
        </w:rPr>
        <w:t> </w:t>
      </w:r>
      <w:r>
        <w:rPr>
          <w:color w:val="231F20"/>
          <w:spacing w:val="-2"/>
        </w:rPr>
        <w:t>procedimen- </w:t>
      </w:r>
      <w:r>
        <w:rPr>
          <w:color w:val="231F20"/>
        </w:rPr>
        <w:t>ti di accertamento quali ad esempio i detentori di informazioni (v. </w:t>
      </w:r>
      <w:r>
        <w:rPr>
          <w:i/>
          <w:color w:val="231F20"/>
        </w:rPr>
        <w:t>infra</w:t>
      </w:r>
      <w:r>
        <w:rPr>
          <w:color w:val="231F20"/>
        </w:rPr>
        <w:t>) . Nella prima parte della sentenza </w:t>
      </w:r>
      <w:r>
        <w:rPr>
          <w:i/>
          <w:color w:val="231F20"/>
        </w:rPr>
        <w:t>Berlioz </w:t>
      </w:r>
      <w:r>
        <w:rPr>
          <w:color w:val="231F20"/>
        </w:rPr>
        <w:t>la Corte di giustizia ha affermato che</w:t>
      </w:r>
      <w:r>
        <w:rPr>
          <w:color w:val="231F20"/>
          <w:spacing w:val="-9"/>
        </w:rPr>
        <w:t> </w:t>
      </w:r>
      <w:r>
        <w:rPr>
          <w:color w:val="231F20"/>
        </w:rPr>
        <w:t>è</w:t>
      </w:r>
      <w:r>
        <w:rPr>
          <w:color w:val="231F20"/>
          <w:spacing w:val="-9"/>
        </w:rPr>
        <w:t> </w:t>
      </w:r>
      <w:r>
        <w:rPr>
          <w:color w:val="231F20"/>
        </w:rPr>
        <w:t>per</w:t>
      </w:r>
      <w:r>
        <w:rPr>
          <w:color w:val="231F20"/>
          <w:spacing w:val="-9"/>
        </w:rPr>
        <w:t> </w:t>
      </w:r>
      <w:r>
        <w:rPr>
          <w:color w:val="231F20"/>
        </w:rPr>
        <w:t>assicurare</w:t>
      </w:r>
      <w:r>
        <w:rPr>
          <w:color w:val="231F20"/>
          <w:spacing w:val="-9"/>
        </w:rPr>
        <w:t> </w:t>
      </w:r>
      <w:r>
        <w:rPr>
          <w:color w:val="231F20"/>
        </w:rPr>
        <w:t>l’«effetto</w:t>
      </w:r>
      <w:r>
        <w:rPr>
          <w:color w:val="231F20"/>
          <w:spacing w:val="-9"/>
        </w:rPr>
        <w:t> </w:t>
      </w:r>
      <w:r>
        <w:rPr>
          <w:color w:val="231F20"/>
        </w:rPr>
        <w:t>utile</w:t>
      </w:r>
      <w:r>
        <w:rPr>
          <w:i/>
          <w:color w:val="231F20"/>
        </w:rPr>
        <w:t>»</w:t>
      </w:r>
      <w:r>
        <w:rPr>
          <w:i/>
          <w:color w:val="231F20"/>
          <w:spacing w:val="-9"/>
        </w:rPr>
        <w:t> </w:t>
      </w:r>
      <w:r>
        <w:rPr>
          <w:color w:val="231F20"/>
        </w:rPr>
        <w:t>della</w:t>
      </w:r>
      <w:r>
        <w:rPr>
          <w:color w:val="231F20"/>
          <w:spacing w:val="-9"/>
        </w:rPr>
        <w:t> </w:t>
      </w:r>
      <w:r>
        <w:rPr>
          <w:color w:val="231F20"/>
        </w:rPr>
        <w:t>direttiva</w:t>
      </w:r>
      <w:r>
        <w:rPr>
          <w:color w:val="231F20"/>
          <w:spacing w:val="-9"/>
        </w:rPr>
        <w:t> </w:t>
      </w:r>
      <w:r>
        <w:rPr>
          <w:color w:val="231F20"/>
        </w:rPr>
        <w:t>2011/16/UE</w:t>
      </w:r>
      <w:r>
        <w:rPr>
          <w:color w:val="231F20"/>
          <w:spacing w:val="-9"/>
        </w:rPr>
        <w:t> </w:t>
      </w:r>
      <w:r>
        <w:rPr>
          <w:color w:val="231F20"/>
        </w:rPr>
        <w:t>che</w:t>
      </w:r>
      <w:r>
        <w:rPr>
          <w:color w:val="231F20"/>
          <w:spacing w:val="-9"/>
        </w:rPr>
        <w:t> </w:t>
      </w:r>
      <w:r>
        <w:rPr>
          <w:color w:val="231F20"/>
        </w:rPr>
        <w:t>gli</w:t>
      </w:r>
      <w:r>
        <w:rPr>
          <w:color w:val="231F20"/>
          <w:spacing w:val="-9"/>
        </w:rPr>
        <w:t> </w:t>
      </w:r>
      <w:r>
        <w:rPr>
          <w:color w:val="231F20"/>
        </w:rPr>
        <w:t>Stati membri</w:t>
      </w:r>
      <w:r>
        <w:rPr>
          <w:color w:val="231F20"/>
          <w:spacing w:val="-3"/>
        </w:rPr>
        <w:t> </w:t>
      </w:r>
      <w:r>
        <w:rPr>
          <w:color w:val="231F20"/>
        </w:rPr>
        <w:t>devono</w:t>
      </w:r>
      <w:r>
        <w:rPr>
          <w:color w:val="231F20"/>
          <w:spacing w:val="-3"/>
        </w:rPr>
        <w:t> </w:t>
      </w:r>
      <w:r>
        <w:rPr>
          <w:color w:val="231F20"/>
        </w:rPr>
        <w:t>prevedere</w:t>
      </w:r>
      <w:r>
        <w:rPr>
          <w:color w:val="231F20"/>
          <w:spacing w:val="-3"/>
        </w:rPr>
        <w:t> </w:t>
      </w:r>
      <w:r>
        <w:rPr>
          <w:color w:val="231F20"/>
        </w:rPr>
        <w:t>nella</w:t>
      </w:r>
      <w:r>
        <w:rPr>
          <w:color w:val="231F20"/>
          <w:spacing w:val="-3"/>
        </w:rPr>
        <w:t> </w:t>
      </w:r>
      <w:r>
        <w:rPr>
          <w:color w:val="231F20"/>
        </w:rPr>
        <w:t>legislazione</w:t>
      </w:r>
      <w:r>
        <w:rPr>
          <w:color w:val="231F20"/>
          <w:spacing w:val="-3"/>
        </w:rPr>
        <w:t> </w:t>
      </w:r>
      <w:r>
        <w:rPr>
          <w:color w:val="231F20"/>
        </w:rPr>
        <w:t>di</w:t>
      </w:r>
      <w:r>
        <w:rPr>
          <w:color w:val="231F20"/>
          <w:spacing w:val="-3"/>
        </w:rPr>
        <w:t> </w:t>
      </w:r>
      <w:r>
        <w:rPr>
          <w:color w:val="231F20"/>
        </w:rPr>
        <w:t>trasposizione</w:t>
      </w:r>
      <w:r>
        <w:rPr>
          <w:color w:val="231F20"/>
          <w:spacing w:val="-3"/>
        </w:rPr>
        <w:t> </w:t>
      </w:r>
      <w:r>
        <w:rPr>
          <w:color w:val="231F20"/>
        </w:rPr>
        <w:t>della</w:t>
      </w:r>
      <w:r>
        <w:rPr>
          <w:color w:val="231F20"/>
          <w:spacing w:val="-3"/>
        </w:rPr>
        <w:t> </w:t>
      </w:r>
      <w:r>
        <w:rPr>
          <w:color w:val="231F20"/>
        </w:rPr>
        <w:t>direttiva stessa</w:t>
      </w:r>
      <w:r>
        <w:rPr>
          <w:color w:val="231F20"/>
          <w:spacing w:val="-15"/>
        </w:rPr>
        <w:t> </w:t>
      </w:r>
      <w:r>
        <w:rPr>
          <w:color w:val="231F20"/>
        </w:rPr>
        <w:t>delle</w:t>
      </w:r>
      <w:r>
        <w:rPr>
          <w:color w:val="231F20"/>
          <w:spacing w:val="-15"/>
        </w:rPr>
        <w:t> </w:t>
      </w:r>
      <w:r>
        <w:rPr>
          <w:color w:val="231F20"/>
        </w:rPr>
        <w:t>sanzioni</w:t>
      </w:r>
      <w:r>
        <w:rPr>
          <w:color w:val="231F20"/>
          <w:spacing w:val="-15"/>
        </w:rPr>
        <w:t> </w:t>
      </w:r>
      <w:r>
        <w:rPr>
          <w:color w:val="231F20"/>
        </w:rPr>
        <w:t>pecuniarie</w:t>
      </w:r>
      <w:r>
        <w:rPr>
          <w:color w:val="231F20"/>
          <w:spacing w:val="-15"/>
        </w:rPr>
        <w:t> </w:t>
      </w:r>
      <w:r>
        <w:rPr>
          <w:color w:val="231F20"/>
        </w:rPr>
        <w:t>«che</w:t>
      </w:r>
      <w:r>
        <w:rPr>
          <w:color w:val="231F20"/>
          <w:spacing w:val="-15"/>
        </w:rPr>
        <w:t> </w:t>
      </w:r>
      <w:r>
        <w:rPr>
          <w:color w:val="231F20"/>
        </w:rPr>
        <w:t>garantiscano</w:t>
      </w:r>
      <w:r>
        <w:rPr>
          <w:color w:val="231F20"/>
          <w:spacing w:val="-15"/>
        </w:rPr>
        <w:t> </w:t>
      </w:r>
      <w:r>
        <w:rPr>
          <w:color w:val="231F20"/>
        </w:rPr>
        <w:t>che</w:t>
      </w:r>
      <w:r>
        <w:rPr>
          <w:color w:val="231F20"/>
          <w:spacing w:val="-15"/>
        </w:rPr>
        <w:t> </w:t>
      </w:r>
      <w:r>
        <w:rPr>
          <w:color w:val="231F20"/>
        </w:rPr>
        <w:t>gli</w:t>
      </w:r>
      <w:r>
        <w:rPr>
          <w:color w:val="231F20"/>
          <w:spacing w:val="-15"/>
        </w:rPr>
        <w:t> </w:t>
      </w:r>
      <w:r>
        <w:rPr>
          <w:color w:val="231F20"/>
        </w:rPr>
        <w:t>amministrati</w:t>
      </w:r>
      <w:r>
        <w:rPr>
          <w:color w:val="231F20"/>
          <w:spacing w:val="-15"/>
        </w:rPr>
        <w:t> </w:t>
      </w:r>
      <w:r>
        <w:rPr>
          <w:color w:val="231F20"/>
        </w:rPr>
        <w:t>siano adeguatamente</w:t>
      </w:r>
      <w:r>
        <w:rPr>
          <w:color w:val="231F20"/>
          <w:spacing w:val="-5"/>
        </w:rPr>
        <w:t> </w:t>
      </w:r>
      <w:r>
        <w:rPr>
          <w:color w:val="231F20"/>
        </w:rPr>
        <w:t>incitati</w:t>
      </w:r>
      <w:r>
        <w:rPr>
          <w:color w:val="231F20"/>
          <w:spacing w:val="-5"/>
        </w:rPr>
        <w:t> </w:t>
      </w:r>
      <w:r>
        <w:rPr>
          <w:color w:val="231F20"/>
        </w:rPr>
        <w:t>a</w:t>
      </w:r>
      <w:r>
        <w:rPr>
          <w:color w:val="231F20"/>
          <w:spacing w:val="-5"/>
        </w:rPr>
        <w:t> </w:t>
      </w:r>
      <w:r>
        <w:rPr>
          <w:color w:val="231F20"/>
        </w:rPr>
        <w:t>dar</w:t>
      </w:r>
      <w:r>
        <w:rPr>
          <w:color w:val="231F20"/>
          <w:spacing w:val="-5"/>
        </w:rPr>
        <w:t> </w:t>
      </w:r>
      <w:r>
        <w:rPr>
          <w:color w:val="231F20"/>
        </w:rPr>
        <w:t>seguito</w:t>
      </w:r>
      <w:r>
        <w:rPr>
          <w:color w:val="231F20"/>
          <w:spacing w:val="-5"/>
        </w:rPr>
        <w:t> </w:t>
      </w:r>
      <w:r>
        <w:rPr>
          <w:color w:val="231F20"/>
        </w:rPr>
        <w:t>alle</w:t>
      </w:r>
      <w:r>
        <w:rPr>
          <w:color w:val="231F20"/>
          <w:spacing w:val="-5"/>
        </w:rPr>
        <w:t> </w:t>
      </w:r>
      <w:r>
        <w:rPr>
          <w:color w:val="231F20"/>
        </w:rPr>
        <w:t>domande</w:t>
      </w:r>
      <w:r>
        <w:rPr>
          <w:color w:val="231F20"/>
          <w:spacing w:val="-5"/>
        </w:rPr>
        <w:t> </w:t>
      </w:r>
      <w:r>
        <w:rPr>
          <w:color w:val="231F20"/>
        </w:rPr>
        <w:t>formulate</w:t>
      </w:r>
      <w:r>
        <w:rPr>
          <w:color w:val="231F20"/>
          <w:spacing w:val="-5"/>
        </w:rPr>
        <w:t> </w:t>
      </w:r>
      <w:r>
        <w:rPr>
          <w:color w:val="231F20"/>
        </w:rPr>
        <w:t>dalle</w:t>
      </w:r>
      <w:r>
        <w:rPr>
          <w:color w:val="231F20"/>
          <w:spacing w:val="-5"/>
        </w:rPr>
        <w:t> </w:t>
      </w:r>
      <w:r>
        <w:rPr>
          <w:color w:val="231F20"/>
        </w:rPr>
        <w:t>autorità tributarie</w:t>
      </w:r>
      <w:r>
        <w:rPr>
          <w:color w:val="231F20"/>
          <w:spacing w:val="-15"/>
        </w:rPr>
        <w:t> </w:t>
      </w:r>
      <w:r>
        <w:rPr>
          <w:color w:val="231F20"/>
        </w:rPr>
        <w:t>e,</w:t>
      </w:r>
      <w:r>
        <w:rPr>
          <w:color w:val="231F20"/>
          <w:spacing w:val="-15"/>
        </w:rPr>
        <w:t> </w:t>
      </w:r>
      <w:r>
        <w:rPr>
          <w:color w:val="231F20"/>
        </w:rPr>
        <w:t>di</w:t>
      </w:r>
      <w:r>
        <w:rPr>
          <w:color w:val="231F20"/>
          <w:spacing w:val="-15"/>
        </w:rPr>
        <w:t> </w:t>
      </w:r>
      <w:r>
        <w:rPr>
          <w:color w:val="231F20"/>
        </w:rPr>
        <w:t>riflesso,</w:t>
      </w:r>
      <w:r>
        <w:rPr>
          <w:color w:val="231F20"/>
          <w:spacing w:val="-15"/>
        </w:rPr>
        <w:t> </w:t>
      </w:r>
      <w:r>
        <w:rPr>
          <w:color w:val="231F20"/>
        </w:rPr>
        <w:t>consentano</w:t>
      </w:r>
      <w:r>
        <w:rPr>
          <w:color w:val="231F20"/>
          <w:spacing w:val="-15"/>
        </w:rPr>
        <w:t> </w:t>
      </w:r>
      <w:r>
        <w:rPr>
          <w:color w:val="231F20"/>
        </w:rPr>
        <w:t>all’autorità</w:t>
      </w:r>
      <w:r>
        <w:rPr>
          <w:color w:val="231F20"/>
          <w:spacing w:val="-15"/>
        </w:rPr>
        <w:t> </w:t>
      </w:r>
      <w:r>
        <w:rPr>
          <w:color w:val="231F20"/>
        </w:rPr>
        <w:t>interpellata</w:t>
      </w:r>
      <w:r>
        <w:rPr>
          <w:color w:val="231F20"/>
          <w:spacing w:val="-15"/>
        </w:rPr>
        <w:t> </w:t>
      </w:r>
      <w:r>
        <w:rPr>
          <w:color w:val="231F20"/>
        </w:rPr>
        <w:t>di</w:t>
      </w:r>
      <w:r>
        <w:rPr>
          <w:color w:val="231F20"/>
          <w:spacing w:val="-15"/>
        </w:rPr>
        <w:t> </w:t>
      </w:r>
      <w:r>
        <w:rPr>
          <w:color w:val="231F20"/>
        </w:rPr>
        <w:t>ottemperare</w:t>
      </w:r>
      <w:r>
        <w:rPr>
          <w:color w:val="231F20"/>
          <w:spacing w:val="-15"/>
        </w:rPr>
        <w:t> </w:t>
      </w:r>
      <w:r>
        <w:rPr>
          <w:color w:val="231F20"/>
        </w:rPr>
        <w:t>al </w:t>
      </w:r>
      <w:r>
        <w:rPr>
          <w:color w:val="231F20"/>
          <w:spacing w:val="-2"/>
        </w:rPr>
        <w:t>suo</w:t>
      </w:r>
      <w:r>
        <w:rPr>
          <w:color w:val="231F20"/>
          <w:spacing w:val="-15"/>
        </w:rPr>
        <w:t> </w:t>
      </w:r>
      <w:r>
        <w:rPr>
          <w:color w:val="231F20"/>
          <w:spacing w:val="-2"/>
        </w:rPr>
        <w:t>obbligo</w:t>
      </w:r>
      <w:r>
        <w:rPr>
          <w:color w:val="231F20"/>
          <w:spacing w:val="-13"/>
        </w:rPr>
        <w:t> </w:t>
      </w:r>
      <w:r>
        <w:rPr>
          <w:color w:val="231F20"/>
          <w:spacing w:val="-2"/>
        </w:rPr>
        <w:t>nei</w:t>
      </w:r>
      <w:r>
        <w:rPr>
          <w:color w:val="231F20"/>
          <w:spacing w:val="-13"/>
        </w:rPr>
        <w:t> </w:t>
      </w:r>
      <w:r>
        <w:rPr>
          <w:color w:val="231F20"/>
          <w:spacing w:val="-2"/>
        </w:rPr>
        <w:t>confronti</w:t>
      </w:r>
      <w:r>
        <w:rPr>
          <w:color w:val="231F20"/>
          <w:spacing w:val="-13"/>
        </w:rPr>
        <w:t> </w:t>
      </w:r>
      <w:r>
        <w:rPr>
          <w:color w:val="231F20"/>
          <w:spacing w:val="-2"/>
        </w:rPr>
        <w:t>dell’autorità</w:t>
      </w:r>
      <w:r>
        <w:rPr>
          <w:color w:val="231F20"/>
          <w:spacing w:val="-13"/>
        </w:rPr>
        <w:t> </w:t>
      </w:r>
      <w:r>
        <w:rPr>
          <w:color w:val="231F20"/>
          <w:spacing w:val="-2"/>
        </w:rPr>
        <w:t>richiedente»</w:t>
      </w:r>
      <w:r>
        <w:rPr>
          <w:rFonts w:ascii="Times New Roman" w:hAnsi="Times New Roman"/>
          <w:color w:val="231F20"/>
          <w:spacing w:val="-2"/>
          <w:position w:val="8"/>
          <w:sz w:val="14"/>
        </w:rPr>
        <w:t>68</w:t>
      </w:r>
      <w:r>
        <w:rPr>
          <w:color w:val="231F20"/>
          <w:spacing w:val="-2"/>
        </w:rPr>
        <w:t>.</w:t>
      </w:r>
      <w:r>
        <w:rPr>
          <w:color w:val="231F20"/>
          <w:spacing w:val="-13"/>
        </w:rPr>
        <w:t> </w:t>
      </w:r>
      <w:r>
        <w:rPr>
          <w:color w:val="231F20"/>
          <w:spacing w:val="-2"/>
        </w:rPr>
        <w:t>Dall’esigenza</w:t>
      </w:r>
      <w:r>
        <w:rPr>
          <w:color w:val="231F20"/>
          <w:spacing w:val="-13"/>
        </w:rPr>
        <w:t> </w:t>
      </w:r>
      <w:r>
        <w:rPr>
          <w:color w:val="231F20"/>
          <w:spacing w:val="-2"/>
        </w:rPr>
        <w:t>di</w:t>
      </w:r>
      <w:r>
        <w:rPr>
          <w:color w:val="231F20"/>
          <w:spacing w:val="-13"/>
        </w:rPr>
        <w:t> </w:t>
      </w:r>
      <w:r>
        <w:rPr>
          <w:color w:val="231F20"/>
          <w:spacing w:val="-2"/>
        </w:rPr>
        <w:t>assicu- rare</w:t>
      </w:r>
      <w:r>
        <w:rPr>
          <w:color w:val="231F20"/>
          <w:spacing w:val="-8"/>
        </w:rPr>
        <w:t> </w:t>
      </w:r>
      <w:r>
        <w:rPr>
          <w:color w:val="231F20"/>
          <w:spacing w:val="-2"/>
        </w:rPr>
        <w:t>l’«effetto</w:t>
      </w:r>
      <w:r>
        <w:rPr>
          <w:color w:val="231F20"/>
          <w:spacing w:val="-8"/>
        </w:rPr>
        <w:t> </w:t>
      </w:r>
      <w:r>
        <w:rPr>
          <w:color w:val="231F20"/>
          <w:spacing w:val="-2"/>
        </w:rPr>
        <w:t>utile»</w:t>
      </w:r>
      <w:r>
        <w:rPr>
          <w:color w:val="231F20"/>
          <w:spacing w:val="-8"/>
        </w:rPr>
        <w:t> </w:t>
      </w:r>
      <w:r>
        <w:rPr>
          <w:color w:val="231F20"/>
          <w:spacing w:val="-2"/>
        </w:rPr>
        <w:t>della</w:t>
      </w:r>
      <w:r>
        <w:rPr>
          <w:color w:val="231F20"/>
          <w:spacing w:val="-8"/>
        </w:rPr>
        <w:t> </w:t>
      </w:r>
      <w:r>
        <w:rPr>
          <w:color w:val="231F20"/>
          <w:spacing w:val="-2"/>
        </w:rPr>
        <w:t>direttiva</w:t>
      </w:r>
      <w:r>
        <w:rPr>
          <w:color w:val="231F20"/>
          <w:spacing w:val="-8"/>
        </w:rPr>
        <w:t> </w:t>
      </w:r>
      <w:r>
        <w:rPr>
          <w:color w:val="231F20"/>
          <w:spacing w:val="-2"/>
        </w:rPr>
        <w:t>nel</w:t>
      </w:r>
      <w:r>
        <w:rPr>
          <w:color w:val="231F20"/>
          <w:spacing w:val="-8"/>
        </w:rPr>
        <w:t> </w:t>
      </w:r>
      <w:r>
        <w:rPr>
          <w:color w:val="231F20"/>
          <w:spacing w:val="-2"/>
        </w:rPr>
        <w:t>suo</w:t>
      </w:r>
      <w:r>
        <w:rPr>
          <w:color w:val="231F20"/>
          <w:spacing w:val="-8"/>
        </w:rPr>
        <w:t> </w:t>
      </w:r>
      <w:r>
        <w:rPr>
          <w:color w:val="231F20"/>
          <w:spacing w:val="-2"/>
        </w:rPr>
        <w:t>complesso</w:t>
      </w:r>
      <w:r>
        <w:rPr>
          <w:color w:val="231F20"/>
          <w:spacing w:val="-8"/>
        </w:rPr>
        <w:t> </w:t>
      </w:r>
      <w:r>
        <w:rPr>
          <w:color w:val="231F20"/>
          <w:spacing w:val="-2"/>
        </w:rPr>
        <w:t>la</w:t>
      </w:r>
      <w:r>
        <w:rPr>
          <w:color w:val="231F20"/>
          <w:spacing w:val="-8"/>
        </w:rPr>
        <w:t> </w:t>
      </w:r>
      <w:r>
        <w:rPr>
          <w:color w:val="231F20"/>
          <w:spacing w:val="-2"/>
        </w:rPr>
        <w:t>Corte</w:t>
      </w:r>
      <w:r>
        <w:rPr>
          <w:color w:val="231F20"/>
          <w:spacing w:val="-8"/>
        </w:rPr>
        <w:t> </w:t>
      </w:r>
      <w:r>
        <w:rPr>
          <w:color w:val="231F20"/>
          <w:spacing w:val="-2"/>
        </w:rPr>
        <w:t>ha</w:t>
      </w:r>
      <w:r>
        <w:rPr>
          <w:color w:val="231F20"/>
          <w:spacing w:val="-8"/>
        </w:rPr>
        <w:t> </w:t>
      </w:r>
      <w:r>
        <w:rPr>
          <w:color w:val="231F20"/>
          <w:spacing w:val="-2"/>
        </w:rPr>
        <w:t>poi</w:t>
      </w:r>
      <w:r>
        <w:rPr>
          <w:color w:val="231F20"/>
          <w:spacing w:val="-8"/>
        </w:rPr>
        <w:t> </w:t>
      </w:r>
      <w:r>
        <w:rPr>
          <w:color w:val="231F20"/>
          <w:spacing w:val="-2"/>
        </w:rPr>
        <w:t>dedotto </w:t>
      </w:r>
      <w:r>
        <w:rPr>
          <w:color w:val="231F20"/>
          <w:spacing w:val="-4"/>
        </w:rPr>
        <w:t>l’irrilevanza</w:t>
      </w:r>
      <w:r>
        <w:rPr>
          <w:color w:val="231F20"/>
          <w:spacing w:val="-5"/>
        </w:rPr>
        <w:t> </w:t>
      </w:r>
      <w:r>
        <w:rPr>
          <w:color w:val="231F20"/>
          <w:spacing w:val="-4"/>
        </w:rPr>
        <w:t>di</w:t>
      </w:r>
      <w:r>
        <w:rPr>
          <w:color w:val="231F20"/>
          <w:spacing w:val="-5"/>
        </w:rPr>
        <w:t> </w:t>
      </w:r>
      <w:r>
        <w:rPr>
          <w:color w:val="231F20"/>
          <w:spacing w:val="-4"/>
        </w:rPr>
        <w:t>due</w:t>
      </w:r>
      <w:r>
        <w:rPr>
          <w:color w:val="231F20"/>
          <w:spacing w:val="-5"/>
        </w:rPr>
        <w:t> </w:t>
      </w:r>
      <w:r>
        <w:rPr>
          <w:color w:val="231F20"/>
          <w:spacing w:val="-4"/>
        </w:rPr>
        <w:t>possibili</w:t>
      </w:r>
      <w:r>
        <w:rPr>
          <w:color w:val="231F20"/>
          <w:spacing w:val="-5"/>
        </w:rPr>
        <w:t> </w:t>
      </w:r>
      <w:r>
        <w:rPr>
          <w:color w:val="231F20"/>
          <w:spacing w:val="-4"/>
        </w:rPr>
        <w:t>obiezioni</w:t>
      </w:r>
      <w:r>
        <w:rPr>
          <w:color w:val="231F20"/>
          <w:spacing w:val="-5"/>
        </w:rPr>
        <w:t> </w:t>
      </w:r>
      <w:r>
        <w:rPr>
          <w:color w:val="231F20"/>
          <w:spacing w:val="-4"/>
        </w:rPr>
        <w:t>miranti</w:t>
      </w:r>
      <w:r>
        <w:rPr>
          <w:color w:val="231F20"/>
          <w:spacing w:val="-5"/>
        </w:rPr>
        <w:t> </w:t>
      </w:r>
      <w:r>
        <w:rPr>
          <w:color w:val="231F20"/>
          <w:spacing w:val="-4"/>
        </w:rPr>
        <w:t>ad</w:t>
      </w:r>
      <w:r>
        <w:rPr>
          <w:color w:val="231F20"/>
          <w:spacing w:val="-5"/>
        </w:rPr>
        <w:t> </w:t>
      </w:r>
      <w:r>
        <w:rPr>
          <w:color w:val="231F20"/>
          <w:spacing w:val="-4"/>
        </w:rPr>
        <w:t>escludere</w:t>
      </w:r>
      <w:r>
        <w:rPr>
          <w:color w:val="231F20"/>
          <w:spacing w:val="-5"/>
        </w:rPr>
        <w:t> </w:t>
      </w:r>
      <w:r>
        <w:rPr>
          <w:color w:val="231F20"/>
          <w:spacing w:val="-4"/>
        </w:rPr>
        <w:t>l’applicabilità</w:t>
      </w:r>
      <w:r>
        <w:rPr>
          <w:color w:val="231F20"/>
          <w:spacing w:val="-5"/>
        </w:rPr>
        <w:t> </w:t>
      </w:r>
      <w:r>
        <w:rPr>
          <w:color w:val="231F20"/>
          <w:spacing w:val="-4"/>
        </w:rPr>
        <w:t>della</w:t>
      </w:r>
    </w:p>
    <w:p>
      <w:pPr>
        <w:pStyle w:val="BodyText"/>
        <w:spacing w:before="51"/>
        <w:rPr>
          <w:sz w:val="20"/>
        </w:rPr>
      </w:pPr>
      <w:r>
        <w:rPr/>
        <mc:AlternateContent>
          <mc:Choice Requires="wps">
            <w:drawing>
              <wp:anchor distT="0" distB="0" distL="0" distR="0" allowOverlap="1" layoutInCell="1" locked="0" behindDoc="1" simplePos="0" relativeHeight="487614464">
                <wp:simplePos x="0" y="0"/>
                <wp:positionH relativeFrom="page">
                  <wp:posOffset>900000</wp:posOffset>
                </wp:positionH>
                <wp:positionV relativeFrom="paragraph">
                  <wp:posOffset>209320</wp:posOffset>
                </wp:positionV>
                <wp:extent cx="792480" cy="1270"/>
                <wp:effectExtent l="0" t="0" r="0" b="0"/>
                <wp:wrapTopAndBottom/>
                <wp:docPr id="97" name="Graphic 97"/>
                <wp:cNvGraphicFramePr>
                  <a:graphicFrameLocks/>
                </wp:cNvGraphicFramePr>
                <a:graphic>
                  <a:graphicData uri="http://schemas.microsoft.com/office/word/2010/wordprocessingShape">
                    <wps:wsp>
                      <wps:cNvPr id="97" name="Graphic 97"/>
                      <wps:cNvSpPr/>
                      <wps:spPr>
                        <a:xfrm>
                          <a:off x="0" y="0"/>
                          <a:ext cx="792480" cy="1270"/>
                        </a:xfrm>
                        <a:custGeom>
                          <a:avLst/>
                          <a:gdLst/>
                          <a:ahLst/>
                          <a:cxnLst/>
                          <a:rect l="l" t="t" r="r" b="b"/>
                          <a:pathLst>
                            <a:path w="792480" h="0">
                              <a:moveTo>
                                <a:pt x="0" y="0"/>
                              </a:moveTo>
                              <a:lnTo>
                                <a:pt x="791997"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shape style="position:absolute;margin-left:70.866203pt;margin-top:16.481947pt;width:62.4pt;height:.1pt;mso-position-horizontal-relative:page;mso-position-vertical-relative:paragraph;z-index:-15702016;mso-wrap-distance-left:0;mso-wrap-distance-right:0" id="docshape80" coordorigin="1417,330" coordsize="1248,0" path="m1417,330l2665,330e" filled="false" stroked="true" strokeweight=".5pt" strokecolor="#231f20">
                <v:path arrowok="t"/>
                <v:stroke dashstyle="solid"/>
                <w10:wrap type="topAndBottom"/>
              </v:shape>
            </w:pict>
          </mc:Fallback>
        </mc:AlternateContent>
      </w:r>
    </w:p>
    <w:p>
      <w:pPr>
        <w:spacing w:before="190"/>
        <w:ind w:left="157" w:right="0" w:firstLine="0"/>
        <w:jc w:val="left"/>
        <w:rPr>
          <w:sz w:val="19"/>
        </w:rPr>
      </w:pPr>
      <w:r>
        <w:rPr>
          <w:color w:val="231F20"/>
          <w:position w:val="6"/>
          <w:sz w:val="11"/>
        </w:rPr>
        <w:t>68</w:t>
      </w:r>
      <w:r>
        <w:rPr>
          <w:color w:val="231F20"/>
          <w:spacing w:val="53"/>
          <w:position w:val="6"/>
          <w:sz w:val="11"/>
        </w:rPr>
        <w:t>  </w:t>
      </w:r>
      <w:r>
        <w:rPr>
          <w:color w:val="231F20"/>
          <w:sz w:val="19"/>
        </w:rPr>
        <w:t>Corte</w:t>
      </w:r>
      <w:r>
        <w:rPr>
          <w:color w:val="231F20"/>
          <w:spacing w:val="1"/>
          <w:sz w:val="19"/>
        </w:rPr>
        <w:t> </w:t>
      </w:r>
      <w:r>
        <w:rPr>
          <w:color w:val="231F20"/>
          <w:sz w:val="19"/>
        </w:rPr>
        <w:t>giust. UE, sent. del</w:t>
      </w:r>
      <w:r>
        <w:rPr>
          <w:color w:val="231F20"/>
          <w:spacing w:val="1"/>
          <w:sz w:val="19"/>
        </w:rPr>
        <w:t> </w:t>
      </w:r>
      <w:r>
        <w:rPr>
          <w:color w:val="231F20"/>
          <w:sz w:val="19"/>
        </w:rPr>
        <w:t>16 maggio 2017, causa C-682/15, cit., punto </w:t>
      </w:r>
      <w:r>
        <w:rPr>
          <w:color w:val="231F20"/>
          <w:spacing w:val="-5"/>
          <w:sz w:val="19"/>
        </w:rPr>
        <w:t>38.</w:t>
      </w:r>
    </w:p>
    <w:p>
      <w:pPr>
        <w:spacing w:after="0"/>
        <w:jc w:val="left"/>
        <w:rPr>
          <w:sz w:val="19"/>
        </w:rPr>
        <w:sectPr>
          <w:pgSz w:w="9640" w:h="13610"/>
          <w:pgMar w:header="0" w:footer="625" w:top="1260" w:bottom="820" w:left="1260" w:right="1240"/>
        </w:sectPr>
      </w:pPr>
    </w:p>
    <w:p>
      <w:pPr>
        <w:pStyle w:val="BodyText"/>
        <w:spacing w:line="225" w:lineRule="auto" w:before="117"/>
        <w:ind w:left="100" w:right="174"/>
        <w:jc w:val="both"/>
      </w:pPr>
      <w:r>
        <w:rPr>
          <w:color w:val="231F20"/>
        </w:rPr>
        <w:t>Carta dei diritti fondamentali.</w:t>
      </w:r>
      <w:r>
        <w:rPr>
          <w:color w:val="231F20"/>
          <w:spacing w:val="40"/>
        </w:rPr>
        <w:t> </w:t>
      </w:r>
      <w:r>
        <w:rPr>
          <w:color w:val="231F20"/>
        </w:rPr>
        <w:t>Innanzitutto la circostanza che la direttiva </w:t>
      </w:r>
      <w:r>
        <w:rPr>
          <w:color w:val="231F20"/>
          <w:spacing w:val="-4"/>
        </w:rPr>
        <w:t>2011/16/UE,</w:t>
      </w:r>
      <w:r>
        <w:rPr>
          <w:color w:val="231F20"/>
          <w:spacing w:val="-8"/>
        </w:rPr>
        <w:t> </w:t>
      </w:r>
      <w:r>
        <w:rPr>
          <w:color w:val="231F20"/>
          <w:spacing w:val="-4"/>
        </w:rPr>
        <w:t>così</w:t>
      </w:r>
      <w:r>
        <w:rPr>
          <w:color w:val="231F20"/>
          <w:spacing w:val="-8"/>
        </w:rPr>
        <w:t> </w:t>
      </w:r>
      <w:r>
        <w:rPr>
          <w:color w:val="231F20"/>
          <w:spacing w:val="-4"/>
        </w:rPr>
        <w:t>come</w:t>
      </w:r>
      <w:r>
        <w:rPr>
          <w:color w:val="231F20"/>
          <w:spacing w:val="-8"/>
        </w:rPr>
        <w:t> </w:t>
      </w:r>
      <w:r>
        <w:rPr>
          <w:color w:val="231F20"/>
          <w:spacing w:val="-4"/>
        </w:rPr>
        <w:t>la</w:t>
      </w:r>
      <w:r>
        <w:rPr>
          <w:color w:val="231F20"/>
          <w:spacing w:val="-8"/>
        </w:rPr>
        <w:t> </w:t>
      </w:r>
      <w:r>
        <w:rPr>
          <w:color w:val="231F20"/>
          <w:spacing w:val="-4"/>
        </w:rPr>
        <w:t>direttiva</w:t>
      </w:r>
      <w:r>
        <w:rPr>
          <w:color w:val="231F20"/>
          <w:spacing w:val="-8"/>
        </w:rPr>
        <w:t> </w:t>
      </w:r>
      <w:r>
        <w:rPr>
          <w:color w:val="231F20"/>
          <w:spacing w:val="-4"/>
        </w:rPr>
        <w:t>IVA</w:t>
      </w:r>
      <w:r>
        <w:rPr>
          <w:color w:val="231F20"/>
          <w:spacing w:val="-8"/>
        </w:rPr>
        <w:t> </w:t>
      </w:r>
      <w:r>
        <w:rPr>
          <w:color w:val="231F20"/>
          <w:spacing w:val="-4"/>
        </w:rPr>
        <w:t>112/2006/CE</w:t>
      </w:r>
      <w:r>
        <w:rPr>
          <w:color w:val="231F20"/>
          <w:spacing w:val="-8"/>
        </w:rPr>
        <w:t> </w:t>
      </w:r>
      <w:r>
        <w:rPr>
          <w:color w:val="231F20"/>
          <w:spacing w:val="-4"/>
        </w:rPr>
        <w:t>e</w:t>
      </w:r>
      <w:r>
        <w:rPr>
          <w:color w:val="231F20"/>
          <w:spacing w:val="-8"/>
        </w:rPr>
        <w:t> </w:t>
      </w:r>
      <w:r>
        <w:rPr>
          <w:color w:val="231F20"/>
          <w:spacing w:val="-4"/>
        </w:rPr>
        <w:t>le</w:t>
      </w:r>
      <w:r>
        <w:rPr>
          <w:color w:val="231F20"/>
          <w:spacing w:val="-8"/>
        </w:rPr>
        <w:t> </w:t>
      </w:r>
      <w:r>
        <w:rPr>
          <w:color w:val="231F20"/>
          <w:spacing w:val="-4"/>
        </w:rPr>
        <w:t>varie</w:t>
      </w:r>
      <w:r>
        <w:rPr>
          <w:color w:val="231F20"/>
          <w:spacing w:val="-8"/>
        </w:rPr>
        <w:t> </w:t>
      </w:r>
      <w:r>
        <w:rPr>
          <w:color w:val="231F20"/>
          <w:spacing w:val="-4"/>
        </w:rPr>
        <w:t>direttive</w:t>
      </w:r>
      <w:r>
        <w:rPr>
          <w:color w:val="231F20"/>
          <w:spacing w:val="-8"/>
        </w:rPr>
        <w:t> </w:t>
      </w:r>
      <w:r>
        <w:rPr>
          <w:color w:val="231F20"/>
          <w:spacing w:val="-4"/>
        </w:rPr>
        <w:t>UE in</w:t>
      </w:r>
      <w:r>
        <w:rPr>
          <w:color w:val="231F20"/>
          <w:spacing w:val="-8"/>
        </w:rPr>
        <w:t> </w:t>
      </w:r>
      <w:r>
        <w:rPr>
          <w:color w:val="231F20"/>
          <w:spacing w:val="-4"/>
        </w:rPr>
        <w:t>materia</w:t>
      </w:r>
      <w:r>
        <w:rPr>
          <w:color w:val="231F20"/>
          <w:spacing w:val="-8"/>
        </w:rPr>
        <w:t> </w:t>
      </w:r>
      <w:r>
        <w:rPr>
          <w:color w:val="231F20"/>
          <w:spacing w:val="-4"/>
        </w:rPr>
        <w:t>di</w:t>
      </w:r>
      <w:r>
        <w:rPr>
          <w:color w:val="231F20"/>
          <w:spacing w:val="-8"/>
        </w:rPr>
        <w:t> </w:t>
      </w:r>
      <w:r>
        <w:rPr>
          <w:color w:val="231F20"/>
          <w:spacing w:val="-4"/>
        </w:rPr>
        <w:t>accise</w:t>
      </w:r>
      <w:r>
        <w:rPr>
          <w:color w:val="231F20"/>
          <w:spacing w:val="-8"/>
        </w:rPr>
        <w:t> </w:t>
      </w:r>
      <w:r>
        <w:rPr>
          <w:color w:val="231F20"/>
          <w:spacing w:val="-4"/>
        </w:rPr>
        <w:t>e</w:t>
      </w:r>
      <w:r>
        <w:rPr>
          <w:color w:val="231F20"/>
          <w:spacing w:val="-8"/>
        </w:rPr>
        <w:t> </w:t>
      </w:r>
      <w:r>
        <w:rPr>
          <w:color w:val="231F20"/>
          <w:spacing w:val="-4"/>
        </w:rPr>
        <w:t>le</w:t>
      </w:r>
      <w:r>
        <w:rPr>
          <w:color w:val="231F20"/>
          <w:spacing w:val="-8"/>
        </w:rPr>
        <w:t> </w:t>
      </w:r>
      <w:r>
        <w:rPr>
          <w:color w:val="231F20"/>
          <w:spacing w:val="-4"/>
        </w:rPr>
        <w:t>altre</w:t>
      </w:r>
      <w:r>
        <w:rPr>
          <w:color w:val="231F20"/>
          <w:spacing w:val="-8"/>
        </w:rPr>
        <w:t> </w:t>
      </w:r>
      <w:r>
        <w:rPr>
          <w:color w:val="231F20"/>
          <w:spacing w:val="-4"/>
        </w:rPr>
        <w:t>direttive</w:t>
      </w:r>
      <w:r>
        <w:rPr>
          <w:color w:val="231F20"/>
          <w:spacing w:val="-8"/>
        </w:rPr>
        <w:t> </w:t>
      </w:r>
      <w:r>
        <w:rPr>
          <w:color w:val="231F20"/>
          <w:spacing w:val="-4"/>
        </w:rPr>
        <w:t>di</w:t>
      </w:r>
      <w:r>
        <w:rPr>
          <w:color w:val="231F20"/>
          <w:spacing w:val="-8"/>
        </w:rPr>
        <w:t> </w:t>
      </w:r>
      <w:r>
        <w:rPr>
          <w:color w:val="231F20"/>
          <w:spacing w:val="-4"/>
        </w:rPr>
        <w:t>armonizzazione</w:t>
      </w:r>
      <w:r>
        <w:rPr>
          <w:color w:val="231F20"/>
          <w:spacing w:val="-8"/>
        </w:rPr>
        <w:t> </w:t>
      </w:r>
      <w:r>
        <w:rPr>
          <w:color w:val="231F20"/>
          <w:spacing w:val="-4"/>
        </w:rPr>
        <w:t>fiscale,</w:t>
      </w:r>
      <w:r>
        <w:rPr>
          <w:color w:val="231F20"/>
          <w:spacing w:val="-8"/>
        </w:rPr>
        <w:t> </w:t>
      </w:r>
      <w:r>
        <w:rPr>
          <w:color w:val="231F20"/>
          <w:spacing w:val="-4"/>
        </w:rPr>
        <w:t>non</w:t>
      </w:r>
      <w:r>
        <w:rPr>
          <w:color w:val="231F20"/>
          <w:spacing w:val="-8"/>
        </w:rPr>
        <w:t> </w:t>
      </w:r>
      <w:r>
        <w:rPr>
          <w:color w:val="231F20"/>
          <w:spacing w:val="-4"/>
        </w:rPr>
        <w:t>prevedes- </w:t>
      </w:r>
      <w:r>
        <w:rPr>
          <w:color w:val="231F20"/>
          <w:spacing w:val="-2"/>
        </w:rPr>
        <w:t>sero</w:t>
      </w:r>
      <w:r>
        <w:rPr>
          <w:color w:val="231F20"/>
          <w:spacing w:val="-4"/>
        </w:rPr>
        <w:t> </w:t>
      </w:r>
      <w:r>
        <w:rPr>
          <w:color w:val="231F20"/>
          <w:spacing w:val="-2"/>
        </w:rPr>
        <w:t>espressamente</w:t>
      </w:r>
      <w:r>
        <w:rPr>
          <w:color w:val="231F20"/>
          <w:spacing w:val="-4"/>
        </w:rPr>
        <w:t> </w:t>
      </w:r>
      <w:r>
        <w:rPr>
          <w:color w:val="231F20"/>
          <w:spacing w:val="-2"/>
        </w:rPr>
        <w:t>l’applicazione</w:t>
      </w:r>
      <w:r>
        <w:rPr>
          <w:color w:val="231F20"/>
          <w:spacing w:val="-4"/>
        </w:rPr>
        <w:t> </w:t>
      </w:r>
      <w:r>
        <w:rPr>
          <w:color w:val="231F20"/>
          <w:spacing w:val="-2"/>
        </w:rPr>
        <w:t>di</w:t>
      </w:r>
      <w:r>
        <w:rPr>
          <w:color w:val="231F20"/>
          <w:spacing w:val="-4"/>
        </w:rPr>
        <w:t> </w:t>
      </w:r>
      <w:r>
        <w:rPr>
          <w:color w:val="231F20"/>
          <w:spacing w:val="-2"/>
        </w:rPr>
        <w:t>sanzioni</w:t>
      </w:r>
      <w:r>
        <w:rPr>
          <w:color w:val="231F20"/>
          <w:spacing w:val="-4"/>
        </w:rPr>
        <w:t> </w:t>
      </w:r>
      <w:r>
        <w:rPr>
          <w:color w:val="231F20"/>
          <w:spacing w:val="-2"/>
        </w:rPr>
        <w:t>in</w:t>
      </w:r>
      <w:r>
        <w:rPr>
          <w:color w:val="231F20"/>
          <w:spacing w:val="-4"/>
        </w:rPr>
        <w:t> </w:t>
      </w:r>
      <w:r>
        <w:rPr>
          <w:color w:val="231F20"/>
          <w:spacing w:val="-2"/>
        </w:rPr>
        <w:t>caso</w:t>
      </w:r>
      <w:r>
        <w:rPr>
          <w:color w:val="231F20"/>
          <w:spacing w:val="-4"/>
        </w:rPr>
        <w:t> </w:t>
      </w:r>
      <w:r>
        <w:rPr>
          <w:color w:val="231F20"/>
          <w:spacing w:val="-2"/>
        </w:rPr>
        <w:t>di</w:t>
      </w:r>
      <w:r>
        <w:rPr>
          <w:color w:val="231F20"/>
          <w:spacing w:val="-4"/>
        </w:rPr>
        <w:t> </w:t>
      </w:r>
      <w:r>
        <w:rPr>
          <w:color w:val="231F20"/>
          <w:spacing w:val="-2"/>
        </w:rPr>
        <w:t>infrazioni</w:t>
      </w:r>
      <w:r>
        <w:rPr>
          <w:color w:val="231F20"/>
          <w:spacing w:val="-4"/>
        </w:rPr>
        <w:t> </w:t>
      </w:r>
      <w:r>
        <w:rPr>
          <w:color w:val="231F20"/>
          <w:spacing w:val="-2"/>
        </w:rPr>
        <w:t>commesse </w:t>
      </w:r>
      <w:r>
        <w:rPr>
          <w:color w:val="231F20"/>
        </w:rPr>
        <w:t>dai</w:t>
      </w:r>
      <w:r>
        <w:rPr>
          <w:color w:val="231F20"/>
          <w:spacing w:val="-15"/>
        </w:rPr>
        <w:t> </w:t>
      </w:r>
      <w:r>
        <w:rPr>
          <w:color w:val="231F20"/>
        </w:rPr>
        <w:t>soggetti</w:t>
      </w:r>
      <w:r>
        <w:rPr>
          <w:color w:val="231F20"/>
          <w:spacing w:val="-15"/>
        </w:rPr>
        <w:t> </w:t>
      </w:r>
      <w:r>
        <w:rPr>
          <w:color w:val="231F20"/>
        </w:rPr>
        <w:t>destinatari</w:t>
      </w:r>
      <w:r>
        <w:rPr>
          <w:color w:val="231F20"/>
          <w:spacing w:val="-15"/>
        </w:rPr>
        <w:t> </w:t>
      </w:r>
      <w:r>
        <w:rPr>
          <w:color w:val="231F20"/>
        </w:rPr>
        <w:t>degli</w:t>
      </w:r>
      <w:r>
        <w:rPr>
          <w:color w:val="231F20"/>
          <w:spacing w:val="-15"/>
        </w:rPr>
        <w:t> </w:t>
      </w:r>
      <w:r>
        <w:rPr>
          <w:color w:val="231F20"/>
        </w:rPr>
        <w:t>obblighi</w:t>
      </w:r>
      <w:r>
        <w:rPr>
          <w:color w:val="231F20"/>
          <w:spacing w:val="-15"/>
        </w:rPr>
        <w:t> </w:t>
      </w:r>
      <w:r>
        <w:rPr>
          <w:color w:val="231F20"/>
        </w:rPr>
        <w:t>previsti</w:t>
      </w:r>
      <w:r>
        <w:rPr>
          <w:color w:val="231F20"/>
          <w:spacing w:val="-15"/>
        </w:rPr>
        <w:t> </w:t>
      </w:r>
      <w:r>
        <w:rPr>
          <w:color w:val="231F20"/>
        </w:rPr>
        <w:t>dalle</w:t>
      </w:r>
      <w:r>
        <w:rPr>
          <w:color w:val="231F20"/>
          <w:spacing w:val="-15"/>
        </w:rPr>
        <w:t> </w:t>
      </w:r>
      <w:r>
        <w:rPr>
          <w:color w:val="231F20"/>
        </w:rPr>
        <w:t>direttive</w:t>
      </w:r>
      <w:r>
        <w:rPr>
          <w:color w:val="231F20"/>
          <w:spacing w:val="-15"/>
        </w:rPr>
        <w:t> </w:t>
      </w:r>
      <w:r>
        <w:rPr>
          <w:color w:val="231F20"/>
        </w:rPr>
        <w:t>stesse</w:t>
      </w:r>
      <w:r>
        <w:rPr>
          <w:color w:val="231F20"/>
          <w:spacing w:val="-15"/>
        </w:rPr>
        <w:t> </w:t>
      </w:r>
      <w:r>
        <w:rPr>
          <w:color w:val="231F20"/>
        </w:rPr>
        <w:t>«non</w:t>
      </w:r>
      <w:r>
        <w:rPr>
          <w:color w:val="231F20"/>
          <w:spacing w:val="-15"/>
        </w:rPr>
        <w:t> </w:t>
      </w:r>
      <w:r>
        <w:rPr>
          <w:color w:val="231F20"/>
        </w:rPr>
        <w:t>osta </w:t>
      </w:r>
      <w:r>
        <w:rPr>
          <w:color w:val="231F20"/>
          <w:spacing w:val="-2"/>
        </w:rPr>
        <w:t>a</w:t>
      </w:r>
      <w:r>
        <w:rPr>
          <w:color w:val="231F20"/>
          <w:spacing w:val="-8"/>
        </w:rPr>
        <w:t> </w:t>
      </w:r>
      <w:r>
        <w:rPr>
          <w:color w:val="231F20"/>
          <w:spacing w:val="-2"/>
        </w:rPr>
        <w:t>che</w:t>
      </w:r>
      <w:r>
        <w:rPr>
          <w:color w:val="231F20"/>
          <w:spacing w:val="-8"/>
        </w:rPr>
        <w:t> </w:t>
      </w:r>
      <w:r>
        <w:rPr>
          <w:color w:val="231F20"/>
          <w:spacing w:val="-2"/>
        </w:rPr>
        <w:t>queste</w:t>
      </w:r>
      <w:r>
        <w:rPr>
          <w:color w:val="231F20"/>
          <w:spacing w:val="-8"/>
        </w:rPr>
        <w:t> </w:t>
      </w:r>
      <w:r>
        <w:rPr>
          <w:color w:val="231F20"/>
          <w:spacing w:val="-2"/>
        </w:rPr>
        <w:t>ultime</w:t>
      </w:r>
      <w:r>
        <w:rPr>
          <w:color w:val="231F20"/>
          <w:spacing w:val="-8"/>
        </w:rPr>
        <w:t> </w:t>
      </w:r>
      <w:r>
        <w:rPr>
          <w:color w:val="231F20"/>
          <w:spacing w:val="-2"/>
        </w:rPr>
        <w:t>(misure</w:t>
      </w:r>
      <w:r>
        <w:rPr>
          <w:color w:val="231F20"/>
          <w:spacing w:val="-8"/>
        </w:rPr>
        <w:t> </w:t>
      </w:r>
      <w:r>
        <w:rPr>
          <w:color w:val="231F20"/>
          <w:spacing w:val="-2"/>
        </w:rPr>
        <w:t>sanzionatorie)</w:t>
      </w:r>
      <w:r>
        <w:rPr>
          <w:color w:val="231F20"/>
          <w:spacing w:val="-8"/>
        </w:rPr>
        <w:t> </w:t>
      </w:r>
      <w:r>
        <w:rPr>
          <w:color w:val="231F20"/>
          <w:spacing w:val="-2"/>
        </w:rPr>
        <w:t>siano</w:t>
      </w:r>
      <w:r>
        <w:rPr>
          <w:color w:val="231F20"/>
          <w:spacing w:val="-8"/>
        </w:rPr>
        <w:t> </w:t>
      </w:r>
      <w:r>
        <w:rPr>
          <w:color w:val="231F20"/>
          <w:spacing w:val="-2"/>
        </w:rPr>
        <w:t>considerate</w:t>
      </w:r>
      <w:r>
        <w:rPr>
          <w:color w:val="231F20"/>
          <w:spacing w:val="-8"/>
        </w:rPr>
        <w:t> </w:t>
      </w:r>
      <w:r>
        <w:rPr>
          <w:color w:val="231F20"/>
          <w:spacing w:val="-2"/>
        </w:rPr>
        <w:t>come</w:t>
      </w:r>
      <w:r>
        <w:rPr>
          <w:color w:val="231F20"/>
          <w:spacing w:val="-8"/>
        </w:rPr>
        <w:t> </w:t>
      </w:r>
      <w:r>
        <w:rPr>
          <w:color w:val="231F20"/>
          <w:spacing w:val="-2"/>
        </w:rPr>
        <w:t>rientranti </w:t>
      </w:r>
      <w:r>
        <w:rPr>
          <w:color w:val="231F20"/>
        </w:rPr>
        <w:t>nell’attuazione</w:t>
      </w:r>
      <w:r>
        <w:rPr>
          <w:color w:val="231F20"/>
          <w:spacing w:val="-10"/>
        </w:rPr>
        <w:t> </w:t>
      </w:r>
      <w:r>
        <w:rPr>
          <w:color w:val="231F20"/>
        </w:rPr>
        <w:t>di</w:t>
      </w:r>
      <w:r>
        <w:rPr>
          <w:color w:val="231F20"/>
          <w:spacing w:val="-10"/>
        </w:rPr>
        <w:t> </w:t>
      </w:r>
      <w:r>
        <w:rPr>
          <w:color w:val="231F20"/>
        </w:rPr>
        <w:t>tale</w:t>
      </w:r>
      <w:r>
        <w:rPr>
          <w:color w:val="231F20"/>
          <w:spacing w:val="-10"/>
        </w:rPr>
        <w:t> </w:t>
      </w:r>
      <w:r>
        <w:rPr>
          <w:color w:val="231F20"/>
        </w:rPr>
        <w:t>direttiva</w:t>
      </w:r>
      <w:r>
        <w:rPr>
          <w:color w:val="231F20"/>
          <w:spacing w:val="-10"/>
        </w:rPr>
        <w:t> </w:t>
      </w:r>
      <w:r>
        <w:rPr>
          <w:color w:val="231F20"/>
        </w:rPr>
        <w:t>e,</w:t>
      </w:r>
      <w:r>
        <w:rPr>
          <w:color w:val="231F20"/>
          <w:spacing w:val="-10"/>
        </w:rPr>
        <w:t> </w:t>
      </w:r>
      <w:r>
        <w:rPr>
          <w:color w:val="231F20"/>
        </w:rPr>
        <w:t>di</w:t>
      </w:r>
      <w:r>
        <w:rPr>
          <w:color w:val="231F20"/>
          <w:spacing w:val="-10"/>
        </w:rPr>
        <w:t> </w:t>
      </w:r>
      <w:r>
        <w:rPr>
          <w:color w:val="231F20"/>
        </w:rPr>
        <w:t>riflesso,</w:t>
      </w:r>
      <w:r>
        <w:rPr>
          <w:color w:val="231F20"/>
          <w:spacing w:val="-10"/>
        </w:rPr>
        <w:t> </w:t>
      </w:r>
      <w:r>
        <w:rPr>
          <w:color w:val="231F20"/>
        </w:rPr>
        <w:t>nell’ambito</w:t>
      </w:r>
      <w:r>
        <w:rPr>
          <w:color w:val="231F20"/>
          <w:spacing w:val="-10"/>
        </w:rPr>
        <w:t> </w:t>
      </w:r>
      <w:r>
        <w:rPr>
          <w:color w:val="231F20"/>
        </w:rPr>
        <w:t>di</w:t>
      </w:r>
      <w:r>
        <w:rPr>
          <w:color w:val="231F20"/>
          <w:spacing w:val="-10"/>
        </w:rPr>
        <w:t> </w:t>
      </w:r>
      <w:r>
        <w:rPr>
          <w:color w:val="231F20"/>
        </w:rPr>
        <w:t>applicazione</w:t>
      </w:r>
      <w:r>
        <w:rPr>
          <w:color w:val="231F20"/>
          <w:spacing w:val="-10"/>
        </w:rPr>
        <w:t> </w:t>
      </w:r>
      <w:r>
        <w:rPr>
          <w:color w:val="231F20"/>
        </w:rPr>
        <w:t>del diritto</w:t>
      </w:r>
      <w:r>
        <w:rPr>
          <w:color w:val="231F20"/>
          <w:spacing w:val="-1"/>
        </w:rPr>
        <w:t> </w:t>
      </w:r>
      <w:r>
        <w:rPr>
          <w:color w:val="231F20"/>
        </w:rPr>
        <w:t>dell’Unione»</w:t>
      </w:r>
      <w:r>
        <w:rPr>
          <w:rFonts w:ascii="Times New Roman" w:hAnsi="Times New Roman"/>
          <w:color w:val="231F20"/>
          <w:position w:val="8"/>
          <w:sz w:val="14"/>
        </w:rPr>
        <w:t>69</w:t>
      </w:r>
      <w:r>
        <w:rPr>
          <w:color w:val="231F20"/>
        </w:rPr>
        <w:t>.</w:t>
      </w:r>
      <w:r>
        <w:rPr>
          <w:color w:val="231F20"/>
          <w:spacing w:val="40"/>
        </w:rPr>
        <w:t> </w:t>
      </w:r>
      <w:r>
        <w:rPr>
          <w:color w:val="231F20"/>
        </w:rPr>
        <w:t>Risulta</w:t>
      </w:r>
      <w:r>
        <w:rPr>
          <w:color w:val="231F20"/>
          <w:spacing w:val="-1"/>
        </w:rPr>
        <w:t> </w:t>
      </w:r>
      <w:r>
        <w:rPr>
          <w:color w:val="231F20"/>
        </w:rPr>
        <w:t>poi</w:t>
      </w:r>
      <w:r>
        <w:rPr>
          <w:color w:val="231F20"/>
          <w:spacing w:val="-1"/>
        </w:rPr>
        <w:t> </w:t>
      </w:r>
      <w:r>
        <w:rPr>
          <w:color w:val="231F20"/>
        </w:rPr>
        <w:t>parimenti</w:t>
      </w:r>
      <w:r>
        <w:rPr>
          <w:color w:val="231F20"/>
          <w:spacing w:val="-1"/>
        </w:rPr>
        <w:t> </w:t>
      </w:r>
      <w:r>
        <w:rPr>
          <w:color w:val="231F20"/>
        </w:rPr>
        <w:t>«irrilevante»</w:t>
      </w:r>
      <w:r>
        <w:rPr>
          <w:color w:val="231F20"/>
          <w:spacing w:val="-1"/>
        </w:rPr>
        <w:t> </w:t>
      </w:r>
      <w:r>
        <w:rPr>
          <w:color w:val="231F20"/>
        </w:rPr>
        <w:t>per</w:t>
      </w:r>
      <w:r>
        <w:rPr>
          <w:color w:val="231F20"/>
          <w:spacing w:val="-1"/>
        </w:rPr>
        <w:t> </w:t>
      </w:r>
      <w:r>
        <w:rPr>
          <w:color w:val="231F20"/>
        </w:rPr>
        <w:t>i</w:t>
      </w:r>
      <w:r>
        <w:rPr>
          <w:color w:val="231F20"/>
          <w:spacing w:val="-1"/>
        </w:rPr>
        <w:t> </w:t>
      </w:r>
      <w:r>
        <w:rPr>
          <w:color w:val="231F20"/>
        </w:rPr>
        <w:t>giudici</w:t>
      </w:r>
      <w:r>
        <w:rPr>
          <w:color w:val="231F20"/>
          <w:spacing w:val="-1"/>
        </w:rPr>
        <w:t> </w:t>
      </w:r>
      <w:r>
        <w:rPr>
          <w:color w:val="231F20"/>
        </w:rPr>
        <w:t>eu- ropei</w:t>
      </w:r>
      <w:r>
        <w:rPr>
          <w:color w:val="231F20"/>
          <w:spacing w:val="-5"/>
        </w:rPr>
        <w:t> </w:t>
      </w:r>
      <w:r>
        <w:rPr>
          <w:color w:val="231F20"/>
        </w:rPr>
        <w:t>la</w:t>
      </w:r>
      <w:r>
        <w:rPr>
          <w:color w:val="231F20"/>
          <w:spacing w:val="-5"/>
        </w:rPr>
        <w:t> </w:t>
      </w:r>
      <w:r>
        <w:rPr>
          <w:color w:val="231F20"/>
        </w:rPr>
        <w:t>circostanza</w:t>
      </w:r>
      <w:r>
        <w:rPr>
          <w:color w:val="231F20"/>
          <w:spacing w:val="-5"/>
        </w:rPr>
        <w:t> </w:t>
      </w:r>
      <w:r>
        <w:rPr>
          <w:color w:val="231F20"/>
        </w:rPr>
        <w:t>che</w:t>
      </w:r>
      <w:r>
        <w:rPr>
          <w:color w:val="231F20"/>
          <w:spacing w:val="-5"/>
        </w:rPr>
        <w:t> </w:t>
      </w:r>
      <w:r>
        <w:rPr>
          <w:color w:val="231F20"/>
        </w:rPr>
        <w:t>la</w:t>
      </w:r>
      <w:r>
        <w:rPr>
          <w:color w:val="231F20"/>
          <w:spacing w:val="-5"/>
        </w:rPr>
        <w:t> </w:t>
      </w:r>
      <w:r>
        <w:rPr>
          <w:color w:val="231F20"/>
        </w:rPr>
        <w:t>norma</w:t>
      </w:r>
      <w:r>
        <w:rPr>
          <w:color w:val="231F20"/>
          <w:spacing w:val="-5"/>
        </w:rPr>
        <w:t> </w:t>
      </w:r>
      <w:r>
        <w:rPr>
          <w:color w:val="231F20"/>
        </w:rPr>
        <w:t>legislativa</w:t>
      </w:r>
      <w:r>
        <w:rPr>
          <w:color w:val="231F20"/>
          <w:spacing w:val="-5"/>
        </w:rPr>
        <w:t> </w:t>
      </w:r>
      <w:r>
        <w:rPr>
          <w:color w:val="231F20"/>
        </w:rPr>
        <w:t>nazionale</w:t>
      </w:r>
      <w:r>
        <w:rPr>
          <w:color w:val="231F20"/>
          <w:spacing w:val="-5"/>
        </w:rPr>
        <w:t> </w:t>
      </w:r>
      <w:r>
        <w:rPr>
          <w:color w:val="231F20"/>
        </w:rPr>
        <w:t>sulla</w:t>
      </w:r>
      <w:r>
        <w:rPr>
          <w:color w:val="231F20"/>
          <w:spacing w:val="-5"/>
        </w:rPr>
        <w:t> </w:t>
      </w:r>
      <w:r>
        <w:rPr>
          <w:color w:val="231F20"/>
        </w:rPr>
        <w:t>base</w:t>
      </w:r>
      <w:r>
        <w:rPr>
          <w:color w:val="231F20"/>
          <w:spacing w:val="-5"/>
        </w:rPr>
        <w:t> </w:t>
      </w:r>
      <w:r>
        <w:rPr>
          <w:color w:val="231F20"/>
        </w:rPr>
        <w:t>della</w:t>
      </w:r>
      <w:r>
        <w:rPr>
          <w:color w:val="231F20"/>
          <w:spacing w:val="-5"/>
        </w:rPr>
        <w:t> </w:t>
      </w:r>
      <w:r>
        <w:rPr>
          <w:color w:val="231F20"/>
        </w:rPr>
        <w:t>quale </w:t>
      </w:r>
      <w:r>
        <w:rPr>
          <w:color w:val="231F20"/>
          <w:spacing w:val="-2"/>
        </w:rPr>
        <w:t>l’amministrazione fiscale ha adottato il provvedimento sanzionatorio conte- stato</w:t>
      </w:r>
      <w:r>
        <w:rPr>
          <w:color w:val="231F20"/>
          <w:spacing w:val="-13"/>
        </w:rPr>
        <w:t> </w:t>
      </w:r>
      <w:r>
        <w:rPr>
          <w:color w:val="231F20"/>
          <w:spacing w:val="-2"/>
        </w:rPr>
        <w:t>nel</w:t>
      </w:r>
      <w:r>
        <w:rPr>
          <w:color w:val="231F20"/>
          <w:spacing w:val="-13"/>
        </w:rPr>
        <w:t> </w:t>
      </w:r>
      <w:r>
        <w:rPr>
          <w:color w:val="231F20"/>
          <w:spacing w:val="-2"/>
        </w:rPr>
        <w:t>giudizio</w:t>
      </w:r>
      <w:r>
        <w:rPr>
          <w:color w:val="231F20"/>
          <w:spacing w:val="-13"/>
        </w:rPr>
        <w:t> </w:t>
      </w:r>
      <w:r>
        <w:rPr>
          <w:i/>
          <w:color w:val="231F20"/>
          <w:spacing w:val="-2"/>
        </w:rPr>
        <w:t>a</w:t>
      </w:r>
      <w:r>
        <w:rPr>
          <w:i/>
          <w:color w:val="231F20"/>
          <w:spacing w:val="-13"/>
        </w:rPr>
        <w:t> </w:t>
      </w:r>
      <w:r>
        <w:rPr>
          <w:i/>
          <w:color w:val="231F20"/>
          <w:spacing w:val="-2"/>
        </w:rPr>
        <w:t>quo</w:t>
      </w:r>
      <w:r>
        <w:rPr>
          <w:i/>
          <w:color w:val="231F20"/>
          <w:spacing w:val="-13"/>
        </w:rPr>
        <w:t> </w:t>
      </w:r>
      <w:r>
        <w:rPr>
          <w:color w:val="231F20"/>
          <w:spacing w:val="-2"/>
        </w:rPr>
        <w:t>sia</w:t>
      </w:r>
      <w:r>
        <w:rPr>
          <w:color w:val="231F20"/>
          <w:spacing w:val="-13"/>
        </w:rPr>
        <w:t> </w:t>
      </w:r>
      <w:r>
        <w:rPr>
          <w:color w:val="231F20"/>
          <w:spacing w:val="-2"/>
        </w:rPr>
        <w:t>contenuta</w:t>
      </w:r>
      <w:r>
        <w:rPr>
          <w:color w:val="231F20"/>
          <w:spacing w:val="-13"/>
        </w:rPr>
        <w:t> </w:t>
      </w:r>
      <w:r>
        <w:rPr>
          <w:color w:val="231F20"/>
          <w:spacing w:val="-2"/>
        </w:rPr>
        <w:t>in</w:t>
      </w:r>
      <w:r>
        <w:rPr>
          <w:color w:val="231F20"/>
          <w:spacing w:val="-13"/>
        </w:rPr>
        <w:t> </w:t>
      </w:r>
      <w:r>
        <w:rPr>
          <w:color w:val="231F20"/>
          <w:spacing w:val="-2"/>
        </w:rPr>
        <w:t>una</w:t>
      </w:r>
      <w:r>
        <w:rPr>
          <w:color w:val="231F20"/>
          <w:spacing w:val="-13"/>
        </w:rPr>
        <w:t> </w:t>
      </w:r>
      <w:r>
        <w:rPr>
          <w:color w:val="231F20"/>
          <w:spacing w:val="-2"/>
        </w:rPr>
        <w:t>legge</w:t>
      </w:r>
      <w:r>
        <w:rPr>
          <w:color w:val="231F20"/>
          <w:spacing w:val="-13"/>
        </w:rPr>
        <w:t> </w:t>
      </w:r>
      <w:r>
        <w:rPr>
          <w:color w:val="231F20"/>
          <w:spacing w:val="-2"/>
        </w:rPr>
        <w:t>diversa</w:t>
      </w:r>
      <w:r>
        <w:rPr>
          <w:color w:val="231F20"/>
          <w:spacing w:val="-13"/>
        </w:rPr>
        <w:t> </w:t>
      </w:r>
      <w:r>
        <w:rPr>
          <w:color w:val="231F20"/>
          <w:spacing w:val="-2"/>
        </w:rPr>
        <w:t>da</w:t>
      </w:r>
      <w:r>
        <w:rPr>
          <w:color w:val="231F20"/>
          <w:spacing w:val="-13"/>
        </w:rPr>
        <w:t> </w:t>
      </w:r>
      <w:r>
        <w:rPr>
          <w:color w:val="231F20"/>
          <w:spacing w:val="-2"/>
        </w:rPr>
        <w:t>quella</w:t>
      </w:r>
      <w:r>
        <w:rPr>
          <w:color w:val="231F20"/>
          <w:spacing w:val="-13"/>
        </w:rPr>
        <w:t> </w:t>
      </w:r>
      <w:r>
        <w:rPr>
          <w:color w:val="231F20"/>
          <w:spacing w:val="-2"/>
        </w:rPr>
        <w:t>approvata </w:t>
      </w:r>
      <w:r>
        <w:rPr>
          <w:color w:val="231F20"/>
        </w:rPr>
        <w:t>allo</w:t>
      </w:r>
      <w:r>
        <w:rPr>
          <w:color w:val="231F20"/>
          <w:spacing w:val="-7"/>
        </w:rPr>
        <w:t> </w:t>
      </w:r>
      <w:r>
        <w:rPr>
          <w:color w:val="231F20"/>
        </w:rPr>
        <w:t>specifico</w:t>
      </w:r>
      <w:r>
        <w:rPr>
          <w:color w:val="231F20"/>
          <w:spacing w:val="-7"/>
        </w:rPr>
        <w:t> </w:t>
      </w:r>
      <w:r>
        <w:rPr>
          <w:color w:val="231F20"/>
        </w:rPr>
        <w:t>fine</w:t>
      </w:r>
      <w:r>
        <w:rPr>
          <w:color w:val="231F20"/>
          <w:spacing w:val="-7"/>
        </w:rPr>
        <w:t> </w:t>
      </w:r>
      <w:r>
        <w:rPr>
          <w:color w:val="231F20"/>
        </w:rPr>
        <w:t>di</w:t>
      </w:r>
      <w:r>
        <w:rPr>
          <w:color w:val="231F20"/>
          <w:spacing w:val="-7"/>
        </w:rPr>
        <w:t> </w:t>
      </w:r>
      <w:r>
        <w:rPr>
          <w:color w:val="231F20"/>
        </w:rPr>
        <w:t>recepire</w:t>
      </w:r>
      <w:r>
        <w:rPr>
          <w:color w:val="231F20"/>
          <w:spacing w:val="-7"/>
        </w:rPr>
        <w:t> </w:t>
      </w:r>
      <w:r>
        <w:rPr>
          <w:color w:val="231F20"/>
        </w:rPr>
        <w:t>la</w:t>
      </w:r>
      <w:r>
        <w:rPr>
          <w:color w:val="231F20"/>
          <w:spacing w:val="-7"/>
        </w:rPr>
        <w:t> </w:t>
      </w:r>
      <w:r>
        <w:rPr>
          <w:color w:val="231F20"/>
        </w:rPr>
        <w:t>direttiva</w:t>
      </w:r>
      <w:r>
        <w:rPr>
          <w:color w:val="231F20"/>
          <w:spacing w:val="-7"/>
        </w:rPr>
        <w:t> </w:t>
      </w:r>
      <w:r>
        <w:rPr>
          <w:color w:val="231F20"/>
        </w:rPr>
        <w:t>in</w:t>
      </w:r>
      <w:r>
        <w:rPr>
          <w:color w:val="231F20"/>
          <w:spacing w:val="-7"/>
        </w:rPr>
        <w:t> </w:t>
      </w:r>
      <w:r>
        <w:rPr>
          <w:color w:val="231F20"/>
        </w:rPr>
        <w:t>diritto</w:t>
      </w:r>
      <w:r>
        <w:rPr>
          <w:color w:val="231F20"/>
          <w:spacing w:val="-7"/>
        </w:rPr>
        <w:t> </w:t>
      </w:r>
      <w:r>
        <w:rPr>
          <w:color w:val="231F20"/>
        </w:rPr>
        <w:t>nazionale</w:t>
      </w:r>
      <w:r>
        <w:rPr>
          <w:color w:val="231F20"/>
          <w:spacing w:val="-7"/>
        </w:rPr>
        <w:t> </w:t>
      </w:r>
      <w:r>
        <w:rPr>
          <w:color w:val="231F20"/>
        </w:rPr>
        <w:t>«dal</w:t>
      </w:r>
      <w:r>
        <w:rPr>
          <w:color w:val="231F20"/>
          <w:spacing w:val="-7"/>
        </w:rPr>
        <w:t> </w:t>
      </w:r>
      <w:r>
        <w:rPr>
          <w:color w:val="231F20"/>
        </w:rPr>
        <w:t>momento che</w:t>
      </w:r>
      <w:r>
        <w:rPr>
          <w:color w:val="231F20"/>
          <w:spacing w:val="-14"/>
        </w:rPr>
        <w:t> </w:t>
      </w:r>
      <w:r>
        <w:rPr>
          <w:color w:val="231F20"/>
        </w:rPr>
        <w:t>tale</w:t>
      </w:r>
      <w:r>
        <w:rPr>
          <w:color w:val="231F20"/>
          <w:spacing w:val="-14"/>
        </w:rPr>
        <w:t> </w:t>
      </w:r>
      <w:r>
        <w:rPr>
          <w:color w:val="231F20"/>
        </w:rPr>
        <w:t>disposizione</w:t>
      </w:r>
      <w:r>
        <w:rPr>
          <w:color w:val="231F20"/>
          <w:spacing w:val="-14"/>
        </w:rPr>
        <w:t> </w:t>
      </w:r>
      <w:r>
        <w:rPr>
          <w:color w:val="231F20"/>
        </w:rPr>
        <w:t>nazionale</w:t>
      </w:r>
      <w:r>
        <w:rPr>
          <w:color w:val="231F20"/>
          <w:spacing w:val="-14"/>
        </w:rPr>
        <w:t> </w:t>
      </w:r>
      <w:r>
        <w:rPr>
          <w:color w:val="231F20"/>
        </w:rPr>
        <w:t>(che</w:t>
      </w:r>
      <w:r>
        <w:rPr>
          <w:color w:val="231F20"/>
          <w:spacing w:val="-14"/>
        </w:rPr>
        <w:t> </w:t>
      </w:r>
      <w:r>
        <w:rPr>
          <w:color w:val="231F20"/>
        </w:rPr>
        <w:t>prevede</w:t>
      </w:r>
      <w:r>
        <w:rPr>
          <w:color w:val="231F20"/>
          <w:spacing w:val="-14"/>
        </w:rPr>
        <w:t> </w:t>
      </w:r>
      <w:r>
        <w:rPr>
          <w:color w:val="231F20"/>
        </w:rPr>
        <w:t>la</w:t>
      </w:r>
      <w:r>
        <w:rPr>
          <w:color w:val="231F20"/>
          <w:spacing w:val="-14"/>
        </w:rPr>
        <w:t> </w:t>
      </w:r>
      <w:r>
        <w:rPr>
          <w:color w:val="231F20"/>
        </w:rPr>
        <w:t>sanzione)</w:t>
      </w:r>
      <w:r>
        <w:rPr>
          <w:color w:val="231F20"/>
          <w:spacing w:val="-14"/>
        </w:rPr>
        <w:t> </w:t>
      </w:r>
      <w:r>
        <w:rPr>
          <w:color w:val="231F20"/>
        </w:rPr>
        <w:t>persegue</w:t>
      </w:r>
      <w:r>
        <w:rPr>
          <w:color w:val="231F20"/>
          <w:spacing w:val="-14"/>
        </w:rPr>
        <w:t> </w:t>
      </w:r>
      <w:r>
        <w:rPr>
          <w:color w:val="231F20"/>
        </w:rPr>
        <w:t>la</w:t>
      </w:r>
      <w:r>
        <w:rPr>
          <w:color w:val="231F20"/>
          <w:spacing w:val="-14"/>
        </w:rPr>
        <w:t> </w:t>
      </w:r>
      <w:r>
        <w:rPr>
          <w:color w:val="231F20"/>
        </w:rPr>
        <w:t>finalità di</w:t>
      </w:r>
      <w:r>
        <w:rPr>
          <w:color w:val="231F20"/>
          <w:spacing w:val="-12"/>
        </w:rPr>
        <w:t> </w:t>
      </w:r>
      <w:r>
        <w:rPr>
          <w:color w:val="231F20"/>
        </w:rPr>
        <w:t>garantire</w:t>
      </w:r>
      <w:r>
        <w:rPr>
          <w:color w:val="231F20"/>
          <w:spacing w:val="-12"/>
        </w:rPr>
        <w:t> </w:t>
      </w:r>
      <w:r>
        <w:rPr>
          <w:color w:val="231F20"/>
        </w:rPr>
        <w:t>quella</w:t>
      </w:r>
      <w:r>
        <w:rPr>
          <w:color w:val="231F20"/>
          <w:spacing w:val="-12"/>
        </w:rPr>
        <w:t> </w:t>
      </w:r>
      <w:r>
        <w:rPr>
          <w:color w:val="231F20"/>
        </w:rPr>
        <w:t>(ovvero:</w:t>
      </w:r>
      <w:r>
        <w:rPr>
          <w:color w:val="231F20"/>
          <w:spacing w:val="-12"/>
        </w:rPr>
        <w:t> </w:t>
      </w:r>
      <w:r>
        <w:rPr>
          <w:color w:val="231F20"/>
        </w:rPr>
        <w:t>la</w:t>
      </w:r>
      <w:r>
        <w:rPr>
          <w:color w:val="231F20"/>
          <w:spacing w:val="-12"/>
        </w:rPr>
        <w:t> </w:t>
      </w:r>
      <w:r>
        <w:rPr>
          <w:color w:val="231F20"/>
        </w:rPr>
        <w:t>stessa</w:t>
      </w:r>
      <w:r>
        <w:rPr>
          <w:color w:val="231F20"/>
          <w:spacing w:val="-12"/>
        </w:rPr>
        <w:t> </w:t>
      </w:r>
      <w:r>
        <w:rPr>
          <w:color w:val="231F20"/>
        </w:rPr>
        <w:t>finalità)</w:t>
      </w:r>
      <w:r>
        <w:rPr>
          <w:color w:val="231F20"/>
          <w:spacing w:val="-12"/>
        </w:rPr>
        <w:t> </w:t>
      </w:r>
      <w:r>
        <w:rPr>
          <w:color w:val="231F20"/>
        </w:rPr>
        <w:t>della</w:t>
      </w:r>
      <w:r>
        <w:rPr>
          <w:color w:val="231F20"/>
          <w:spacing w:val="-12"/>
        </w:rPr>
        <w:t> </w:t>
      </w:r>
      <w:r>
        <w:rPr>
          <w:color w:val="231F20"/>
        </w:rPr>
        <w:t>citata</w:t>
      </w:r>
      <w:r>
        <w:rPr>
          <w:color w:val="231F20"/>
          <w:spacing w:val="-12"/>
        </w:rPr>
        <w:t> </w:t>
      </w:r>
      <w:r>
        <w:rPr>
          <w:color w:val="231F20"/>
        </w:rPr>
        <w:t>direttiva</w:t>
      </w:r>
      <w:r>
        <w:rPr>
          <w:color w:val="231F20"/>
          <w:spacing w:val="-12"/>
        </w:rPr>
        <w:t> </w:t>
      </w:r>
      <w:r>
        <w:rPr>
          <w:color w:val="231F20"/>
        </w:rPr>
        <w:t>(2011/16/ UE)»</w:t>
      </w:r>
      <w:r>
        <w:rPr>
          <w:rFonts w:ascii="Times New Roman" w:hAnsi="Times New Roman"/>
          <w:color w:val="231F20"/>
          <w:position w:val="8"/>
          <w:sz w:val="14"/>
        </w:rPr>
        <w:t>70</w:t>
      </w:r>
      <w:r>
        <w:rPr>
          <w:color w:val="231F20"/>
        </w:rPr>
        <w:t>.</w:t>
      </w:r>
      <w:r>
        <w:rPr>
          <w:color w:val="231F20"/>
          <w:spacing w:val="-15"/>
        </w:rPr>
        <w:t> </w:t>
      </w:r>
      <w:r>
        <w:rPr>
          <w:color w:val="231F20"/>
        </w:rPr>
        <w:t>Dall’insieme</w:t>
      </w:r>
      <w:r>
        <w:rPr>
          <w:color w:val="231F20"/>
          <w:spacing w:val="-15"/>
        </w:rPr>
        <w:t> </w:t>
      </w:r>
      <w:r>
        <w:rPr>
          <w:color w:val="231F20"/>
        </w:rPr>
        <w:t>di</w:t>
      </w:r>
      <w:r>
        <w:rPr>
          <w:color w:val="231F20"/>
          <w:spacing w:val="-15"/>
        </w:rPr>
        <w:t> </w:t>
      </w:r>
      <w:r>
        <w:rPr>
          <w:color w:val="231F20"/>
        </w:rPr>
        <w:t>tali</w:t>
      </w:r>
      <w:r>
        <w:rPr>
          <w:color w:val="231F20"/>
          <w:spacing w:val="-15"/>
        </w:rPr>
        <w:t> </w:t>
      </w:r>
      <w:r>
        <w:rPr>
          <w:color w:val="231F20"/>
        </w:rPr>
        <w:t>considerazioni</w:t>
      </w:r>
      <w:r>
        <w:rPr>
          <w:color w:val="231F20"/>
          <w:spacing w:val="-15"/>
        </w:rPr>
        <w:t> </w:t>
      </w:r>
      <w:r>
        <w:rPr>
          <w:color w:val="231F20"/>
        </w:rPr>
        <w:t>la</w:t>
      </w:r>
      <w:r>
        <w:rPr>
          <w:color w:val="231F20"/>
          <w:spacing w:val="-15"/>
        </w:rPr>
        <w:t> </w:t>
      </w:r>
      <w:r>
        <w:rPr>
          <w:color w:val="231F20"/>
        </w:rPr>
        <w:t>Corte</w:t>
      </w:r>
      <w:r>
        <w:rPr>
          <w:color w:val="231F20"/>
          <w:spacing w:val="-15"/>
        </w:rPr>
        <w:t> </w:t>
      </w:r>
      <w:r>
        <w:rPr>
          <w:color w:val="231F20"/>
        </w:rPr>
        <w:t>ha</w:t>
      </w:r>
      <w:r>
        <w:rPr>
          <w:color w:val="231F20"/>
          <w:spacing w:val="-15"/>
        </w:rPr>
        <w:t> </w:t>
      </w:r>
      <w:r>
        <w:rPr>
          <w:color w:val="231F20"/>
        </w:rPr>
        <w:t>tratto</w:t>
      </w:r>
      <w:r>
        <w:rPr>
          <w:color w:val="231F20"/>
          <w:spacing w:val="-15"/>
        </w:rPr>
        <w:t> </w:t>
      </w:r>
      <w:r>
        <w:rPr>
          <w:color w:val="231F20"/>
        </w:rPr>
        <w:t>la</w:t>
      </w:r>
      <w:r>
        <w:rPr>
          <w:color w:val="231F20"/>
          <w:spacing w:val="-15"/>
        </w:rPr>
        <w:t> </w:t>
      </w:r>
      <w:r>
        <w:rPr>
          <w:color w:val="231F20"/>
        </w:rPr>
        <w:t>conclusione, </w:t>
      </w:r>
      <w:r>
        <w:rPr>
          <w:color w:val="231F20"/>
          <w:spacing w:val="-2"/>
        </w:rPr>
        <w:t>che</w:t>
      </w:r>
      <w:r>
        <w:rPr>
          <w:color w:val="231F20"/>
          <w:spacing w:val="-10"/>
        </w:rPr>
        <w:t> </w:t>
      </w:r>
      <w:r>
        <w:rPr>
          <w:color w:val="231F20"/>
          <w:spacing w:val="-2"/>
        </w:rPr>
        <w:t>uno</w:t>
      </w:r>
      <w:r>
        <w:rPr>
          <w:color w:val="231F20"/>
          <w:spacing w:val="-10"/>
        </w:rPr>
        <w:t> </w:t>
      </w:r>
      <w:r>
        <w:rPr>
          <w:color w:val="231F20"/>
          <w:spacing w:val="-2"/>
        </w:rPr>
        <w:t>Stato</w:t>
      </w:r>
      <w:r>
        <w:rPr>
          <w:color w:val="231F20"/>
          <w:spacing w:val="-10"/>
        </w:rPr>
        <w:t> </w:t>
      </w:r>
      <w:r>
        <w:rPr>
          <w:color w:val="231F20"/>
          <w:spacing w:val="-2"/>
        </w:rPr>
        <w:t>membro</w:t>
      </w:r>
      <w:r>
        <w:rPr>
          <w:color w:val="231F20"/>
          <w:spacing w:val="-10"/>
        </w:rPr>
        <w:t> </w:t>
      </w:r>
      <w:r>
        <w:rPr>
          <w:color w:val="231F20"/>
          <w:spacing w:val="-2"/>
        </w:rPr>
        <w:t>attua</w:t>
      </w:r>
      <w:r>
        <w:rPr>
          <w:color w:val="231F20"/>
          <w:spacing w:val="-10"/>
        </w:rPr>
        <w:t> </w:t>
      </w:r>
      <w:r>
        <w:rPr>
          <w:color w:val="231F20"/>
          <w:spacing w:val="-2"/>
        </w:rPr>
        <w:t>il</w:t>
      </w:r>
      <w:r>
        <w:rPr>
          <w:color w:val="231F20"/>
          <w:spacing w:val="-10"/>
        </w:rPr>
        <w:t> </w:t>
      </w:r>
      <w:r>
        <w:rPr>
          <w:color w:val="231F20"/>
          <w:spacing w:val="-2"/>
        </w:rPr>
        <w:t>diritto</w:t>
      </w:r>
      <w:r>
        <w:rPr>
          <w:color w:val="231F20"/>
          <w:spacing w:val="-10"/>
        </w:rPr>
        <w:t> </w:t>
      </w:r>
      <w:r>
        <w:rPr>
          <w:color w:val="231F20"/>
          <w:spacing w:val="-2"/>
        </w:rPr>
        <w:t>dell’Unione</w:t>
      </w:r>
      <w:r>
        <w:rPr>
          <w:color w:val="231F20"/>
          <w:spacing w:val="-10"/>
        </w:rPr>
        <w:t> </w:t>
      </w:r>
      <w:r>
        <w:rPr>
          <w:color w:val="231F20"/>
          <w:spacing w:val="-2"/>
        </w:rPr>
        <w:t>ai</w:t>
      </w:r>
      <w:r>
        <w:rPr>
          <w:color w:val="231F20"/>
          <w:spacing w:val="-10"/>
        </w:rPr>
        <w:t> </w:t>
      </w:r>
      <w:r>
        <w:rPr>
          <w:color w:val="231F20"/>
          <w:spacing w:val="-2"/>
        </w:rPr>
        <w:t>sensi</w:t>
      </w:r>
      <w:r>
        <w:rPr>
          <w:color w:val="231F20"/>
          <w:spacing w:val="-10"/>
        </w:rPr>
        <w:t> </w:t>
      </w:r>
      <w:r>
        <w:rPr>
          <w:color w:val="231F20"/>
          <w:spacing w:val="-2"/>
        </w:rPr>
        <w:t>dell’art.</w:t>
      </w:r>
      <w:r>
        <w:rPr>
          <w:color w:val="231F20"/>
          <w:spacing w:val="-10"/>
        </w:rPr>
        <w:t> </w:t>
      </w:r>
      <w:r>
        <w:rPr>
          <w:color w:val="231F20"/>
          <w:spacing w:val="-2"/>
        </w:rPr>
        <w:t>51,</w:t>
      </w:r>
      <w:r>
        <w:rPr>
          <w:color w:val="231F20"/>
          <w:spacing w:val="-10"/>
        </w:rPr>
        <w:t> </w:t>
      </w:r>
      <w:r>
        <w:rPr>
          <w:color w:val="231F20"/>
          <w:spacing w:val="-2"/>
        </w:rPr>
        <w:t>par.1, della</w:t>
      </w:r>
      <w:r>
        <w:rPr>
          <w:color w:val="231F20"/>
          <w:spacing w:val="-12"/>
        </w:rPr>
        <w:t> </w:t>
      </w:r>
      <w:r>
        <w:rPr>
          <w:color w:val="231F20"/>
          <w:spacing w:val="-2"/>
        </w:rPr>
        <w:t>Carta</w:t>
      </w:r>
      <w:r>
        <w:rPr>
          <w:color w:val="231F20"/>
          <w:spacing w:val="-12"/>
        </w:rPr>
        <w:t> </w:t>
      </w:r>
      <w:r>
        <w:rPr>
          <w:color w:val="231F20"/>
          <w:spacing w:val="-2"/>
        </w:rPr>
        <w:t>dei</w:t>
      </w:r>
      <w:r>
        <w:rPr>
          <w:color w:val="231F20"/>
          <w:spacing w:val="-12"/>
        </w:rPr>
        <w:t> </w:t>
      </w:r>
      <w:r>
        <w:rPr>
          <w:color w:val="231F20"/>
          <w:spacing w:val="-2"/>
        </w:rPr>
        <w:t>diritti</w:t>
      </w:r>
      <w:r>
        <w:rPr>
          <w:color w:val="231F20"/>
          <w:spacing w:val="-12"/>
        </w:rPr>
        <w:t> </w:t>
      </w:r>
      <w:r>
        <w:rPr>
          <w:color w:val="231F20"/>
          <w:spacing w:val="-2"/>
        </w:rPr>
        <w:t>fondamentali</w:t>
      </w:r>
      <w:r>
        <w:rPr>
          <w:color w:val="231F20"/>
          <w:spacing w:val="-12"/>
        </w:rPr>
        <w:t> </w:t>
      </w:r>
      <w:r>
        <w:rPr>
          <w:color w:val="231F20"/>
          <w:spacing w:val="-2"/>
        </w:rPr>
        <w:t>e</w:t>
      </w:r>
      <w:r>
        <w:rPr>
          <w:color w:val="231F20"/>
          <w:spacing w:val="-12"/>
        </w:rPr>
        <w:t> </w:t>
      </w:r>
      <w:r>
        <w:rPr>
          <w:color w:val="231F20"/>
          <w:spacing w:val="-2"/>
        </w:rPr>
        <w:t>che</w:t>
      </w:r>
      <w:r>
        <w:rPr>
          <w:color w:val="231F20"/>
          <w:spacing w:val="-12"/>
        </w:rPr>
        <w:t> </w:t>
      </w:r>
      <w:r>
        <w:rPr>
          <w:color w:val="231F20"/>
          <w:spacing w:val="-2"/>
        </w:rPr>
        <w:t>di</w:t>
      </w:r>
      <w:r>
        <w:rPr>
          <w:color w:val="231F20"/>
          <w:spacing w:val="-12"/>
        </w:rPr>
        <w:t> </w:t>
      </w:r>
      <w:r>
        <w:rPr>
          <w:color w:val="231F20"/>
          <w:spacing w:val="-2"/>
        </w:rPr>
        <w:t>conseguenza</w:t>
      </w:r>
      <w:r>
        <w:rPr>
          <w:color w:val="231F20"/>
          <w:spacing w:val="-12"/>
        </w:rPr>
        <w:t> </w:t>
      </w:r>
      <w:r>
        <w:rPr>
          <w:color w:val="231F20"/>
          <w:spacing w:val="-2"/>
        </w:rPr>
        <w:t>la</w:t>
      </w:r>
      <w:r>
        <w:rPr>
          <w:color w:val="231F20"/>
          <w:spacing w:val="-12"/>
        </w:rPr>
        <w:t> </w:t>
      </w:r>
      <w:r>
        <w:rPr>
          <w:color w:val="231F20"/>
          <w:spacing w:val="-2"/>
        </w:rPr>
        <w:t>Carta</w:t>
      </w:r>
      <w:r>
        <w:rPr>
          <w:color w:val="231F20"/>
          <w:spacing w:val="-12"/>
        </w:rPr>
        <w:t> </w:t>
      </w:r>
      <w:r>
        <w:rPr>
          <w:color w:val="231F20"/>
          <w:spacing w:val="-2"/>
        </w:rPr>
        <w:t>stessa</w:t>
      </w:r>
      <w:r>
        <w:rPr>
          <w:color w:val="231F20"/>
          <w:spacing w:val="-12"/>
        </w:rPr>
        <w:t> </w:t>
      </w:r>
      <w:r>
        <w:rPr>
          <w:color w:val="231F20"/>
          <w:spacing w:val="-2"/>
        </w:rPr>
        <w:t>risul- </w:t>
      </w:r>
      <w:r>
        <w:rPr>
          <w:color w:val="231F20"/>
        </w:rPr>
        <w:t>ta</w:t>
      </w:r>
      <w:r>
        <w:rPr>
          <w:color w:val="231F20"/>
          <w:spacing w:val="-12"/>
        </w:rPr>
        <w:t> </w:t>
      </w:r>
      <w:r>
        <w:rPr>
          <w:color w:val="231F20"/>
        </w:rPr>
        <w:t>applicabile</w:t>
      </w:r>
      <w:r>
        <w:rPr>
          <w:color w:val="231F20"/>
          <w:spacing w:val="-12"/>
        </w:rPr>
        <w:t> </w:t>
      </w:r>
      <w:r>
        <w:rPr>
          <w:color w:val="231F20"/>
        </w:rPr>
        <w:t>nel</w:t>
      </w:r>
      <w:r>
        <w:rPr>
          <w:color w:val="231F20"/>
          <w:spacing w:val="-12"/>
        </w:rPr>
        <w:t> </w:t>
      </w:r>
      <w:r>
        <w:rPr>
          <w:color w:val="231F20"/>
        </w:rPr>
        <w:t>suo</w:t>
      </w:r>
      <w:r>
        <w:rPr>
          <w:color w:val="231F20"/>
          <w:spacing w:val="-12"/>
        </w:rPr>
        <w:t> </w:t>
      </w:r>
      <w:r>
        <w:rPr>
          <w:color w:val="231F20"/>
        </w:rPr>
        <w:t>complesso,</w:t>
      </w:r>
      <w:r>
        <w:rPr>
          <w:color w:val="231F20"/>
          <w:spacing w:val="-12"/>
        </w:rPr>
        <w:t> </w:t>
      </w:r>
      <w:r>
        <w:rPr>
          <w:color w:val="231F20"/>
        </w:rPr>
        <w:t>quando</w:t>
      </w:r>
      <w:r>
        <w:rPr>
          <w:color w:val="231F20"/>
          <w:spacing w:val="-12"/>
        </w:rPr>
        <w:t> </w:t>
      </w:r>
      <w:r>
        <w:rPr>
          <w:color w:val="231F20"/>
        </w:rPr>
        <w:t>un</w:t>
      </w:r>
      <w:r>
        <w:rPr>
          <w:color w:val="231F20"/>
          <w:spacing w:val="-12"/>
        </w:rPr>
        <w:t> </w:t>
      </w:r>
      <w:r>
        <w:rPr>
          <w:color w:val="231F20"/>
        </w:rPr>
        <w:t>legislatore</w:t>
      </w:r>
      <w:r>
        <w:rPr>
          <w:color w:val="231F20"/>
          <w:spacing w:val="-12"/>
        </w:rPr>
        <w:t> </w:t>
      </w:r>
      <w:r>
        <w:rPr>
          <w:color w:val="231F20"/>
        </w:rPr>
        <w:t>nazionale</w:t>
      </w:r>
      <w:r>
        <w:rPr>
          <w:color w:val="231F20"/>
          <w:spacing w:val="-12"/>
        </w:rPr>
        <w:t> </w:t>
      </w:r>
      <w:r>
        <w:rPr>
          <w:color w:val="231F20"/>
        </w:rPr>
        <w:t>commina una</w:t>
      </w:r>
      <w:r>
        <w:rPr>
          <w:color w:val="231F20"/>
          <w:spacing w:val="-17"/>
        </w:rPr>
        <w:t> </w:t>
      </w:r>
      <w:r>
        <w:rPr>
          <w:color w:val="231F20"/>
        </w:rPr>
        <w:t>sanzione</w:t>
      </w:r>
      <w:r>
        <w:rPr>
          <w:color w:val="231F20"/>
          <w:spacing w:val="-15"/>
        </w:rPr>
        <w:t> </w:t>
      </w:r>
      <w:r>
        <w:rPr>
          <w:color w:val="231F20"/>
        </w:rPr>
        <w:t>pecuniaria</w:t>
      </w:r>
      <w:r>
        <w:rPr>
          <w:color w:val="231F20"/>
          <w:spacing w:val="-15"/>
        </w:rPr>
        <w:t> </w:t>
      </w:r>
      <w:r>
        <w:rPr>
          <w:color w:val="231F20"/>
        </w:rPr>
        <w:t>a</w:t>
      </w:r>
      <w:r>
        <w:rPr>
          <w:color w:val="231F20"/>
          <w:spacing w:val="-15"/>
        </w:rPr>
        <w:t> </w:t>
      </w:r>
      <w:r>
        <w:rPr>
          <w:color w:val="231F20"/>
        </w:rPr>
        <w:t>carico</w:t>
      </w:r>
      <w:r>
        <w:rPr>
          <w:color w:val="231F20"/>
          <w:spacing w:val="-15"/>
        </w:rPr>
        <w:t> </w:t>
      </w:r>
      <w:r>
        <w:rPr>
          <w:color w:val="231F20"/>
        </w:rPr>
        <w:t>di</w:t>
      </w:r>
      <w:r>
        <w:rPr>
          <w:color w:val="231F20"/>
          <w:spacing w:val="-15"/>
        </w:rPr>
        <w:t> </w:t>
      </w:r>
      <w:r>
        <w:rPr>
          <w:color w:val="231F20"/>
        </w:rPr>
        <w:t>un</w:t>
      </w:r>
      <w:r>
        <w:rPr>
          <w:color w:val="231F20"/>
          <w:spacing w:val="-15"/>
        </w:rPr>
        <w:t> </w:t>
      </w:r>
      <w:r>
        <w:rPr>
          <w:color w:val="231F20"/>
        </w:rPr>
        <w:t>soggetto</w:t>
      </w:r>
      <w:r>
        <w:rPr>
          <w:color w:val="231F20"/>
          <w:spacing w:val="-15"/>
        </w:rPr>
        <w:t> </w:t>
      </w:r>
      <w:r>
        <w:rPr>
          <w:color w:val="231F20"/>
        </w:rPr>
        <w:t>che</w:t>
      </w:r>
      <w:r>
        <w:rPr>
          <w:color w:val="231F20"/>
          <w:spacing w:val="-15"/>
        </w:rPr>
        <w:t> </w:t>
      </w:r>
      <w:r>
        <w:rPr>
          <w:color w:val="231F20"/>
        </w:rPr>
        <w:t>si</w:t>
      </w:r>
      <w:r>
        <w:rPr>
          <w:color w:val="231F20"/>
          <w:spacing w:val="-15"/>
        </w:rPr>
        <w:t> </w:t>
      </w:r>
      <w:r>
        <w:rPr>
          <w:color w:val="231F20"/>
        </w:rPr>
        <w:t>rifiuta</w:t>
      </w:r>
      <w:r>
        <w:rPr>
          <w:color w:val="231F20"/>
          <w:spacing w:val="-15"/>
        </w:rPr>
        <w:t> </w:t>
      </w:r>
      <w:r>
        <w:rPr>
          <w:color w:val="231F20"/>
        </w:rPr>
        <w:t>di</w:t>
      </w:r>
      <w:r>
        <w:rPr>
          <w:color w:val="231F20"/>
          <w:spacing w:val="-15"/>
        </w:rPr>
        <w:t> </w:t>
      </w:r>
      <w:r>
        <w:rPr>
          <w:color w:val="231F20"/>
        </w:rPr>
        <w:t>fornire</w:t>
      </w:r>
      <w:r>
        <w:rPr>
          <w:color w:val="231F20"/>
          <w:spacing w:val="-15"/>
        </w:rPr>
        <w:t> </w:t>
      </w:r>
      <w:r>
        <w:rPr>
          <w:color w:val="231F20"/>
        </w:rPr>
        <w:t>dati</w:t>
      </w:r>
      <w:r>
        <w:rPr>
          <w:color w:val="231F20"/>
          <w:spacing w:val="-15"/>
        </w:rPr>
        <w:t> </w:t>
      </w:r>
      <w:r>
        <w:rPr>
          <w:color w:val="231F20"/>
        </w:rPr>
        <w:t>e </w:t>
      </w:r>
      <w:r>
        <w:rPr>
          <w:color w:val="231F20"/>
          <w:spacing w:val="-2"/>
        </w:rPr>
        <w:t>documenti</w:t>
      </w:r>
      <w:r>
        <w:rPr>
          <w:color w:val="231F20"/>
          <w:spacing w:val="-11"/>
        </w:rPr>
        <w:t> </w:t>
      </w:r>
      <w:r>
        <w:rPr>
          <w:color w:val="231F20"/>
          <w:spacing w:val="-2"/>
        </w:rPr>
        <w:t>nel</w:t>
      </w:r>
      <w:r>
        <w:rPr>
          <w:color w:val="231F20"/>
          <w:spacing w:val="-11"/>
        </w:rPr>
        <w:t> </w:t>
      </w:r>
      <w:r>
        <w:rPr>
          <w:color w:val="231F20"/>
          <w:spacing w:val="-2"/>
        </w:rPr>
        <w:t>contesto</w:t>
      </w:r>
      <w:r>
        <w:rPr>
          <w:color w:val="231F20"/>
          <w:spacing w:val="-11"/>
        </w:rPr>
        <w:t> </w:t>
      </w:r>
      <w:r>
        <w:rPr>
          <w:color w:val="231F20"/>
          <w:spacing w:val="-2"/>
        </w:rPr>
        <w:t>di</w:t>
      </w:r>
      <w:r>
        <w:rPr>
          <w:color w:val="231F20"/>
          <w:spacing w:val="-11"/>
        </w:rPr>
        <w:t> </w:t>
      </w:r>
      <w:r>
        <w:rPr>
          <w:color w:val="231F20"/>
          <w:spacing w:val="-2"/>
        </w:rPr>
        <w:t>una</w:t>
      </w:r>
      <w:r>
        <w:rPr>
          <w:color w:val="231F20"/>
          <w:spacing w:val="-11"/>
        </w:rPr>
        <w:t> </w:t>
      </w:r>
      <w:r>
        <w:rPr>
          <w:color w:val="231F20"/>
          <w:spacing w:val="-2"/>
        </w:rPr>
        <w:t>richiesta</w:t>
      </w:r>
      <w:r>
        <w:rPr>
          <w:color w:val="231F20"/>
          <w:spacing w:val="-11"/>
        </w:rPr>
        <w:t> </w:t>
      </w:r>
      <w:r>
        <w:rPr>
          <w:color w:val="231F20"/>
          <w:spacing w:val="-2"/>
        </w:rPr>
        <w:t>di</w:t>
      </w:r>
      <w:r>
        <w:rPr>
          <w:color w:val="231F20"/>
          <w:spacing w:val="-11"/>
        </w:rPr>
        <w:t> </w:t>
      </w:r>
      <w:r>
        <w:rPr>
          <w:color w:val="231F20"/>
          <w:spacing w:val="-2"/>
        </w:rPr>
        <w:t>informazioni</w:t>
      </w:r>
      <w:r>
        <w:rPr>
          <w:color w:val="231F20"/>
          <w:spacing w:val="-11"/>
        </w:rPr>
        <w:t> </w:t>
      </w:r>
      <w:r>
        <w:rPr>
          <w:color w:val="231F20"/>
          <w:spacing w:val="-2"/>
        </w:rPr>
        <w:t>rivolta</w:t>
      </w:r>
      <w:r>
        <w:rPr>
          <w:color w:val="231F20"/>
          <w:spacing w:val="-11"/>
        </w:rPr>
        <w:t> </w:t>
      </w:r>
      <w:r>
        <w:rPr>
          <w:color w:val="231F20"/>
          <w:spacing w:val="-2"/>
        </w:rPr>
        <w:t>da</w:t>
      </w:r>
      <w:r>
        <w:rPr>
          <w:color w:val="231F20"/>
          <w:spacing w:val="-11"/>
        </w:rPr>
        <w:t> </w:t>
      </w:r>
      <w:r>
        <w:rPr>
          <w:color w:val="231F20"/>
          <w:spacing w:val="-2"/>
        </w:rPr>
        <w:t>un’ammi- nistrazione</w:t>
      </w:r>
      <w:r>
        <w:rPr>
          <w:color w:val="231F20"/>
          <w:spacing w:val="-5"/>
        </w:rPr>
        <w:t> </w:t>
      </w:r>
      <w:r>
        <w:rPr>
          <w:color w:val="231F20"/>
          <w:spacing w:val="-2"/>
        </w:rPr>
        <w:t>finanziaria</w:t>
      </w:r>
      <w:r>
        <w:rPr>
          <w:color w:val="231F20"/>
          <w:spacing w:val="-5"/>
        </w:rPr>
        <w:t> </w:t>
      </w:r>
      <w:r>
        <w:rPr>
          <w:color w:val="231F20"/>
          <w:spacing w:val="-2"/>
        </w:rPr>
        <w:t>di</w:t>
      </w:r>
      <w:r>
        <w:rPr>
          <w:color w:val="231F20"/>
          <w:spacing w:val="-5"/>
        </w:rPr>
        <w:t> </w:t>
      </w:r>
      <w:r>
        <w:rPr>
          <w:color w:val="231F20"/>
          <w:spacing w:val="-2"/>
        </w:rPr>
        <w:t>uno</w:t>
      </w:r>
      <w:r>
        <w:rPr>
          <w:color w:val="231F20"/>
          <w:spacing w:val="-5"/>
        </w:rPr>
        <w:t> </w:t>
      </w:r>
      <w:r>
        <w:rPr>
          <w:color w:val="231F20"/>
          <w:spacing w:val="-2"/>
        </w:rPr>
        <w:t>Stato</w:t>
      </w:r>
      <w:r>
        <w:rPr>
          <w:color w:val="231F20"/>
          <w:spacing w:val="-5"/>
        </w:rPr>
        <w:t> </w:t>
      </w:r>
      <w:r>
        <w:rPr>
          <w:color w:val="231F20"/>
          <w:spacing w:val="-2"/>
        </w:rPr>
        <w:t>membro</w:t>
      </w:r>
      <w:r>
        <w:rPr>
          <w:color w:val="231F20"/>
          <w:spacing w:val="-5"/>
        </w:rPr>
        <w:t> </w:t>
      </w:r>
      <w:r>
        <w:rPr>
          <w:color w:val="231F20"/>
          <w:spacing w:val="-2"/>
        </w:rPr>
        <w:t>all’amministrazione</w:t>
      </w:r>
      <w:r>
        <w:rPr>
          <w:color w:val="231F20"/>
          <w:spacing w:val="-5"/>
        </w:rPr>
        <w:t> </w:t>
      </w:r>
      <w:r>
        <w:rPr>
          <w:color w:val="231F20"/>
          <w:spacing w:val="-2"/>
        </w:rPr>
        <w:t>di</w:t>
      </w:r>
      <w:r>
        <w:rPr>
          <w:color w:val="231F20"/>
          <w:spacing w:val="-5"/>
        </w:rPr>
        <w:t> </w:t>
      </w:r>
      <w:r>
        <w:rPr>
          <w:color w:val="231F20"/>
          <w:spacing w:val="-2"/>
        </w:rPr>
        <w:t>un</w:t>
      </w:r>
      <w:r>
        <w:rPr>
          <w:color w:val="231F20"/>
          <w:spacing w:val="-5"/>
        </w:rPr>
        <w:t> </w:t>
      </w:r>
      <w:r>
        <w:rPr>
          <w:color w:val="231F20"/>
          <w:spacing w:val="-2"/>
        </w:rPr>
        <w:t>altro </w:t>
      </w:r>
      <w:r>
        <w:rPr>
          <w:color w:val="231F20"/>
        </w:rPr>
        <w:t>Stato</w:t>
      </w:r>
      <w:r>
        <w:rPr>
          <w:color w:val="231F20"/>
          <w:spacing w:val="-7"/>
        </w:rPr>
        <w:t> </w:t>
      </w:r>
      <w:r>
        <w:rPr>
          <w:color w:val="231F20"/>
        </w:rPr>
        <w:t>membro</w:t>
      </w:r>
      <w:r>
        <w:rPr>
          <w:color w:val="231F20"/>
          <w:spacing w:val="-7"/>
        </w:rPr>
        <w:t> </w:t>
      </w:r>
      <w:r>
        <w:rPr>
          <w:color w:val="231F20"/>
        </w:rPr>
        <w:t>sulla</w:t>
      </w:r>
      <w:r>
        <w:rPr>
          <w:color w:val="231F20"/>
          <w:spacing w:val="-7"/>
        </w:rPr>
        <w:t> </w:t>
      </w:r>
      <w:r>
        <w:rPr>
          <w:color w:val="231F20"/>
        </w:rPr>
        <w:t>base</w:t>
      </w:r>
      <w:r>
        <w:rPr>
          <w:color w:val="231F20"/>
          <w:spacing w:val="-7"/>
        </w:rPr>
        <w:t> </w:t>
      </w:r>
      <w:r>
        <w:rPr>
          <w:color w:val="231F20"/>
        </w:rPr>
        <w:t>delle</w:t>
      </w:r>
      <w:r>
        <w:rPr>
          <w:color w:val="231F20"/>
          <w:spacing w:val="-7"/>
        </w:rPr>
        <w:t> </w:t>
      </w:r>
      <w:r>
        <w:rPr>
          <w:color w:val="231F20"/>
        </w:rPr>
        <w:t>disposizioni</w:t>
      </w:r>
      <w:r>
        <w:rPr>
          <w:color w:val="231F20"/>
          <w:spacing w:val="-7"/>
        </w:rPr>
        <w:t> </w:t>
      </w:r>
      <w:r>
        <w:rPr>
          <w:color w:val="231F20"/>
        </w:rPr>
        <w:t>della</w:t>
      </w:r>
      <w:r>
        <w:rPr>
          <w:color w:val="231F20"/>
          <w:spacing w:val="-7"/>
        </w:rPr>
        <w:t> </w:t>
      </w:r>
      <w:r>
        <w:rPr>
          <w:color w:val="231F20"/>
        </w:rPr>
        <w:t>direttiva</w:t>
      </w:r>
      <w:r>
        <w:rPr>
          <w:color w:val="231F20"/>
          <w:spacing w:val="-7"/>
        </w:rPr>
        <w:t> </w:t>
      </w:r>
      <w:r>
        <w:rPr>
          <w:color w:val="231F20"/>
        </w:rPr>
        <w:t>2011/16/UE.</w:t>
      </w:r>
    </w:p>
    <w:p>
      <w:pPr>
        <w:pStyle w:val="BodyText"/>
        <w:spacing w:before="59"/>
      </w:pPr>
    </w:p>
    <w:p>
      <w:pPr>
        <w:pStyle w:val="ListParagraph"/>
        <w:numPr>
          <w:ilvl w:val="2"/>
          <w:numId w:val="4"/>
        </w:numPr>
        <w:tabs>
          <w:tab w:pos="700" w:val="left" w:leader="none"/>
        </w:tabs>
        <w:spacing w:line="230" w:lineRule="auto" w:before="0" w:after="0"/>
        <w:ind w:left="100" w:right="189" w:firstLine="0"/>
        <w:jc w:val="left"/>
        <w:rPr>
          <w:i/>
          <w:sz w:val="24"/>
        </w:rPr>
      </w:pPr>
      <w:r>
        <w:rPr>
          <w:i/>
          <w:color w:val="231F20"/>
          <w:sz w:val="24"/>
        </w:rPr>
        <w:t>L’art.</w:t>
      </w:r>
      <w:r>
        <w:rPr>
          <w:i/>
          <w:color w:val="231F20"/>
          <w:spacing w:val="-8"/>
          <w:sz w:val="24"/>
        </w:rPr>
        <w:t> </w:t>
      </w:r>
      <w:r>
        <w:rPr>
          <w:i/>
          <w:color w:val="231F20"/>
          <w:sz w:val="24"/>
        </w:rPr>
        <w:t>47</w:t>
      </w:r>
      <w:r>
        <w:rPr>
          <w:i/>
          <w:color w:val="231F20"/>
          <w:spacing w:val="-8"/>
          <w:sz w:val="24"/>
        </w:rPr>
        <w:t> </w:t>
      </w:r>
      <w:r>
        <w:rPr>
          <w:i/>
          <w:color w:val="231F20"/>
          <w:sz w:val="24"/>
        </w:rPr>
        <w:t>della</w:t>
      </w:r>
      <w:r>
        <w:rPr>
          <w:i/>
          <w:color w:val="231F20"/>
          <w:spacing w:val="-8"/>
          <w:sz w:val="24"/>
        </w:rPr>
        <w:t> </w:t>
      </w:r>
      <w:r>
        <w:rPr>
          <w:i/>
          <w:color w:val="231F20"/>
          <w:sz w:val="24"/>
        </w:rPr>
        <w:t>Carta</w:t>
      </w:r>
      <w:r>
        <w:rPr>
          <w:i/>
          <w:color w:val="231F20"/>
          <w:spacing w:val="-8"/>
          <w:sz w:val="24"/>
        </w:rPr>
        <w:t> </w:t>
      </w:r>
      <w:r>
        <w:rPr>
          <w:i/>
          <w:color w:val="231F20"/>
          <w:sz w:val="24"/>
        </w:rPr>
        <w:t>conferisce</w:t>
      </w:r>
      <w:r>
        <w:rPr>
          <w:i/>
          <w:color w:val="231F20"/>
          <w:spacing w:val="-8"/>
          <w:sz w:val="24"/>
        </w:rPr>
        <w:t> </w:t>
      </w:r>
      <w:r>
        <w:rPr>
          <w:i/>
          <w:color w:val="231F20"/>
          <w:sz w:val="24"/>
        </w:rPr>
        <w:t>al</w:t>
      </w:r>
      <w:r>
        <w:rPr>
          <w:i/>
          <w:color w:val="231F20"/>
          <w:spacing w:val="-8"/>
          <w:sz w:val="24"/>
        </w:rPr>
        <w:t> </w:t>
      </w:r>
      <w:r>
        <w:rPr>
          <w:i/>
          <w:color w:val="231F20"/>
          <w:sz w:val="24"/>
        </w:rPr>
        <w:t>soggetto</w:t>
      </w:r>
      <w:r>
        <w:rPr>
          <w:i/>
          <w:color w:val="231F20"/>
          <w:spacing w:val="-8"/>
          <w:sz w:val="24"/>
        </w:rPr>
        <w:t> </w:t>
      </w:r>
      <w:r>
        <w:rPr>
          <w:i/>
          <w:color w:val="231F20"/>
          <w:sz w:val="24"/>
        </w:rPr>
        <w:t>detentore</w:t>
      </w:r>
      <w:r>
        <w:rPr>
          <w:i/>
          <w:color w:val="231F20"/>
          <w:spacing w:val="-8"/>
          <w:sz w:val="24"/>
        </w:rPr>
        <w:t> </w:t>
      </w:r>
      <w:r>
        <w:rPr>
          <w:i/>
          <w:color w:val="231F20"/>
          <w:sz w:val="24"/>
        </w:rPr>
        <w:t>delle</w:t>
      </w:r>
      <w:r>
        <w:rPr>
          <w:i/>
          <w:color w:val="231F20"/>
          <w:spacing w:val="-8"/>
          <w:sz w:val="24"/>
        </w:rPr>
        <w:t> </w:t>
      </w:r>
      <w:r>
        <w:rPr>
          <w:i/>
          <w:color w:val="231F20"/>
          <w:sz w:val="24"/>
        </w:rPr>
        <w:t>informazioni,</w:t>
      </w:r>
      <w:r>
        <w:rPr>
          <w:i/>
          <w:color w:val="231F20"/>
          <w:sz w:val="24"/>
        </w:rPr>
        <w:t> il diritto di impugnare la decisione di ingiunzione dell’autorità interpellata</w:t>
      </w:r>
    </w:p>
    <w:p>
      <w:pPr>
        <w:pStyle w:val="BodyText"/>
        <w:spacing w:line="225" w:lineRule="auto" w:before="172"/>
        <w:ind w:left="100" w:right="174"/>
        <w:jc w:val="both"/>
      </w:pPr>
      <w:r>
        <w:rPr>
          <w:color w:val="231F20"/>
        </w:rPr>
        <w:t>Partendo</w:t>
      </w:r>
      <w:r>
        <w:rPr>
          <w:color w:val="231F20"/>
          <w:spacing w:val="-2"/>
        </w:rPr>
        <w:t> </w:t>
      </w:r>
      <w:r>
        <w:rPr>
          <w:color w:val="231F20"/>
        </w:rPr>
        <w:t>dall’affermazione</w:t>
      </w:r>
      <w:r>
        <w:rPr>
          <w:color w:val="231F20"/>
          <w:spacing w:val="-2"/>
        </w:rPr>
        <w:t> </w:t>
      </w:r>
      <w:r>
        <w:rPr>
          <w:color w:val="231F20"/>
        </w:rPr>
        <w:t>della</w:t>
      </w:r>
      <w:r>
        <w:rPr>
          <w:color w:val="231F20"/>
          <w:spacing w:val="-2"/>
        </w:rPr>
        <w:t> </w:t>
      </w:r>
      <w:r>
        <w:rPr>
          <w:color w:val="231F20"/>
        </w:rPr>
        <w:t>piena</w:t>
      </w:r>
      <w:r>
        <w:rPr>
          <w:color w:val="231F20"/>
          <w:spacing w:val="-2"/>
        </w:rPr>
        <w:t> </w:t>
      </w:r>
      <w:r>
        <w:rPr>
          <w:color w:val="231F20"/>
        </w:rPr>
        <w:t>applicabilità</w:t>
      </w:r>
      <w:r>
        <w:rPr>
          <w:color w:val="231F20"/>
          <w:spacing w:val="-2"/>
        </w:rPr>
        <w:t> </w:t>
      </w:r>
      <w:r>
        <w:rPr>
          <w:color w:val="231F20"/>
        </w:rPr>
        <w:t>di</w:t>
      </w:r>
      <w:r>
        <w:rPr>
          <w:color w:val="231F20"/>
          <w:spacing w:val="-2"/>
        </w:rPr>
        <w:t> </w:t>
      </w:r>
      <w:r>
        <w:rPr>
          <w:color w:val="231F20"/>
        </w:rPr>
        <w:t>tutte</w:t>
      </w:r>
      <w:r>
        <w:rPr>
          <w:color w:val="231F20"/>
          <w:spacing w:val="-2"/>
        </w:rPr>
        <w:t> </w:t>
      </w:r>
      <w:r>
        <w:rPr>
          <w:color w:val="231F20"/>
        </w:rPr>
        <w:t>le</w:t>
      </w:r>
      <w:r>
        <w:rPr>
          <w:color w:val="231F20"/>
          <w:spacing w:val="-2"/>
        </w:rPr>
        <w:t> </w:t>
      </w:r>
      <w:r>
        <w:rPr>
          <w:color w:val="231F20"/>
        </w:rPr>
        <w:t>norme</w:t>
      </w:r>
      <w:r>
        <w:rPr>
          <w:color w:val="231F20"/>
          <w:spacing w:val="-2"/>
        </w:rPr>
        <w:t> </w:t>
      </w:r>
      <w:r>
        <w:rPr>
          <w:color w:val="231F20"/>
        </w:rPr>
        <w:t>della Carta</w:t>
      </w:r>
      <w:r>
        <w:rPr>
          <w:color w:val="231F20"/>
          <w:spacing w:val="-8"/>
        </w:rPr>
        <w:t> </w:t>
      </w:r>
      <w:r>
        <w:rPr>
          <w:color w:val="231F20"/>
        </w:rPr>
        <w:t>dei</w:t>
      </w:r>
      <w:r>
        <w:rPr>
          <w:color w:val="231F20"/>
          <w:spacing w:val="-8"/>
        </w:rPr>
        <w:t> </w:t>
      </w:r>
      <w:r>
        <w:rPr>
          <w:color w:val="231F20"/>
        </w:rPr>
        <w:t>diritti</w:t>
      </w:r>
      <w:r>
        <w:rPr>
          <w:color w:val="231F20"/>
          <w:spacing w:val="-8"/>
        </w:rPr>
        <w:t> </w:t>
      </w:r>
      <w:r>
        <w:rPr>
          <w:color w:val="231F20"/>
        </w:rPr>
        <w:t>fondamentali</w:t>
      </w:r>
      <w:r>
        <w:rPr>
          <w:color w:val="231F20"/>
          <w:spacing w:val="-8"/>
        </w:rPr>
        <w:t> </w:t>
      </w:r>
      <w:r>
        <w:rPr>
          <w:color w:val="231F20"/>
        </w:rPr>
        <w:t>all’insieme</w:t>
      </w:r>
      <w:r>
        <w:rPr>
          <w:color w:val="231F20"/>
          <w:spacing w:val="-8"/>
        </w:rPr>
        <w:t> </w:t>
      </w:r>
      <w:r>
        <w:rPr>
          <w:color w:val="231F20"/>
        </w:rPr>
        <w:t>della</w:t>
      </w:r>
      <w:r>
        <w:rPr>
          <w:color w:val="231F20"/>
          <w:spacing w:val="-8"/>
        </w:rPr>
        <w:t> </w:t>
      </w:r>
      <w:r>
        <w:rPr>
          <w:color w:val="231F20"/>
        </w:rPr>
        <w:t>legislazione</w:t>
      </w:r>
      <w:r>
        <w:rPr>
          <w:color w:val="231F20"/>
          <w:spacing w:val="-8"/>
        </w:rPr>
        <w:t> </w:t>
      </w:r>
      <w:r>
        <w:rPr>
          <w:color w:val="231F20"/>
        </w:rPr>
        <w:t>che</w:t>
      </w:r>
      <w:r>
        <w:rPr>
          <w:color w:val="231F20"/>
          <w:spacing w:val="-8"/>
        </w:rPr>
        <w:t> </w:t>
      </w:r>
      <w:r>
        <w:rPr>
          <w:color w:val="231F20"/>
        </w:rPr>
        <w:t>in</w:t>
      </w:r>
      <w:r>
        <w:rPr>
          <w:color w:val="231F20"/>
          <w:spacing w:val="-8"/>
        </w:rPr>
        <w:t> </w:t>
      </w:r>
      <w:r>
        <w:rPr>
          <w:color w:val="231F20"/>
        </w:rPr>
        <w:t>ogni</w:t>
      </w:r>
      <w:r>
        <w:rPr>
          <w:color w:val="231F20"/>
          <w:spacing w:val="-8"/>
        </w:rPr>
        <w:t> </w:t>
      </w:r>
      <w:r>
        <w:rPr>
          <w:color w:val="231F20"/>
        </w:rPr>
        <w:t>Sta- to</w:t>
      </w:r>
      <w:r>
        <w:rPr>
          <w:color w:val="231F20"/>
          <w:spacing w:val="-6"/>
        </w:rPr>
        <w:t> </w:t>
      </w:r>
      <w:r>
        <w:rPr>
          <w:color w:val="231F20"/>
        </w:rPr>
        <w:t>membro</w:t>
      </w:r>
      <w:r>
        <w:rPr>
          <w:color w:val="231F20"/>
          <w:spacing w:val="-6"/>
        </w:rPr>
        <w:t> </w:t>
      </w:r>
      <w:r>
        <w:rPr>
          <w:color w:val="231F20"/>
        </w:rPr>
        <w:t>regola</w:t>
      </w:r>
      <w:r>
        <w:rPr>
          <w:color w:val="231F20"/>
          <w:spacing w:val="-6"/>
        </w:rPr>
        <w:t> </w:t>
      </w:r>
      <w:r>
        <w:rPr>
          <w:color w:val="231F20"/>
        </w:rPr>
        <w:t>«le</w:t>
      </w:r>
      <w:r>
        <w:rPr>
          <w:color w:val="231F20"/>
          <w:spacing w:val="-6"/>
        </w:rPr>
        <w:t> </w:t>
      </w:r>
      <w:r>
        <w:rPr>
          <w:color w:val="231F20"/>
        </w:rPr>
        <w:t>modalità</w:t>
      </w:r>
      <w:r>
        <w:rPr>
          <w:color w:val="231F20"/>
          <w:spacing w:val="-6"/>
        </w:rPr>
        <w:t> </w:t>
      </w:r>
      <w:r>
        <w:rPr>
          <w:color w:val="231F20"/>
        </w:rPr>
        <w:t>della</w:t>
      </w:r>
      <w:r>
        <w:rPr>
          <w:color w:val="231F20"/>
          <w:spacing w:val="-6"/>
        </w:rPr>
        <w:t> </w:t>
      </w:r>
      <w:r>
        <w:rPr>
          <w:color w:val="231F20"/>
        </w:rPr>
        <w:t>procedura</w:t>
      </w:r>
      <w:r>
        <w:rPr>
          <w:color w:val="231F20"/>
          <w:spacing w:val="-6"/>
        </w:rPr>
        <w:t> </w:t>
      </w:r>
      <w:r>
        <w:rPr>
          <w:color w:val="231F20"/>
        </w:rPr>
        <w:t>di</w:t>
      </w:r>
      <w:r>
        <w:rPr>
          <w:color w:val="231F20"/>
          <w:spacing w:val="-6"/>
        </w:rPr>
        <w:t> </w:t>
      </w:r>
      <w:r>
        <w:rPr>
          <w:color w:val="231F20"/>
        </w:rPr>
        <w:t>scambio</w:t>
      </w:r>
      <w:r>
        <w:rPr>
          <w:color w:val="231F20"/>
          <w:spacing w:val="-6"/>
        </w:rPr>
        <w:t> </w:t>
      </w:r>
      <w:r>
        <w:rPr>
          <w:color w:val="231F20"/>
        </w:rPr>
        <w:t>di</w:t>
      </w:r>
      <w:r>
        <w:rPr>
          <w:color w:val="231F20"/>
          <w:spacing w:val="-6"/>
        </w:rPr>
        <w:t> </w:t>
      </w:r>
      <w:r>
        <w:rPr>
          <w:color w:val="231F20"/>
        </w:rPr>
        <w:t>informazioni su</w:t>
      </w:r>
      <w:r>
        <w:rPr>
          <w:color w:val="231F20"/>
          <w:spacing w:val="-7"/>
        </w:rPr>
        <w:t> </w:t>
      </w:r>
      <w:r>
        <w:rPr>
          <w:color w:val="231F20"/>
        </w:rPr>
        <w:t>richiesta</w:t>
      </w:r>
      <w:r>
        <w:rPr>
          <w:color w:val="231F20"/>
          <w:spacing w:val="-7"/>
        </w:rPr>
        <w:t> </w:t>
      </w:r>
      <w:r>
        <w:rPr>
          <w:color w:val="231F20"/>
        </w:rPr>
        <w:t>istituita</w:t>
      </w:r>
      <w:r>
        <w:rPr>
          <w:color w:val="231F20"/>
          <w:spacing w:val="-7"/>
        </w:rPr>
        <w:t> </w:t>
      </w:r>
      <w:r>
        <w:rPr>
          <w:color w:val="231F20"/>
        </w:rPr>
        <w:t>dalla</w:t>
      </w:r>
      <w:r>
        <w:rPr>
          <w:color w:val="231F20"/>
          <w:spacing w:val="-7"/>
        </w:rPr>
        <w:t> </w:t>
      </w:r>
      <w:r>
        <w:rPr>
          <w:color w:val="231F20"/>
        </w:rPr>
        <w:t>direttiva</w:t>
      </w:r>
      <w:r>
        <w:rPr>
          <w:color w:val="231F20"/>
          <w:spacing w:val="-7"/>
        </w:rPr>
        <w:t> </w:t>
      </w:r>
      <w:r>
        <w:rPr>
          <w:color w:val="231F20"/>
        </w:rPr>
        <w:t>2011/16»</w:t>
      </w:r>
      <w:r>
        <w:rPr>
          <w:rFonts w:ascii="Times New Roman" w:hAnsi="Times New Roman"/>
          <w:color w:val="231F20"/>
          <w:position w:val="8"/>
          <w:sz w:val="14"/>
        </w:rPr>
        <w:t>71</w:t>
      </w:r>
      <w:r>
        <w:rPr>
          <w:color w:val="231F20"/>
        </w:rPr>
        <w:t>,</w:t>
      </w:r>
      <w:r>
        <w:rPr>
          <w:color w:val="231F20"/>
          <w:spacing w:val="-7"/>
        </w:rPr>
        <w:t> </w:t>
      </w:r>
      <w:r>
        <w:rPr>
          <w:color w:val="231F20"/>
        </w:rPr>
        <w:t>i</w:t>
      </w:r>
      <w:r>
        <w:rPr>
          <w:color w:val="231F20"/>
          <w:spacing w:val="-7"/>
        </w:rPr>
        <w:t> </w:t>
      </w:r>
      <w:r>
        <w:rPr>
          <w:color w:val="231F20"/>
        </w:rPr>
        <w:t>giudici</w:t>
      </w:r>
      <w:r>
        <w:rPr>
          <w:color w:val="231F20"/>
          <w:spacing w:val="-7"/>
        </w:rPr>
        <w:t> </w:t>
      </w:r>
      <w:r>
        <w:rPr>
          <w:color w:val="231F20"/>
        </w:rPr>
        <w:t>dell’Unione</w:t>
      </w:r>
      <w:r>
        <w:rPr>
          <w:color w:val="231F20"/>
          <w:spacing w:val="-7"/>
        </w:rPr>
        <w:t> </w:t>
      </w:r>
      <w:r>
        <w:rPr>
          <w:color w:val="231F20"/>
        </w:rPr>
        <w:t>hanno successivamente</w:t>
      </w:r>
      <w:r>
        <w:rPr>
          <w:color w:val="231F20"/>
          <w:spacing w:val="27"/>
        </w:rPr>
        <w:t> </w:t>
      </w:r>
      <w:r>
        <w:rPr>
          <w:color w:val="231F20"/>
        </w:rPr>
        <w:t>esaminato</w:t>
      </w:r>
      <w:r>
        <w:rPr>
          <w:color w:val="231F20"/>
          <w:spacing w:val="27"/>
        </w:rPr>
        <w:t> </w:t>
      </w:r>
      <w:r>
        <w:rPr>
          <w:color w:val="231F20"/>
        </w:rPr>
        <w:t>il</w:t>
      </w:r>
      <w:r>
        <w:rPr>
          <w:color w:val="231F20"/>
          <w:spacing w:val="27"/>
        </w:rPr>
        <w:t> </w:t>
      </w:r>
      <w:r>
        <w:rPr>
          <w:color w:val="231F20"/>
        </w:rPr>
        <w:t>delicato</w:t>
      </w:r>
      <w:r>
        <w:rPr>
          <w:color w:val="231F20"/>
          <w:spacing w:val="27"/>
        </w:rPr>
        <w:t> </w:t>
      </w:r>
      <w:r>
        <w:rPr>
          <w:color w:val="231F20"/>
        </w:rPr>
        <w:t>problema</w:t>
      </w:r>
      <w:r>
        <w:rPr>
          <w:color w:val="231F20"/>
          <w:spacing w:val="27"/>
        </w:rPr>
        <w:t> </w:t>
      </w:r>
      <w:r>
        <w:rPr>
          <w:color w:val="231F20"/>
        </w:rPr>
        <w:t>dell’esistenza,</w:t>
      </w:r>
      <w:r>
        <w:rPr>
          <w:color w:val="231F20"/>
          <w:spacing w:val="27"/>
        </w:rPr>
        <w:t> </w:t>
      </w:r>
      <w:r>
        <w:rPr>
          <w:color w:val="231F20"/>
        </w:rPr>
        <w:t>in</w:t>
      </w:r>
      <w:r>
        <w:rPr>
          <w:color w:val="231F20"/>
          <w:spacing w:val="27"/>
        </w:rPr>
        <w:t> </w:t>
      </w:r>
      <w:r>
        <w:rPr>
          <w:color w:val="231F20"/>
        </w:rPr>
        <w:t>capo</w:t>
      </w:r>
      <w:r>
        <w:rPr>
          <w:color w:val="231F20"/>
          <w:spacing w:val="28"/>
        </w:rPr>
        <w:t> </w:t>
      </w:r>
      <w:r>
        <w:rPr>
          <w:color w:val="231F20"/>
          <w:spacing w:val="-5"/>
        </w:rPr>
        <w:t>al</w:t>
      </w:r>
    </w:p>
    <w:p>
      <w:pPr>
        <w:pStyle w:val="BodyText"/>
        <w:spacing w:before="2"/>
        <w:rPr>
          <w:sz w:val="10"/>
        </w:rPr>
      </w:pPr>
      <w:r>
        <w:rPr/>
        <mc:AlternateContent>
          <mc:Choice Requires="wps">
            <w:drawing>
              <wp:anchor distT="0" distB="0" distL="0" distR="0" allowOverlap="1" layoutInCell="1" locked="0" behindDoc="1" simplePos="0" relativeHeight="487616000">
                <wp:simplePos x="0" y="0"/>
                <wp:positionH relativeFrom="page">
                  <wp:posOffset>864000</wp:posOffset>
                </wp:positionH>
                <wp:positionV relativeFrom="paragraph">
                  <wp:posOffset>97296</wp:posOffset>
                </wp:positionV>
                <wp:extent cx="792480" cy="1270"/>
                <wp:effectExtent l="0" t="0" r="0" b="0"/>
                <wp:wrapTopAndBottom/>
                <wp:docPr id="98" name="Graphic 98"/>
                <wp:cNvGraphicFramePr>
                  <a:graphicFrameLocks/>
                </wp:cNvGraphicFramePr>
                <a:graphic>
                  <a:graphicData uri="http://schemas.microsoft.com/office/word/2010/wordprocessingShape">
                    <wps:wsp>
                      <wps:cNvPr id="98" name="Graphic 98"/>
                      <wps:cNvSpPr/>
                      <wps:spPr>
                        <a:xfrm>
                          <a:off x="0" y="0"/>
                          <a:ext cx="792480" cy="1270"/>
                        </a:xfrm>
                        <a:custGeom>
                          <a:avLst/>
                          <a:gdLst/>
                          <a:ahLst/>
                          <a:cxnLst/>
                          <a:rect l="l" t="t" r="r" b="b"/>
                          <a:pathLst>
                            <a:path w="792480" h="0">
                              <a:moveTo>
                                <a:pt x="0" y="0"/>
                              </a:moveTo>
                              <a:lnTo>
                                <a:pt x="791997"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shape style="position:absolute;margin-left:68.031502pt;margin-top:7.66114pt;width:62.4pt;height:.1pt;mso-position-horizontal-relative:page;mso-position-vertical-relative:paragraph;z-index:-15700480;mso-wrap-distance-left:0;mso-wrap-distance-right:0" id="docshape81" coordorigin="1361,153" coordsize="1248,0" path="m1361,153l2608,153e" filled="false" stroked="true" strokeweight=".5pt" strokecolor="#231f20">
                <v:path arrowok="t"/>
                <v:stroke dashstyle="solid"/>
                <w10:wrap type="topAndBottom"/>
              </v:shape>
            </w:pict>
          </mc:Fallback>
        </mc:AlternateContent>
      </w:r>
    </w:p>
    <w:p>
      <w:pPr>
        <w:spacing w:line="225" w:lineRule="auto" w:before="201"/>
        <w:ind w:left="100" w:right="174" w:firstLine="0"/>
        <w:jc w:val="both"/>
        <w:rPr>
          <w:sz w:val="19"/>
        </w:rPr>
      </w:pPr>
      <w:r>
        <w:rPr>
          <w:color w:val="231F20"/>
          <w:position w:val="6"/>
          <w:sz w:val="11"/>
        </w:rPr>
        <w:t>69</w:t>
      </w:r>
      <w:r>
        <w:rPr>
          <w:color w:val="231F20"/>
          <w:spacing w:val="80"/>
          <w:position w:val="6"/>
          <w:sz w:val="11"/>
        </w:rPr>
        <w:t> </w:t>
      </w:r>
      <w:r>
        <w:rPr>
          <w:color w:val="231F20"/>
          <w:sz w:val="19"/>
        </w:rPr>
        <w:t>Corte</w:t>
      </w:r>
      <w:r>
        <w:rPr>
          <w:color w:val="231F20"/>
          <w:spacing w:val="-1"/>
          <w:sz w:val="19"/>
        </w:rPr>
        <w:t> </w:t>
      </w:r>
      <w:r>
        <w:rPr>
          <w:color w:val="231F20"/>
          <w:sz w:val="19"/>
        </w:rPr>
        <w:t>giust.</w:t>
      </w:r>
      <w:r>
        <w:rPr>
          <w:color w:val="231F20"/>
          <w:spacing w:val="-1"/>
          <w:sz w:val="19"/>
        </w:rPr>
        <w:t> </w:t>
      </w:r>
      <w:r>
        <w:rPr>
          <w:color w:val="231F20"/>
          <w:sz w:val="19"/>
        </w:rPr>
        <w:t>UE,</w:t>
      </w:r>
      <w:r>
        <w:rPr>
          <w:color w:val="231F20"/>
          <w:spacing w:val="-1"/>
          <w:sz w:val="19"/>
        </w:rPr>
        <w:t> </w:t>
      </w:r>
      <w:r>
        <w:rPr>
          <w:color w:val="231F20"/>
          <w:sz w:val="19"/>
        </w:rPr>
        <w:t>ult.</w:t>
      </w:r>
      <w:r>
        <w:rPr>
          <w:color w:val="231F20"/>
          <w:spacing w:val="-1"/>
          <w:sz w:val="19"/>
        </w:rPr>
        <w:t> </w:t>
      </w:r>
      <w:r>
        <w:rPr>
          <w:color w:val="231F20"/>
          <w:sz w:val="19"/>
        </w:rPr>
        <w:t>cit.,</w:t>
      </w:r>
      <w:r>
        <w:rPr>
          <w:color w:val="231F20"/>
          <w:spacing w:val="-1"/>
          <w:sz w:val="19"/>
        </w:rPr>
        <w:t> </w:t>
      </w:r>
      <w:r>
        <w:rPr>
          <w:color w:val="231F20"/>
          <w:sz w:val="19"/>
        </w:rPr>
        <w:t>punto</w:t>
      </w:r>
      <w:r>
        <w:rPr>
          <w:color w:val="231F20"/>
          <w:spacing w:val="-1"/>
          <w:sz w:val="19"/>
        </w:rPr>
        <w:t> </w:t>
      </w:r>
      <w:r>
        <w:rPr>
          <w:color w:val="231F20"/>
          <w:sz w:val="19"/>
        </w:rPr>
        <w:t>39.</w:t>
      </w:r>
      <w:r>
        <w:rPr>
          <w:color w:val="231F20"/>
          <w:spacing w:val="-1"/>
          <w:sz w:val="19"/>
        </w:rPr>
        <w:t> </w:t>
      </w:r>
      <w:r>
        <w:rPr>
          <w:color w:val="231F20"/>
          <w:sz w:val="19"/>
        </w:rPr>
        <w:t>Questa</w:t>
      </w:r>
      <w:r>
        <w:rPr>
          <w:color w:val="231F20"/>
          <w:spacing w:val="-1"/>
          <w:sz w:val="19"/>
        </w:rPr>
        <w:t> </w:t>
      </w:r>
      <w:r>
        <w:rPr>
          <w:color w:val="231F20"/>
          <w:sz w:val="19"/>
        </w:rPr>
        <w:t>prima</w:t>
      </w:r>
      <w:r>
        <w:rPr>
          <w:color w:val="231F20"/>
          <w:spacing w:val="-1"/>
          <w:sz w:val="19"/>
        </w:rPr>
        <w:t> </w:t>
      </w:r>
      <w:r>
        <w:rPr>
          <w:color w:val="231F20"/>
          <w:sz w:val="19"/>
        </w:rPr>
        <w:t>parte</w:t>
      </w:r>
      <w:r>
        <w:rPr>
          <w:color w:val="231F20"/>
          <w:spacing w:val="-1"/>
          <w:sz w:val="19"/>
        </w:rPr>
        <w:t> </w:t>
      </w:r>
      <w:r>
        <w:rPr>
          <w:color w:val="231F20"/>
          <w:sz w:val="19"/>
        </w:rPr>
        <w:t>della</w:t>
      </w:r>
      <w:r>
        <w:rPr>
          <w:color w:val="231F20"/>
          <w:spacing w:val="-1"/>
          <w:sz w:val="19"/>
        </w:rPr>
        <w:t> </w:t>
      </w:r>
      <w:r>
        <w:rPr>
          <w:color w:val="231F20"/>
          <w:sz w:val="19"/>
        </w:rPr>
        <w:t>sentenza</w:t>
      </w:r>
      <w:r>
        <w:rPr>
          <w:color w:val="231F20"/>
          <w:spacing w:val="-1"/>
          <w:sz w:val="19"/>
        </w:rPr>
        <w:t> </w:t>
      </w:r>
      <w:r>
        <w:rPr>
          <w:i/>
          <w:color w:val="231F20"/>
          <w:sz w:val="19"/>
        </w:rPr>
        <w:t>Berlioz</w:t>
      </w:r>
      <w:r>
        <w:rPr>
          <w:i/>
          <w:color w:val="231F20"/>
          <w:spacing w:val="-1"/>
          <w:sz w:val="19"/>
        </w:rPr>
        <w:t> </w:t>
      </w:r>
      <w:r>
        <w:rPr>
          <w:color w:val="231F20"/>
          <w:sz w:val="19"/>
        </w:rPr>
        <w:t>riguardante l’applicabilità della Carta dei diritti fondamentali dell’Unione europea è stata commentata anche</w:t>
      </w:r>
      <w:r>
        <w:rPr>
          <w:color w:val="231F20"/>
          <w:spacing w:val="2"/>
          <w:sz w:val="19"/>
        </w:rPr>
        <w:t> </w:t>
      </w:r>
      <w:r>
        <w:rPr>
          <w:color w:val="231F20"/>
          <w:sz w:val="19"/>
        </w:rPr>
        <w:t>da</w:t>
      </w:r>
      <w:r>
        <w:rPr>
          <w:color w:val="231F20"/>
          <w:spacing w:val="3"/>
          <w:sz w:val="19"/>
        </w:rPr>
        <w:t> </w:t>
      </w:r>
      <w:r>
        <w:rPr>
          <w:color w:val="231F20"/>
          <w:sz w:val="19"/>
        </w:rPr>
        <w:t>R.</w:t>
      </w:r>
      <w:r>
        <w:rPr>
          <w:color w:val="231F20"/>
          <w:spacing w:val="3"/>
          <w:sz w:val="19"/>
        </w:rPr>
        <w:t> </w:t>
      </w:r>
      <w:r>
        <w:rPr>
          <w:color w:val="231F20"/>
          <w:sz w:val="19"/>
        </w:rPr>
        <w:t>Alfano,</w:t>
      </w:r>
      <w:r>
        <w:rPr>
          <w:color w:val="231F20"/>
          <w:spacing w:val="3"/>
          <w:sz w:val="19"/>
        </w:rPr>
        <w:t> </w:t>
      </w:r>
      <w:r>
        <w:rPr>
          <w:i/>
          <w:color w:val="231F20"/>
          <w:sz w:val="19"/>
        </w:rPr>
        <w:t>Sanzioni</w:t>
      </w:r>
      <w:r>
        <w:rPr>
          <w:i/>
          <w:color w:val="231F20"/>
          <w:spacing w:val="2"/>
          <w:sz w:val="19"/>
        </w:rPr>
        <w:t> </w:t>
      </w:r>
      <w:r>
        <w:rPr>
          <w:i/>
          <w:color w:val="231F20"/>
          <w:sz w:val="19"/>
        </w:rPr>
        <w:t>amministrative</w:t>
      </w:r>
      <w:r>
        <w:rPr>
          <w:i/>
          <w:color w:val="231F20"/>
          <w:spacing w:val="3"/>
          <w:sz w:val="19"/>
        </w:rPr>
        <w:t> </w:t>
      </w:r>
      <w:r>
        <w:rPr>
          <w:i/>
          <w:color w:val="231F20"/>
          <w:sz w:val="19"/>
        </w:rPr>
        <w:t>tributarie</w:t>
      </w:r>
      <w:r>
        <w:rPr>
          <w:i/>
          <w:color w:val="231F20"/>
          <w:spacing w:val="3"/>
          <w:sz w:val="19"/>
        </w:rPr>
        <w:t> </w:t>
      </w:r>
      <w:r>
        <w:rPr>
          <w:i/>
          <w:color w:val="231F20"/>
          <w:sz w:val="19"/>
        </w:rPr>
        <w:t>e</w:t>
      </w:r>
      <w:r>
        <w:rPr>
          <w:i/>
          <w:color w:val="231F20"/>
          <w:spacing w:val="3"/>
          <w:sz w:val="19"/>
        </w:rPr>
        <w:t> </w:t>
      </w:r>
      <w:r>
        <w:rPr>
          <w:i/>
          <w:color w:val="231F20"/>
          <w:sz w:val="19"/>
        </w:rPr>
        <w:t>tutela</w:t>
      </w:r>
      <w:r>
        <w:rPr>
          <w:i/>
          <w:color w:val="231F20"/>
          <w:spacing w:val="2"/>
          <w:sz w:val="19"/>
        </w:rPr>
        <w:t> </w:t>
      </w:r>
      <w:r>
        <w:rPr>
          <w:i/>
          <w:color w:val="231F20"/>
          <w:sz w:val="19"/>
        </w:rPr>
        <w:t>del</w:t>
      </w:r>
      <w:r>
        <w:rPr>
          <w:i/>
          <w:color w:val="231F20"/>
          <w:spacing w:val="3"/>
          <w:sz w:val="19"/>
        </w:rPr>
        <w:t> </w:t>
      </w:r>
      <w:r>
        <w:rPr>
          <w:i/>
          <w:color w:val="231F20"/>
          <w:sz w:val="19"/>
        </w:rPr>
        <w:t>contribuente,</w:t>
      </w:r>
      <w:r>
        <w:rPr>
          <w:i/>
          <w:color w:val="231F20"/>
          <w:spacing w:val="3"/>
          <w:sz w:val="19"/>
        </w:rPr>
        <w:t> </w:t>
      </w:r>
      <w:r>
        <w:rPr>
          <w:color w:val="231F20"/>
          <w:sz w:val="19"/>
        </w:rPr>
        <w:t>Napoli,</w:t>
      </w:r>
      <w:r>
        <w:rPr>
          <w:color w:val="231F20"/>
          <w:spacing w:val="3"/>
          <w:sz w:val="19"/>
        </w:rPr>
        <w:t> </w:t>
      </w:r>
      <w:r>
        <w:rPr>
          <w:color w:val="231F20"/>
          <w:spacing w:val="-2"/>
          <w:sz w:val="19"/>
        </w:rPr>
        <w:t>2020,</w:t>
      </w:r>
    </w:p>
    <w:p>
      <w:pPr>
        <w:spacing w:line="227" w:lineRule="exact" w:before="0"/>
        <w:ind w:left="100" w:right="0" w:firstLine="0"/>
        <w:jc w:val="both"/>
        <w:rPr>
          <w:sz w:val="19"/>
        </w:rPr>
      </w:pPr>
      <w:r>
        <w:rPr>
          <w:color w:val="231F20"/>
          <w:sz w:val="19"/>
        </w:rPr>
        <w:t>pp.</w:t>
      </w:r>
      <w:r>
        <w:rPr>
          <w:color w:val="231F20"/>
          <w:spacing w:val="-4"/>
          <w:sz w:val="19"/>
        </w:rPr>
        <w:t> </w:t>
      </w:r>
      <w:r>
        <w:rPr>
          <w:color w:val="231F20"/>
          <w:sz w:val="19"/>
        </w:rPr>
        <w:t>151-</w:t>
      </w:r>
      <w:r>
        <w:rPr>
          <w:color w:val="231F20"/>
          <w:spacing w:val="-4"/>
          <w:sz w:val="19"/>
        </w:rPr>
        <w:t>153.</w:t>
      </w:r>
    </w:p>
    <w:p>
      <w:pPr>
        <w:spacing w:line="228" w:lineRule="exact" w:before="0"/>
        <w:ind w:left="100" w:right="0" w:firstLine="0"/>
        <w:jc w:val="both"/>
        <w:rPr>
          <w:sz w:val="19"/>
        </w:rPr>
      </w:pPr>
      <w:r>
        <w:rPr>
          <w:color w:val="231F20"/>
          <w:position w:val="6"/>
          <w:sz w:val="11"/>
        </w:rPr>
        <w:t>70</w:t>
      </w:r>
      <w:r>
        <w:rPr>
          <w:color w:val="231F20"/>
          <w:spacing w:val="53"/>
          <w:position w:val="6"/>
          <w:sz w:val="11"/>
        </w:rPr>
        <w:t>  </w:t>
      </w:r>
      <w:r>
        <w:rPr>
          <w:color w:val="231F20"/>
          <w:sz w:val="19"/>
        </w:rPr>
        <w:t>Corte</w:t>
      </w:r>
      <w:r>
        <w:rPr>
          <w:color w:val="231F20"/>
          <w:spacing w:val="1"/>
          <w:sz w:val="19"/>
        </w:rPr>
        <w:t> </w:t>
      </w:r>
      <w:r>
        <w:rPr>
          <w:color w:val="231F20"/>
          <w:sz w:val="19"/>
        </w:rPr>
        <w:t>giust.</w:t>
      </w:r>
      <w:r>
        <w:rPr>
          <w:color w:val="231F20"/>
          <w:spacing w:val="1"/>
          <w:sz w:val="19"/>
        </w:rPr>
        <w:t> </w:t>
      </w:r>
      <w:r>
        <w:rPr>
          <w:color w:val="231F20"/>
          <w:sz w:val="19"/>
        </w:rPr>
        <w:t>UE, ult. cit., punto </w:t>
      </w:r>
      <w:r>
        <w:rPr>
          <w:color w:val="231F20"/>
          <w:spacing w:val="-5"/>
          <w:sz w:val="19"/>
        </w:rPr>
        <w:t>40</w:t>
      </w:r>
    </w:p>
    <w:p>
      <w:pPr>
        <w:spacing w:line="225" w:lineRule="auto" w:before="3"/>
        <w:ind w:left="100" w:right="174" w:firstLine="0"/>
        <w:jc w:val="both"/>
        <w:rPr>
          <w:i/>
          <w:sz w:val="19"/>
        </w:rPr>
      </w:pPr>
      <w:r>
        <w:rPr>
          <w:color w:val="231F20"/>
          <w:position w:val="6"/>
          <w:sz w:val="11"/>
        </w:rPr>
        <w:t>71</w:t>
      </w:r>
      <w:r>
        <w:rPr>
          <w:color w:val="231F20"/>
          <w:spacing w:val="80"/>
          <w:position w:val="6"/>
          <w:sz w:val="11"/>
        </w:rPr>
        <w:t> </w:t>
      </w:r>
      <w:r>
        <w:rPr>
          <w:color w:val="231F20"/>
          <w:sz w:val="19"/>
        </w:rPr>
        <w:t>Precisazione assai opportuna formulata dalla Corte di giustizia al punto 46 della sentenza Corte giust. UE, sent. del 6 ottobre 2020, causa C-245/19, État </w:t>
      </w:r>
      <w:r>
        <w:rPr>
          <w:i/>
          <w:color w:val="231F20"/>
          <w:sz w:val="19"/>
        </w:rPr>
        <w:t>luxembourgeois contro B</w:t>
      </w:r>
      <w:r>
        <w:rPr>
          <w:color w:val="231F20"/>
          <w:sz w:val="19"/>
        </w:rPr>
        <w:t>, commentata </w:t>
      </w:r>
      <w:r>
        <w:rPr>
          <w:i/>
          <w:color w:val="231F20"/>
          <w:sz w:val="19"/>
        </w:rPr>
        <w:t>infra.</w:t>
      </w:r>
    </w:p>
    <w:p>
      <w:pPr>
        <w:spacing w:after="0" w:line="225" w:lineRule="auto"/>
        <w:jc w:val="both"/>
        <w:rPr>
          <w:sz w:val="19"/>
        </w:rPr>
        <w:sectPr>
          <w:pgSz w:w="9640" w:h="13610"/>
          <w:pgMar w:header="0" w:footer="625" w:top="1260" w:bottom="820" w:left="1260" w:right="1240"/>
        </w:sectPr>
      </w:pPr>
    </w:p>
    <w:p>
      <w:pPr>
        <w:pStyle w:val="BodyText"/>
        <w:spacing w:line="225" w:lineRule="auto" w:before="117"/>
        <w:ind w:left="157" w:right="117"/>
        <w:jc w:val="both"/>
      </w:pPr>
      <w:r>
        <w:rPr/>
        <mc:AlternateContent>
          <mc:Choice Requires="wps">
            <w:drawing>
              <wp:anchor distT="0" distB="0" distL="0" distR="0" allowOverlap="1" layoutInCell="1" locked="0" behindDoc="0" simplePos="0" relativeHeight="15757824">
                <wp:simplePos x="0" y="0"/>
                <wp:positionH relativeFrom="page">
                  <wp:posOffset>5608609</wp:posOffset>
                </wp:positionH>
                <wp:positionV relativeFrom="page">
                  <wp:posOffset>2376001</wp:posOffset>
                </wp:positionV>
                <wp:extent cx="511809" cy="2412365"/>
                <wp:effectExtent l="0" t="0" r="0" b="0"/>
                <wp:wrapNone/>
                <wp:docPr id="99" name="Group 99"/>
                <wp:cNvGraphicFramePr>
                  <a:graphicFrameLocks/>
                </wp:cNvGraphicFramePr>
                <a:graphic>
                  <a:graphicData uri="http://schemas.microsoft.com/office/word/2010/wordprocessingGroup">
                    <wpg:wgp>
                      <wpg:cNvPr id="99" name="Group 99"/>
                      <wpg:cNvGrpSpPr/>
                      <wpg:grpSpPr>
                        <a:xfrm>
                          <a:off x="0" y="0"/>
                          <a:ext cx="511809" cy="2412365"/>
                          <a:chExt cx="511809" cy="2412365"/>
                        </a:xfrm>
                      </wpg:grpSpPr>
                      <wps:wsp>
                        <wps:cNvPr id="100" name="Graphic 100"/>
                        <wps:cNvSpPr/>
                        <wps:spPr>
                          <a:xfrm>
                            <a:off x="7393" y="3"/>
                            <a:ext cx="504190" cy="360045"/>
                          </a:xfrm>
                          <a:custGeom>
                            <a:avLst/>
                            <a:gdLst/>
                            <a:ahLst/>
                            <a:cxnLst/>
                            <a:rect l="l" t="t" r="r" b="b"/>
                            <a:pathLst>
                              <a:path w="504190" h="360045">
                                <a:moveTo>
                                  <a:pt x="503999" y="0"/>
                                </a:moveTo>
                                <a:lnTo>
                                  <a:pt x="0" y="0"/>
                                </a:lnTo>
                                <a:lnTo>
                                  <a:pt x="0" y="359994"/>
                                </a:lnTo>
                                <a:lnTo>
                                  <a:pt x="503999" y="359994"/>
                                </a:lnTo>
                                <a:lnTo>
                                  <a:pt x="503999" y="0"/>
                                </a:lnTo>
                                <a:close/>
                              </a:path>
                            </a:pathLst>
                          </a:custGeom>
                          <a:solidFill>
                            <a:srgbClr val="939598"/>
                          </a:solidFill>
                        </wps:spPr>
                        <wps:bodyPr wrap="square" lIns="0" tIns="0" rIns="0" bIns="0" rtlCol="0">
                          <a:prstTxWarp prst="textNoShape">
                            <a:avLst/>
                          </a:prstTxWarp>
                          <a:noAutofit/>
                        </wps:bodyPr>
                      </wps:wsp>
                      <wps:wsp>
                        <wps:cNvPr id="101" name="Graphic 101"/>
                        <wps:cNvSpPr/>
                        <wps:spPr>
                          <a:xfrm>
                            <a:off x="6350" y="0"/>
                            <a:ext cx="1270" cy="2412365"/>
                          </a:xfrm>
                          <a:custGeom>
                            <a:avLst/>
                            <a:gdLst/>
                            <a:ahLst/>
                            <a:cxnLst/>
                            <a:rect l="l" t="t" r="r" b="b"/>
                            <a:pathLst>
                              <a:path w="0" h="2412365">
                                <a:moveTo>
                                  <a:pt x="0" y="0"/>
                                </a:moveTo>
                                <a:lnTo>
                                  <a:pt x="0" y="2411996"/>
                                </a:lnTo>
                              </a:path>
                            </a:pathLst>
                          </a:custGeom>
                          <a:ln w="12700">
                            <a:solidFill>
                              <a:srgbClr val="939598"/>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441.622803pt;margin-top:187.0867pt;width:40.3pt;height:189.95pt;mso-position-horizontal-relative:page;mso-position-vertical-relative:page;z-index:15757824" id="docshapegroup82" coordorigin="8832,3742" coordsize="806,3799">
                <v:rect style="position:absolute;left:8844;top:3741;width:794;height:567" id="docshape83" filled="true" fillcolor="#939598" stroked="false">
                  <v:fill type="solid"/>
                </v:rect>
                <v:line style="position:absolute" from="8842,3742" to="8842,7540" stroked="true" strokeweight="1pt" strokecolor="#939598">
                  <v:stroke dashstyle="solid"/>
                </v:line>
                <w10:wrap type="none"/>
              </v:group>
            </w:pict>
          </mc:Fallback>
        </mc:AlternateContent>
      </w:r>
      <w:r>
        <w:rPr/>
        <mc:AlternateContent>
          <mc:Choice Requires="wps">
            <w:drawing>
              <wp:anchor distT="0" distB="0" distL="0" distR="0" allowOverlap="1" layoutInCell="1" locked="0" behindDoc="0" simplePos="0" relativeHeight="15758336">
                <wp:simplePos x="0" y="0"/>
                <wp:positionH relativeFrom="page">
                  <wp:posOffset>5635147</wp:posOffset>
                </wp:positionH>
                <wp:positionV relativeFrom="page">
                  <wp:posOffset>2795300</wp:posOffset>
                </wp:positionV>
                <wp:extent cx="299720" cy="1995805"/>
                <wp:effectExtent l="0" t="0" r="0" b="0"/>
                <wp:wrapNone/>
                <wp:docPr id="102" name="Textbox 102"/>
                <wp:cNvGraphicFramePr>
                  <a:graphicFrameLocks/>
                </wp:cNvGraphicFramePr>
                <a:graphic>
                  <a:graphicData uri="http://schemas.microsoft.com/office/word/2010/wordprocessingShape">
                    <wps:wsp>
                      <wps:cNvPr id="102" name="Textbox 102"/>
                      <wps:cNvSpPr txBox="1"/>
                      <wps:spPr>
                        <a:xfrm>
                          <a:off x="0" y="0"/>
                          <a:ext cx="299720" cy="1995805"/>
                        </a:xfrm>
                        <a:prstGeom prst="rect">
                          <a:avLst/>
                        </a:prstGeom>
                      </wps:spPr>
                      <wps:txbx>
                        <w:txbxContent>
                          <w:p>
                            <w:pPr>
                              <w:spacing w:before="20"/>
                              <w:ind w:left="20" w:right="0" w:firstLine="0"/>
                              <w:jc w:val="left"/>
                              <w:rPr>
                                <w:rFonts w:ascii="Minion Pro"/>
                                <w:sz w:val="32"/>
                              </w:rPr>
                            </w:pPr>
                            <w:r>
                              <w:rPr>
                                <w:rFonts w:ascii="Minion Pro"/>
                                <w:color w:val="231F20"/>
                                <w:sz w:val="32"/>
                              </w:rPr>
                              <w:t>Commented</w:t>
                            </w:r>
                            <w:r>
                              <w:rPr>
                                <w:rFonts w:ascii="Minion Pro"/>
                                <w:color w:val="231F20"/>
                                <w:spacing w:val="-10"/>
                                <w:sz w:val="32"/>
                              </w:rPr>
                              <w:t> </w:t>
                            </w:r>
                            <w:r>
                              <w:rPr>
                                <w:rFonts w:ascii="Minion Pro"/>
                                <w:color w:val="231F20"/>
                                <w:spacing w:val="-2"/>
                                <w:sz w:val="32"/>
                              </w:rPr>
                              <w:t>documents</w:t>
                            </w:r>
                          </w:p>
                        </w:txbxContent>
                      </wps:txbx>
                      <wps:bodyPr wrap="square" lIns="0" tIns="0" rIns="0" bIns="0" rtlCol="0" vert="vert">
                        <a:noAutofit/>
                      </wps:bodyPr>
                    </wps:wsp>
                  </a:graphicData>
                </a:graphic>
              </wp:anchor>
            </w:drawing>
          </mc:Choice>
          <mc:Fallback>
            <w:pict>
              <v:shape style="position:absolute;margin-left:443.712402pt;margin-top:220.102402pt;width:23.6pt;height:157.15pt;mso-position-horizontal-relative:page;mso-position-vertical-relative:page;z-index:15758336" type="#_x0000_t202" id="docshape84" filled="false" stroked="false">
                <v:textbox inset="0,0,0,0" style="layout-flow:vertical">
                  <w:txbxContent>
                    <w:p>
                      <w:pPr>
                        <w:spacing w:before="20"/>
                        <w:ind w:left="20" w:right="0" w:firstLine="0"/>
                        <w:jc w:val="left"/>
                        <w:rPr>
                          <w:rFonts w:ascii="Minion Pro"/>
                          <w:sz w:val="32"/>
                        </w:rPr>
                      </w:pPr>
                      <w:r>
                        <w:rPr>
                          <w:rFonts w:ascii="Minion Pro"/>
                          <w:color w:val="231F20"/>
                          <w:sz w:val="32"/>
                        </w:rPr>
                        <w:t>Commented</w:t>
                      </w:r>
                      <w:r>
                        <w:rPr>
                          <w:rFonts w:ascii="Minion Pro"/>
                          <w:color w:val="231F20"/>
                          <w:spacing w:val="-10"/>
                          <w:sz w:val="32"/>
                        </w:rPr>
                        <w:t> </w:t>
                      </w:r>
                      <w:r>
                        <w:rPr>
                          <w:rFonts w:ascii="Minion Pro"/>
                          <w:color w:val="231F20"/>
                          <w:spacing w:val="-2"/>
                          <w:sz w:val="32"/>
                        </w:rPr>
                        <w:t>documents</w:t>
                      </w:r>
                    </w:p>
                  </w:txbxContent>
                </v:textbox>
                <w10:wrap type="none"/>
              </v:shape>
            </w:pict>
          </mc:Fallback>
        </mc:AlternateContent>
      </w:r>
      <w:r>
        <w:rPr>
          <w:color w:val="231F20"/>
        </w:rPr>
        <w:t>soggetto</w:t>
      </w:r>
      <w:r>
        <w:rPr>
          <w:color w:val="231F20"/>
          <w:spacing w:val="-11"/>
        </w:rPr>
        <w:t> </w:t>
      </w:r>
      <w:r>
        <w:rPr>
          <w:color w:val="231F20"/>
        </w:rPr>
        <w:t>detentore</w:t>
      </w:r>
      <w:r>
        <w:rPr>
          <w:color w:val="231F20"/>
          <w:spacing w:val="-11"/>
        </w:rPr>
        <w:t> </w:t>
      </w:r>
      <w:r>
        <w:rPr>
          <w:color w:val="231F20"/>
        </w:rPr>
        <w:t>delle</w:t>
      </w:r>
      <w:r>
        <w:rPr>
          <w:color w:val="231F20"/>
          <w:spacing w:val="-11"/>
        </w:rPr>
        <w:t> </w:t>
      </w:r>
      <w:r>
        <w:rPr>
          <w:color w:val="231F20"/>
        </w:rPr>
        <w:t>informazioni</w:t>
      </w:r>
      <w:r>
        <w:rPr>
          <w:color w:val="231F20"/>
          <w:spacing w:val="-11"/>
        </w:rPr>
        <w:t> </w:t>
      </w:r>
      <w:r>
        <w:rPr>
          <w:color w:val="231F20"/>
        </w:rPr>
        <w:t>richieste</w:t>
      </w:r>
      <w:r>
        <w:rPr>
          <w:color w:val="231F20"/>
          <w:spacing w:val="-11"/>
        </w:rPr>
        <w:t> </w:t>
      </w:r>
      <w:r>
        <w:rPr>
          <w:color w:val="231F20"/>
        </w:rPr>
        <w:t>dall’amministrazione</w:t>
      </w:r>
      <w:r>
        <w:rPr>
          <w:color w:val="231F20"/>
          <w:spacing w:val="-11"/>
        </w:rPr>
        <w:t> </w:t>
      </w:r>
      <w:r>
        <w:rPr>
          <w:color w:val="231F20"/>
        </w:rPr>
        <w:t>finan- ziaria («autorità interpellata», ai sensi dell’art. 5 della direttiva 2011/16/ UE) dello Stato membro destinatario di una richiesta di informazioni da parte</w:t>
      </w:r>
      <w:r>
        <w:rPr>
          <w:color w:val="231F20"/>
          <w:spacing w:val="-2"/>
        </w:rPr>
        <w:t> </w:t>
      </w:r>
      <w:r>
        <w:rPr>
          <w:color w:val="231F20"/>
        </w:rPr>
        <w:t>dell’amministrazione</w:t>
      </w:r>
      <w:r>
        <w:rPr>
          <w:color w:val="231F20"/>
          <w:spacing w:val="-2"/>
        </w:rPr>
        <w:t> </w:t>
      </w:r>
      <w:r>
        <w:rPr>
          <w:color w:val="231F20"/>
        </w:rPr>
        <w:t>di</w:t>
      </w:r>
      <w:r>
        <w:rPr>
          <w:color w:val="231F20"/>
          <w:spacing w:val="-2"/>
        </w:rPr>
        <w:t> </w:t>
      </w:r>
      <w:r>
        <w:rPr>
          <w:color w:val="231F20"/>
        </w:rPr>
        <w:t>un</w:t>
      </w:r>
      <w:r>
        <w:rPr>
          <w:color w:val="231F20"/>
          <w:spacing w:val="-2"/>
        </w:rPr>
        <w:t> </w:t>
      </w:r>
      <w:r>
        <w:rPr>
          <w:color w:val="231F20"/>
        </w:rPr>
        <w:t>altro</w:t>
      </w:r>
      <w:r>
        <w:rPr>
          <w:color w:val="231F20"/>
          <w:spacing w:val="-2"/>
        </w:rPr>
        <w:t> </w:t>
      </w:r>
      <w:r>
        <w:rPr>
          <w:color w:val="231F20"/>
        </w:rPr>
        <w:t>Stato</w:t>
      </w:r>
      <w:r>
        <w:rPr>
          <w:color w:val="231F20"/>
          <w:spacing w:val="-2"/>
        </w:rPr>
        <w:t> </w:t>
      </w:r>
      <w:r>
        <w:rPr>
          <w:color w:val="231F20"/>
        </w:rPr>
        <w:t>membro</w:t>
      </w:r>
      <w:r>
        <w:rPr>
          <w:color w:val="231F20"/>
          <w:spacing w:val="-2"/>
        </w:rPr>
        <w:t> </w:t>
      </w:r>
      <w:r>
        <w:rPr>
          <w:color w:val="231F20"/>
        </w:rPr>
        <w:t>(«autorità</w:t>
      </w:r>
      <w:r>
        <w:rPr>
          <w:color w:val="231F20"/>
          <w:spacing w:val="-2"/>
        </w:rPr>
        <w:t> </w:t>
      </w:r>
      <w:r>
        <w:rPr>
          <w:color w:val="231F20"/>
        </w:rPr>
        <w:t>richieden- te»), di un diritto ad impugnare l’atto amministrativo che gli ha ingiunto di</w:t>
      </w:r>
      <w:r>
        <w:rPr>
          <w:color w:val="231F20"/>
          <w:spacing w:val="-6"/>
        </w:rPr>
        <w:t> </w:t>
      </w:r>
      <w:r>
        <w:rPr>
          <w:color w:val="231F20"/>
        </w:rPr>
        <w:t>comunicare</w:t>
      </w:r>
      <w:r>
        <w:rPr>
          <w:color w:val="231F20"/>
          <w:spacing w:val="-6"/>
        </w:rPr>
        <w:t> </w:t>
      </w:r>
      <w:r>
        <w:rPr>
          <w:color w:val="231F20"/>
        </w:rPr>
        <w:t>integralmente</w:t>
      </w:r>
      <w:r>
        <w:rPr>
          <w:color w:val="231F20"/>
          <w:spacing w:val="-6"/>
        </w:rPr>
        <w:t> </w:t>
      </w:r>
      <w:r>
        <w:rPr>
          <w:color w:val="231F20"/>
        </w:rPr>
        <w:t>tutte</w:t>
      </w:r>
      <w:r>
        <w:rPr>
          <w:color w:val="231F20"/>
          <w:spacing w:val="-6"/>
        </w:rPr>
        <w:t> </w:t>
      </w:r>
      <w:r>
        <w:rPr>
          <w:color w:val="231F20"/>
        </w:rPr>
        <w:t>le</w:t>
      </w:r>
      <w:r>
        <w:rPr>
          <w:color w:val="231F20"/>
          <w:spacing w:val="-6"/>
        </w:rPr>
        <w:t> </w:t>
      </w:r>
      <w:r>
        <w:rPr>
          <w:color w:val="231F20"/>
        </w:rPr>
        <w:t>informazioni</w:t>
      </w:r>
      <w:r>
        <w:rPr>
          <w:color w:val="231F20"/>
          <w:spacing w:val="-6"/>
        </w:rPr>
        <w:t> </w:t>
      </w:r>
      <w:r>
        <w:rPr>
          <w:color w:val="231F20"/>
        </w:rPr>
        <w:t>richieste</w:t>
      </w:r>
      <w:r>
        <w:rPr>
          <w:rFonts w:ascii="Times New Roman" w:hAnsi="Times New Roman"/>
          <w:color w:val="231F20"/>
          <w:position w:val="8"/>
          <w:sz w:val="14"/>
        </w:rPr>
        <w:t>72</w:t>
      </w:r>
      <w:r>
        <w:rPr>
          <w:color w:val="231F20"/>
        </w:rPr>
        <w:t>.</w:t>
      </w:r>
      <w:r>
        <w:rPr>
          <w:color w:val="231F20"/>
          <w:spacing w:val="-6"/>
        </w:rPr>
        <w:t> </w:t>
      </w:r>
      <w:r>
        <w:rPr>
          <w:color w:val="231F20"/>
        </w:rPr>
        <w:t>La</w:t>
      </w:r>
      <w:r>
        <w:rPr>
          <w:color w:val="231F20"/>
          <w:spacing w:val="-6"/>
        </w:rPr>
        <w:t> </w:t>
      </w:r>
      <w:r>
        <w:rPr>
          <w:color w:val="231F20"/>
        </w:rPr>
        <w:t>soluzione positiva</w:t>
      </w:r>
      <w:r>
        <w:rPr>
          <w:color w:val="231F20"/>
          <w:spacing w:val="-13"/>
        </w:rPr>
        <w:t> </w:t>
      </w:r>
      <w:r>
        <w:rPr>
          <w:color w:val="231F20"/>
        </w:rPr>
        <w:t>decisa</w:t>
      </w:r>
      <w:r>
        <w:rPr>
          <w:color w:val="231F20"/>
          <w:spacing w:val="-13"/>
        </w:rPr>
        <w:t> </w:t>
      </w:r>
      <w:r>
        <w:rPr>
          <w:color w:val="231F20"/>
        </w:rPr>
        <w:t>dalla</w:t>
      </w:r>
      <w:r>
        <w:rPr>
          <w:color w:val="231F20"/>
          <w:spacing w:val="-13"/>
        </w:rPr>
        <w:t> </w:t>
      </w:r>
      <w:r>
        <w:rPr>
          <w:color w:val="231F20"/>
        </w:rPr>
        <w:t>Corte</w:t>
      </w:r>
      <w:r>
        <w:rPr>
          <w:color w:val="231F20"/>
          <w:spacing w:val="-13"/>
        </w:rPr>
        <w:t> </w:t>
      </w:r>
      <w:r>
        <w:rPr>
          <w:color w:val="231F20"/>
        </w:rPr>
        <w:t>di</w:t>
      </w:r>
      <w:r>
        <w:rPr>
          <w:color w:val="231F20"/>
          <w:spacing w:val="-13"/>
        </w:rPr>
        <w:t> </w:t>
      </w:r>
      <w:r>
        <w:rPr>
          <w:color w:val="231F20"/>
        </w:rPr>
        <w:t>giustizia</w:t>
      </w:r>
      <w:r>
        <w:rPr>
          <w:color w:val="231F20"/>
          <w:spacing w:val="-13"/>
        </w:rPr>
        <w:t> </w:t>
      </w:r>
      <w:r>
        <w:rPr>
          <w:color w:val="231F20"/>
        </w:rPr>
        <w:t>si</w:t>
      </w:r>
      <w:r>
        <w:rPr>
          <w:color w:val="231F20"/>
          <w:spacing w:val="-13"/>
        </w:rPr>
        <w:t> </w:t>
      </w:r>
      <w:r>
        <w:rPr>
          <w:color w:val="231F20"/>
        </w:rPr>
        <w:t>è</w:t>
      </w:r>
      <w:r>
        <w:rPr>
          <w:color w:val="231F20"/>
          <w:spacing w:val="-13"/>
        </w:rPr>
        <w:t> </w:t>
      </w:r>
      <w:r>
        <w:rPr>
          <w:color w:val="231F20"/>
        </w:rPr>
        <w:t>basata</w:t>
      </w:r>
      <w:r>
        <w:rPr>
          <w:color w:val="231F20"/>
          <w:spacing w:val="-13"/>
        </w:rPr>
        <w:t> </w:t>
      </w:r>
      <w:r>
        <w:rPr>
          <w:color w:val="231F20"/>
        </w:rPr>
        <w:t>sull’art.</w:t>
      </w:r>
      <w:r>
        <w:rPr>
          <w:color w:val="231F20"/>
          <w:spacing w:val="-13"/>
        </w:rPr>
        <w:t> </w:t>
      </w:r>
      <w:r>
        <w:rPr>
          <w:color w:val="231F20"/>
        </w:rPr>
        <w:t>47</w:t>
      </w:r>
      <w:r>
        <w:rPr>
          <w:color w:val="231F20"/>
          <w:spacing w:val="-13"/>
        </w:rPr>
        <w:t> </w:t>
      </w:r>
      <w:r>
        <w:rPr>
          <w:color w:val="231F20"/>
        </w:rPr>
        <w:t>della</w:t>
      </w:r>
      <w:r>
        <w:rPr>
          <w:color w:val="231F20"/>
          <w:spacing w:val="-13"/>
        </w:rPr>
        <w:t> </w:t>
      </w:r>
      <w:r>
        <w:rPr>
          <w:color w:val="231F20"/>
        </w:rPr>
        <w:t>Carta,</w:t>
      </w:r>
      <w:r>
        <w:rPr>
          <w:color w:val="231F20"/>
          <w:spacing w:val="-13"/>
        </w:rPr>
        <w:t> </w:t>
      </w:r>
      <w:r>
        <w:rPr>
          <w:color w:val="231F20"/>
        </w:rPr>
        <w:t>che va</w:t>
      </w:r>
      <w:r>
        <w:rPr>
          <w:color w:val="231F20"/>
          <w:spacing w:val="-13"/>
        </w:rPr>
        <w:t> </w:t>
      </w:r>
      <w:r>
        <w:rPr>
          <w:color w:val="231F20"/>
        </w:rPr>
        <w:t>interpretato</w:t>
      </w:r>
      <w:r>
        <w:rPr>
          <w:color w:val="231F20"/>
          <w:spacing w:val="-13"/>
        </w:rPr>
        <w:t> </w:t>
      </w:r>
      <w:r>
        <w:rPr>
          <w:color w:val="231F20"/>
        </w:rPr>
        <w:t>nel</w:t>
      </w:r>
      <w:r>
        <w:rPr>
          <w:color w:val="231F20"/>
          <w:spacing w:val="-13"/>
        </w:rPr>
        <w:t> </w:t>
      </w:r>
      <w:r>
        <w:rPr>
          <w:color w:val="231F20"/>
        </w:rPr>
        <w:t>senso</w:t>
      </w:r>
      <w:r>
        <w:rPr>
          <w:color w:val="231F20"/>
          <w:spacing w:val="-13"/>
        </w:rPr>
        <w:t> </w:t>
      </w:r>
      <w:r>
        <w:rPr>
          <w:color w:val="231F20"/>
        </w:rPr>
        <w:t>di</w:t>
      </w:r>
      <w:r>
        <w:rPr>
          <w:color w:val="231F20"/>
          <w:spacing w:val="-13"/>
        </w:rPr>
        <w:t> </w:t>
      </w:r>
      <w:r>
        <w:rPr>
          <w:color w:val="231F20"/>
        </w:rPr>
        <w:t>assicurare</w:t>
      </w:r>
      <w:r>
        <w:rPr>
          <w:color w:val="231F20"/>
          <w:spacing w:val="-13"/>
        </w:rPr>
        <w:t> </w:t>
      </w:r>
      <w:r>
        <w:rPr>
          <w:color w:val="231F20"/>
        </w:rPr>
        <w:t>ad</w:t>
      </w:r>
      <w:r>
        <w:rPr>
          <w:color w:val="231F20"/>
          <w:spacing w:val="-13"/>
        </w:rPr>
        <w:t> </w:t>
      </w:r>
      <w:r>
        <w:rPr>
          <w:color w:val="231F20"/>
        </w:rPr>
        <w:t>ogni</w:t>
      </w:r>
      <w:r>
        <w:rPr>
          <w:color w:val="231F20"/>
          <w:spacing w:val="-13"/>
        </w:rPr>
        <w:t> </w:t>
      </w:r>
      <w:r>
        <w:rPr>
          <w:color w:val="231F20"/>
        </w:rPr>
        <w:t>persona</w:t>
      </w:r>
      <w:r>
        <w:rPr>
          <w:color w:val="231F20"/>
          <w:spacing w:val="-13"/>
        </w:rPr>
        <w:t> </w:t>
      </w:r>
      <w:r>
        <w:rPr>
          <w:color w:val="231F20"/>
        </w:rPr>
        <w:t>una</w:t>
      </w:r>
      <w:r>
        <w:rPr>
          <w:color w:val="231F20"/>
          <w:spacing w:val="-13"/>
        </w:rPr>
        <w:t> </w:t>
      </w:r>
      <w:r>
        <w:rPr>
          <w:color w:val="231F20"/>
        </w:rPr>
        <w:t>«tutela</w:t>
      </w:r>
      <w:r>
        <w:rPr>
          <w:color w:val="231F20"/>
          <w:spacing w:val="-13"/>
        </w:rPr>
        <w:t> </w:t>
      </w:r>
      <w:r>
        <w:rPr>
          <w:color w:val="231F20"/>
        </w:rPr>
        <w:t>(in</w:t>
      </w:r>
      <w:r>
        <w:rPr>
          <w:color w:val="231F20"/>
          <w:spacing w:val="-13"/>
        </w:rPr>
        <w:t> </w:t>
      </w:r>
      <w:r>
        <w:rPr>
          <w:color w:val="231F20"/>
        </w:rPr>
        <w:t>giudi- zio)</w:t>
      </w:r>
      <w:r>
        <w:rPr>
          <w:color w:val="231F20"/>
          <w:spacing w:val="-17"/>
        </w:rPr>
        <w:t> </w:t>
      </w:r>
      <w:r>
        <w:rPr>
          <w:color w:val="231F20"/>
        </w:rPr>
        <w:t>nei</w:t>
      </w:r>
      <w:r>
        <w:rPr>
          <w:color w:val="231F20"/>
          <w:spacing w:val="-15"/>
        </w:rPr>
        <w:t> </w:t>
      </w:r>
      <w:r>
        <w:rPr>
          <w:color w:val="231F20"/>
        </w:rPr>
        <w:t>confronti</w:t>
      </w:r>
      <w:r>
        <w:rPr>
          <w:color w:val="231F20"/>
          <w:spacing w:val="-15"/>
        </w:rPr>
        <w:t> </w:t>
      </w:r>
      <w:r>
        <w:rPr>
          <w:color w:val="231F20"/>
        </w:rPr>
        <w:t>di</w:t>
      </w:r>
      <w:r>
        <w:rPr>
          <w:color w:val="231F20"/>
          <w:spacing w:val="-15"/>
        </w:rPr>
        <w:t> </w:t>
      </w:r>
      <w:r>
        <w:rPr>
          <w:color w:val="231F20"/>
        </w:rPr>
        <w:t>interventi</w:t>
      </w:r>
      <w:r>
        <w:rPr>
          <w:color w:val="231F20"/>
          <w:spacing w:val="-15"/>
        </w:rPr>
        <w:t> </w:t>
      </w:r>
      <w:r>
        <w:rPr>
          <w:color w:val="231F20"/>
        </w:rPr>
        <w:t>dei</w:t>
      </w:r>
      <w:r>
        <w:rPr>
          <w:color w:val="231F20"/>
          <w:spacing w:val="-15"/>
        </w:rPr>
        <w:t> </w:t>
      </w:r>
      <w:r>
        <w:rPr>
          <w:color w:val="231F20"/>
        </w:rPr>
        <w:t>pubblici</w:t>
      </w:r>
      <w:r>
        <w:rPr>
          <w:color w:val="231F20"/>
          <w:spacing w:val="-15"/>
        </w:rPr>
        <w:t> </w:t>
      </w:r>
      <w:r>
        <w:rPr>
          <w:color w:val="231F20"/>
        </w:rPr>
        <w:t>poteri</w:t>
      </w:r>
      <w:r>
        <w:rPr>
          <w:color w:val="231F20"/>
          <w:spacing w:val="-15"/>
        </w:rPr>
        <w:t> </w:t>
      </w:r>
      <w:r>
        <w:rPr>
          <w:color w:val="231F20"/>
        </w:rPr>
        <w:t>nella</w:t>
      </w:r>
      <w:r>
        <w:rPr>
          <w:color w:val="231F20"/>
          <w:spacing w:val="-15"/>
        </w:rPr>
        <w:t> </w:t>
      </w:r>
      <w:r>
        <w:rPr>
          <w:color w:val="231F20"/>
        </w:rPr>
        <w:t>(sua)</w:t>
      </w:r>
      <w:r>
        <w:rPr>
          <w:color w:val="231F20"/>
          <w:spacing w:val="-15"/>
        </w:rPr>
        <w:t> </w:t>
      </w:r>
      <w:r>
        <w:rPr>
          <w:color w:val="231F20"/>
        </w:rPr>
        <w:t>sfera</w:t>
      </w:r>
      <w:r>
        <w:rPr>
          <w:color w:val="231F20"/>
          <w:spacing w:val="-15"/>
        </w:rPr>
        <w:t> </w:t>
      </w:r>
      <w:r>
        <w:rPr>
          <w:color w:val="231F20"/>
        </w:rPr>
        <w:t>di</w:t>
      </w:r>
      <w:r>
        <w:rPr>
          <w:color w:val="231F20"/>
          <w:spacing w:val="-15"/>
        </w:rPr>
        <w:t> </w:t>
      </w:r>
      <w:r>
        <w:rPr>
          <w:color w:val="231F20"/>
        </w:rPr>
        <w:t>attività privata [...] che siano arbitrari o sproporzionati». Per i giudici dell’Unione la tutela giurisdizionale garantita dal suddetto art. 47 poteva quindi essere invocata</w:t>
      </w:r>
      <w:r>
        <w:rPr>
          <w:color w:val="231F20"/>
          <w:spacing w:val="-13"/>
        </w:rPr>
        <w:t> </w:t>
      </w:r>
      <w:r>
        <w:rPr>
          <w:color w:val="231F20"/>
        </w:rPr>
        <w:t>dalla</w:t>
      </w:r>
      <w:r>
        <w:rPr>
          <w:color w:val="231F20"/>
          <w:spacing w:val="-13"/>
        </w:rPr>
        <w:t> </w:t>
      </w:r>
      <w:r>
        <w:rPr>
          <w:color w:val="231F20"/>
        </w:rPr>
        <w:t>società</w:t>
      </w:r>
      <w:r>
        <w:rPr>
          <w:color w:val="231F20"/>
          <w:spacing w:val="-13"/>
        </w:rPr>
        <w:t> </w:t>
      </w:r>
      <w:r>
        <w:rPr>
          <w:color w:val="231F20"/>
        </w:rPr>
        <w:t>ricorrente</w:t>
      </w:r>
      <w:r>
        <w:rPr>
          <w:color w:val="231F20"/>
          <w:spacing w:val="-13"/>
        </w:rPr>
        <w:t> </w:t>
      </w:r>
      <w:r>
        <w:rPr>
          <w:color w:val="231F20"/>
        </w:rPr>
        <w:t>detentrice</w:t>
      </w:r>
      <w:r>
        <w:rPr>
          <w:color w:val="231F20"/>
          <w:spacing w:val="-13"/>
        </w:rPr>
        <w:t> </w:t>
      </w:r>
      <w:r>
        <w:rPr>
          <w:color w:val="231F20"/>
        </w:rPr>
        <w:t>delle</w:t>
      </w:r>
      <w:r>
        <w:rPr>
          <w:color w:val="231F20"/>
          <w:spacing w:val="-13"/>
        </w:rPr>
        <w:t> </w:t>
      </w:r>
      <w:r>
        <w:rPr>
          <w:color w:val="231F20"/>
        </w:rPr>
        <w:t>informazioni</w:t>
      </w:r>
      <w:r>
        <w:rPr>
          <w:color w:val="231F20"/>
          <w:spacing w:val="-13"/>
        </w:rPr>
        <w:t> </w:t>
      </w:r>
      <w:r>
        <w:rPr>
          <w:color w:val="231F20"/>
        </w:rPr>
        <w:t>e</w:t>
      </w:r>
      <w:r>
        <w:rPr>
          <w:color w:val="231F20"/>
          <w:spacing w:val="-13"/>
        </w:rPr>
        <w:t> </w:t>
      </w:r>
      <w:r>
        <w:rPr>
          <w:color w:val="231F20"/>
        </w:rPr>
        <w:t>questo,</w:t>
      </w:r>
      <w:r>
        <w:rPr>
          <w:color w:val="231F20"/>
          <w:spacing w:val="-13"/>
        </w:rPr>
        <w:t> </w:t>
      </w:r>
      <w:r>
        <w:rPr>
          <w:color w:val="231F20"/>
        </w:rPr>
        <w:t>non soltanto contro il provvedimento con il quale l’amministrazione le ave-</w:t>
      </w:r>
      <w:r>
        <w:rPr>
          <w:color w:val="231F20"/>
          <w:spacing w:val="80"/>
          <w:w w:val="150"/>
        </w:rPr>
        <w:t> </w:t>
      </w:r>
      <w:r>
        <w:rPr>
          <w:color w:val="231F20"/>
        </w:rPr>
        <w:t>va inflitto la sanzione, ma anche contro l’atto amministrativo di richiesta di informazioni che la stessa amministrazione finanziaria lussemburghese, nella sua veste di autorità interpellata,</w:t>
      </w:r>
      <w:r>
        <w:rPr>
          <w:color w:val="231F20"/>
          <w:spacing w:val="40"/>
        </w:rPr>
        <w:t> </w:t>
      </w:r>
      <w:r>
        <w:rPr>
          <w:color w:val="231F20"/>
        </w:rPr>
        <w:t>le aveva notificato in applicazione degli artt. 5 e 18 della direttiva 2011/16/UE</w:t>
      </w:r>
      <w:r>
        <w:rPr>
          <w:rFonts w:ascii="Times New Roman" w:hAnsi="Times New Roman"/>
          <w:color w:val="231F20"/>
          <w:position w:val="8"/>
          <w:sz w:val="14"/>
        </w:rPr>
        <w:t>73</w:t>
      </w:r>
      <w:r>
        <w:rPr>
          <w:color w:val="231F20"/>
        </w:rPr>
        <w:t>. Da tale principio la Corte di</w:t>
      </w:r>
      <w:r>
        <w:rPr>
          <w:color w:val="231F20"/>
          <w:spacing w:val="-15"/>
        </w:rPr>
        <w:t> </w:t>
      </w:r>
      <w:r>
        <w:rPr>
          <w:color w:val="231F20"/>
        </w:rPr>
        <w:t>giustizia</w:t>
      </w:r>
      <w:r>
        <w:rPr>
          <w:color w:val="231F20"/>
          <w:spacing w:val="-15"/>
        </w:rPr>
        <w:t> </w:t>
      </w:r>
      <w:r>
        <w:rPr>
          <w:color w:val="231F20"/>
        </w:rPr>
        <w:t>ha</w:t>
      </w:r>
      <w:r>
        <w:rPr>
          <w:color w:val="231F20"/>
          <w:spacing w:val="-15"/>
        </w:rPr>
        <w:t> </w:t>
      </w:r>
      <w:r>
        <w:rPr>
          <w:color w:val="231F20"/>
        </w:rPr>
        <w:t>tratto</w:t>
      </w:r>
      <w:r>
        <w:rPr>
          <w:color w:val="231F20"/>
          <w:spacing w:val="-15"/>
        </w:rPr>
        <w:t> </w:t>
      </w:r>
      <w:r>
        <w:rPr>
          <w:color w:val="231F20"/>
        </w:rPr>
        <w:t>l’ulteriore</w:t>
      </w:r>
      <w:r>
        <w:rPr>
          <w:color w:val="231F20"/>
          <w:spacing w:val="-15"/>
        </w:rPr>
        <w:t> </w:t>
      </w:r>
      <w:r>
        <w:rPr>
          <w:color w:val="231F20"/>
        </w:rPr>
        <w:t>conseguenza</w:t>
      </w:r>
      <w:r>
        <w:rPr>
          <w:color w:val="231F20"/>
          <w:spacing w:val="-15"/>
        </w:rPr>
        <w:t> </w:t>
      </w:r>
      <w:r>
        <w:rPr>
          <w:color w:val="231F20"/>
        </w:rPr>
        <w:t>che</w:t>
      </w:r>
      <w:r>
        <w:rPr>
          <w:color w:val="231F20"/>
          <w:spacing w:val="-15"/>
        </w:rPr>
        <w:t> </w:t>
      </w:r>
      <w:r>
        <w:rPr>
          <w:color w:val="231F20"/>
        </w:rPr>
        <w:t>il</w:t>
      </w:r>
      <w:r>
        <w:rPr>
          <w:color w:val="231F20"/>
          <w:spacing w:val="-15"/>
        </w:rPr>
        <w:t> </w:t>
      </w:r>
      <w:r>
        <w:rPr>
          <w:color w:val="231F20"/>
        </w:rPr>
        <w:t>sindacato</w:t>
      </w:r>
      <w:r>
        <w:rPr>
          <w:color w:val="231F20"/>
          <w:spacing w:val="-15"/>
        </w:rPr>
        <w:t> </w:t>
      </w:r>
      <w:r>
        <w:rPr>
          <w:color w:val="231F20"/>
        </w:rPr>
        <w:t>del</w:t>
      </w:r>
      <w:r>
        <w:rPr>
          <w:color w:val="231F20"/>
          <w:spacing w:val="-15"/>
        </w:rPr>
        <w:t> </w:t>
      </w:r>
      <w:r>
        <w:rPr>
          <w:color w:val="231F20"/>
        </w:rPr>
        <w:t>giudice</w:t>
      </w:r>
      <w:r>
        <w:rPr>
          <w:color w:val="231F20"/>
          <w:spacing w:val="-15"/>
        </w:rPr>
        <w:t> </w:t>
      </w:r>
      <w:r>
        <w:rPr>
          <w:color w:val="231F20"/>
        </w:rPr>
        <w:t>am- ministrativo</w:t>
      </w:r>
      <w:r>
        <w:rPr>
          <w:color w:val="231F20"/>
          <w:spacing w:val="-1"/>
        </w:rPr>
        <w:t> </w:t>
      </w:r>
      <w:r>
        <w:rPr>
          <w:color w:val="231F20"/>
        </w:rPr>
        <w:t>nazionale</w:t>
      </w:r>
      <w:r>
        <w:rPr>
          <w:color w:val="231F20"/>
          <w:spacing w:val="-1"/>
        </w:rPr>
        <w:t> </w:t>
      </w:r>
      <w:r>
        <w:rPr>
          <w:color w:val="231F20"/>
        </w:rPr>
        <w:t>adito</w:t>
      </w:r>
      <w:r>
        <w:rPr>
          <w:color w:val="231F20"/>
          <w:spacing w:val="-1"/>
        </w:rPr>
        <w:t> </w:t>
      </w:r>
      <w:r>
        <w:rPr>
          <w:color w:val="231F20"/>
        </w:rPr>
        <w:t>dal</w:t>
      </w:r>
      <w:r>
        <w:rPr>
          <w:color w:val="231F20"/>
          <w:spacing w:val="-1"/>
        </w:rPr>
        <w:t> </w:t>
      </w:r>
      <w:r>
        <w:rPr>
          <w:color w:val="231F20"/>
        </w:rPr>
        <w:t>soggetto</w:t>
      </w:r>
      <w:r>
        <w:rPr>
          <w:color w:val="231F20"/>
          <w:spacing w:val="-1"/>
        </w:rPr>
        <w:t> </w:t>
      </w:r>
      <w:r>
        <w:rPr>
          <w:color w:val="231F20"/>
        </w:rPr>
        <w:t>detentore</w:t>
      </w:r>
      <w:r>
        <w:rPr>
          <w:color w:val="231F20"/>
          <w:spacing w:val="-1"/>
        </w:rPr>
        <w:t> </w:t>
      </w:r>
      <w:r>
        <w:rPr>
          <w:color w:val="231F20"/>
        </w:rPr>
        <w:t>delle</w:t>
      </w:r>
      <w:r>
        <w:rPr>
          <w:color w:val="231F20"/>
          <w:spacing w:val="-1"/>
        </w:rPr>
        <w:t> </w:t>
      </w:r>
      <w:r>
        <w:rPr>
          <w:color w:val="231F20"/>
        </w:rPr>
        <w:t>informazioni</w:t>
      </w:r>
      <w:r>
        <w:rPr>
          <w:color w:val="231F20"/>
          <w:spacing w:val="-1"/>
        </w:rPr>
        <w:t> </w:t>
      </w:r>
      <w:r>
        <w:rPr>
          <w:color w:val="231F20"/>
        </w:rPr>
        <w:t>con un</w:t>
      </w:r>
      <w:r>
        <w:rPr>
          <w:color w:val="231F20"/>
          <w:spacing w:val="-4"/>
        </w:rPr>
        <w:t> </w:t>
      </w:r>
      <w:r>
        <w:rPr>
          <w:color w:val="231F20"/>
        </w:rPr>
        <w:t>ricorso</w:t>
      </w:r>
      <w:r>
        <w:rPr>
          <w:color w:val="231F20"/>
          <w:spacing w:val="-4"/>
        </w:rPr>
        <w:t> </w:t>
      </w:r>
      <w:r>
        <w:rPr>
          <w:color w:val="231F20"/>
        </w:rPr>
        <w:t>contro</w:t>
      </w:r>
      <w:r>
        <w:rPr>
          <w:color w:val="231F20"/>
          <w:spacing w:val="-4"/>
        </w:rPr>
        <w:t> </w:t>
      </w:r>
      <w:r>
        <w:rPr>
          <w:color w:val="231F20"/>
        </w:rPr>
        <w:t>l’atto</w:t>
      </w:r>
      <w:r>
        <w:rPr>
          <w:color w:val="231F20"/>
          <w:spacing w:val="-4"/>
        </w:rPr>
        <w:t> </w:t>
      </w:r>
      <w:r>
        <w:rPr>
          <w:color w:val="231F20"/>
        </w:rPr>
        <w:t>sanzionatorio,</w:t>
      </w:r>
      <w:r>
        <w:rPr>
          <w:color w:val="231F20"/>
          <w:spacing w:val="-4"/>
        </w:rPr>
        <w:t> </w:t>
      </w:r>
      <w:r>
        <w:rPr>
          <w:color w:val="231F20"/>
        </w:rPr>
        <w:t>doveva</w:t>
      </w:r>
      <w:r>
        <w:rPr>
          <w:color w:val="231F20"/>
          <w:spacing w:val="-4"/>
        </w:rPr>
        <w:t> </w:t>
      </w:r>
      <w:r>
        <w:rPr>
          <w:color w:val="231F20"/>
        </w:rPr>
        <w:t>essere</w:t>
      </w:r>
      <w:r>
        <w:rPr>
          <w:color w:val="231F20"/>
          <w:spacing w:val="-4"/>
        </w:rPr>
        <w:t> </w:t>
      </w:r>
      <w:r>
        <w:rPr>
          <w:color w:val="231F20"/>
        </w:rPr>
        <w:t>esteso</w:t>
      </w:r>
      <w:r>
        <w:rPr>
          <w:color w:val="231F20"/>
          <w:spacing w:val="-4"/>
        </w:rPr>
        <w:t> </w:t>
      </w:r>
      <w:r>
        <w:rPr>
          <w:color w:val="231F20"/>
        </w:rPr>
        <w:t>anche</w:t>
      </w:r>
      <w:r>
        <w:rPr>
          <w:color w:val="231F20"/>
          <w:spacing w:val="-4"/>
        </w:rPr>
        <w:t> </w:t>
      </w:r>
      <w:r>
        <w:rPr>
          <w:color w:val="231F20"/>
        </w:rPr>
        <w:t>all’esame della</w:t>
      </w:r>
      <w:r>
        <w:rPr>
          <w:color w:val="231F20"/>
          <w:spacing w:val="-10"/>
        </w:rPr>
        <w:t> </w:t>
      </w:r>
      <w:r>
        <w:rPr>
          <w:color w:val="231F20"/>
        </w:rPr>
        <w:t>legittimità</w:t>
      </w:r>
      <w:r>
        <w:rPr>
          <w:color w:val="231F20"/>
          <w:spacing w:val="-10"/>
        </w:rPr>
        <w:t> </w:t>
      </w:r>
      <w:r>
        <w:rPr>
          <w:color w:val="231F20"/>
        </w:rPr>
        <w:t>della</w:t>
      </w:r>
      <w:r>
        <w:rPr>
          <w:color w:val="231F20"/>
          <w:spacing w:val="-10"/>
        </w:rPr>
        <w:t> </w:t>
      </w:r>
      <w:r>
        <w:rPr>
          <w:color w:val="231F20"/>
        </w:rPr>
        <w:t>decisione</w:t>
      </w:r>
      <w:r>
        <w:rPr>
          <w:color w:val="231F20"/>
          <w:spacing w:val="-10"/>
        </w:rPr>
        <w:t> </w:t>
      </w:r>
      <w:r>
        <w:rPr>
          <w:color w:val="231F20"/>
        </w:rPr>
        <w:t>di</w:t>
      </w:r>
      <w:r>
        <w:rPr>
          <w:color w:val="231F20"/>
          <w:spacing w:val="-10"/>
        </w:rPr>
        <w:t> </w:t>
      </w:r>
      <w:r>
        <w:rPr>
          <w:color w:val="231F20"/>
        </w:rPr>
        <w:t>ingiunzione</w:t>
      </w:r>
      <w:r>
        <w:rPr>
          <w:color w:val="231F20"/>
          <w:spacing w:val="-10"/>
        </w:rPr>
        <w:t> </w:t>
      </w:r>
      <w:r>
        <w:rPr>
          <w:color w:val="231F20"/>
        </w:rPr>
        <w:t>la</w:t>
      </w:r>
      <w:r>
        <w:rPr>
          <w:color w:val="231F20"/>
          <w:spacing w:val="-10"/>
        </w:rPr>
        <w:t> </w:t>
      </w:r>
      <w:r>
        <w:rPr>
          <w:color w:val="231F20"/>
        </w:rPr>
        <w:t>cui</w:t>
      </w:r>
      <w:r>
        <w:rPr>
          <w:color w:val="231F20"/>
          <w:spacing w:val="-10"/>
        </w:rPr>
        <w:t> </w:t>
      </w:r>
      <w:r>
        <w:rPr>
          <w:color w:val="231F20"/>
        </w:rPr>
        <w:t>violazione</w:t>
      </w:r>
      <w:r>
        <w:rPr>
          <w:color w:val="231F20"/>
          <w:spacing w:val="-10"/>
        </w:rPr>
        <w:t> </w:t>
      </w:r>
      <w:r>
        <w:rPr>
          <w:color w:val="231F20"/>
        </w:rPr>
        <w:t>costituiva</w:t>
      </w:r>
      <w:r>
        <w:rPr>
          <w:color w:val="231F20"/>
          <w:spacing w:val="-10"/>
        </w:rPr>
        <w:t> </w:t>
      </w:r>
      <w:r>
        <w:rPr>
          <w:color w:val="231F20"/>
        </w:rPr>
        <w:t>il presupposto</w:t>
      </w:r>
      <w:r>
        <w:rPr>
          <w:color w:val="231F20"/>
          <w:spacing w:val="-11"/>
        </w:rPr>
        <w:t> </w:t>
      </w:r>
      <w:r>
        <w:rPr>
          <w:color w:val="231F20"/>
        </w:rPr>
        <w:t>logico</w:t>
      </w:r>
      <w:r>
        <w:rPr>
          <w:color w:val="231F20"/>
          <w:spacing w:val="-9"/>
        </w:rPr>
        <w:t> </w:t>
      </w:r>
      <w:r>
        <w:rPr>
          <w:color w:val="231F20"/>
        </w:rPr>
        <w:t>della</w:t>
      </w:r>
      <w:r>
        <w:rPr>
          <w:color w:val="231F20"/>
          <w:spacing w:val="-9"/>
        </w:rPr>
        <w:t> </w:t>
      </w:r>
      <w:r>
        <w:rPr>
          <w:color w:val="231F20"/>
        </w:rPr>
        <w:t>sanzione</w:t>
      </w:r>
      <w:r>
        <w:rPr>
          <w:color w:val="231F20"/>
          <w:spacing w:val="-9"/>
        </w:rPr>
        <w:t> </w:t>
      </w:r>
      <w:r>
        <w:rPr>
          <w:color w:val="231F20"/>
        </w:rPr>
        <w:t>amministrativa</w:t>
      </w:r>
      <w:r>
        <w:rPr>
          <w:color w:val="231F20"/>
          <w:spacing w:val="-9"/>
        </w:rPr>
        <w:t> </w:t>
      </w:r>
      <w:r>
        <w:rPr>
          <w:color w:val="231F20"/>
        </w:rPr>
        <w:t>contestata</w:t>
      </w:r>
      <w:r>
        <w:rPr>
          <w:rFonts w:ascii="Times New Roman" w:hAnsi="Times New Roman"/>
          <w:color w:val="231F20"/>
          <w:position w:val="8"/>
          <w:sz w:val="14"/>
        </w:rPr>
        <w:t>74</w:t>
      </w:r>
      <w:r>
        <w:rPr>
          <w:color w:val="231F20"/>
        </w:rPr>
        <w:t>.</w:t>
      </w:r>
      <w:r>
        <w:rPr>
          <w:color w:val="231F20"/>
          <w:spacing w:val="-15"/>
        </w:rPr>
        <w:t> </w:t>
      </w:r>
      <w:r>
        <w:rPr>
          <w:color w:val="231F20"/>
        </w:rPr>
        <w:t>Tale</w:t>
      </w:r>
      <w:r>
        <w:rPr>
          <w:color w:val="231F20"/>
          <w:spacing w:val="-9"/>
        </w:rPr>
        <w:t> </w:t>
      </w:r>
      <w:r>
        <w:rPr>
          <w:color w:val="231F20"/>
        </w:rPr>
        <w:t>impor- tante</w:t>
      </w:r>
      <w:r>
        <w:rPr>
          <w:color w:val="231F20"/>
          <w:spacing w:val="-1"/>
        </w:rPr>
        <w:t> </w:t>
      </w:r>
      <w:r>
        <w:rPr>
          <w:color w:val="231F20"/>
        </w:rPr>
        <w:t>principio</w:t>
      </w:r>
      <w:r>
        <w:rPr>
          <w:color w:val="231F20"/>
          <w:spacing w:val="-1"/>
        </w:rPr>
        <w:t> </w:t>
      </w:r>
      <w:r>
        <w:rPr>
          <w:color w:val="231F20"/>
        </w:rPr>
        <w:t>interpretativo</w:t>
      </w:r>
      <w:r>
        <w:rPr>
          <w:color w:val="231F20"/>
          <w:spacing w:val="-1"/>
        </w:rPr>
        <w:t> </w:t>
      </w:r>
      <w:r>
        <w:rPr>
          <w:color w:val="231F20"/>
        </w:rPr>
        <w:t>dell’art.</w:t>
      </w:r>
      <w:r>
        <w:rPr>
          <w:color w:val="231F20"/>
          <w:spacing w:val="-1"/>
        </w:rPr>
        <w:t> </w:t>
      </w:r>
      <w:r>
        <w:rPr>
          <w:color w:val="231F20"/>
        </w:rPr>
        <w:t>47</w:t>
      </w:r>
      <w:r>
        <w:rPr>
          <w:color w:val="231F20"/>
          <w:spacing w:val="-1"/>
        </w:rPr>
        <w:t> </w:t>
      </w:r>
      <w:r>
        <w:rPr>
          <w:color w:val="231F20"/>
        </w:rPr>
        <w:t>della</w:t>
      </w:r>
      <w:r>
        <w:rPr>
          <w:color w:val="231F20"/>
          <w:spacing w:val="-1"/>
        </w:rPr>
        <w:t> </w:t>
      </w:r>
      <w:r>
        <w:rPr>
          <w:color w:val="231F20"/>
        </w:rPr>
        <w:t>Carta</w:t>
      </w:r>
      <w:r>
        <w:rPr>
          <w:color w:val="231F20"/>
          <w:spacing w:val="-1"/>
        </w:rPr>
        <w:t> </w:t>
      </w:r>
      <w:r>
        <w:rPr>
          <w:color w:val="231F20"/>
        </w:rPr>
        <w:t>dei</w:t>
      </w:r>
      <w:r>
        <w:rPr>
          <w:color w:val="231F20"/>
          <w:spacing w:val="-1"/>
        </w:rPr>
        <w:t> </w:t>
      </w:r>
      <w:r>
        <w:rPr>
          <w:color w:val="231F20"/>
        </w:rPr>
        <w:t>diritti</w:t>
      </w:r>
      <w:r>
        <w:rPr>
          <w:color w:val="231F20"/>
          <w:spacing w:val="-1"/>
        </w:rPr>
        <w:t> </w:t>
      </w:r>
      <w:r>
        <w:rPr>
          <w:color w:val="231F20"/>
        </w:rPr>
        <w:t>fondamen- tali,</w:t>
      </w:r>
      <w:r>
        <w:rPr>
          <w:color w:val="231F20"/>
          <w:spacing w:val="-7"/>
        </w:rPr>
        <w:t> </w:t>
      </w:r>
      <w:r>
        <w:rPr>
          <w:color w:val="231F20"/>
        </w:rPr>
        <w:t>vale</w:t>
      </w:r>
      <w:r>
        <w:rPr>
          <w:color w:val="231F20"/>
          <w:spacing w:val="-7"/>
        </w:rPr>
        <w:t> </w:t>
      </w:r>
      <w:r>
        <w:rPr>
          <w:color w:val="231F20"/>
        </w:rPr>
        <w:t>a</w:t>
      </w:r>
      <w:r>
        <w:rPr>
          <w:color w:val="231F20"/>
          <w:spacing w:val="-7"/>
        </w:rPr>
        <w:t> </w:t>
      </w:r>
      <w:r>
        <w:rPr>
          <w:color w:val="231F20"/>
        </w:rPr>
        <w:t>dire</w:t>
      </w:r>
      <w:r>
        <w:rPr>
          <w:color w:val="231F20"/>
          <w:spacing w:val="-7"/>
        </w:rPr>
        <w:t> </w:t>
      </w:r>
      <w:r>
        <w:rPr>
          <w:color w:val="231F20"/>
        </w:rPr>
        <w:t>il</w:t>
      </w:r>
      <w:r>
        <w:rPr>
          <w:color w:val="231F20"/>
          <w:spacing w:val="-7"/>
        </w:rPr>
        <w:t> </w:t>
      </w:r>
      <w:r>
        <w:rPr>
          <w:color w:val="231F20"/>
        </w:rPr>
        <w:t>pieno</w:t>
      </w:r>
      <w:r>
        <w:rPr>
          <w:color w:val="231F20"/>
          <w:spacing w:val="-7"/>
        </w:rPr>
        <w:t> </w:t>
      </w:r>
      <w:r>
        <w:rPr>
          <w:color w:val="231F20"/>
        </w:rPr>
        <w:t>diritto</w:t>
      </w:r>
      <w:r>
        <w:rPr>
          <w:color w:val="231F20"/>
          <w:spacing w:val="-7"/>
        </w:rPr>
        <w:t> </w:t>
      </w:r>
      <w:r>
        <w:rPr>
          <w:color w:val="231F20"/>
        </w:rPr>
        <w:t>del</w:t>
      </w:r>
      <w:r>
        <w:rPr>
          <w:color w:val="231F20"/>
          <w:spacing w:val="-7"/>
        </w:rPr>
        <w:t> </w:t>
      </w:r>
      <w:r>
        <w:rPr>
          <w:color w:val="231F20"/>
        </w:rPr>
        <w:t>soggetto</w:t>
      </w:r>
      <w:r>
        <w:rPr>
          <w:color w:val="231F20"/>
          <w:spacing w:val="-7"/>
        </w:rPr>
        <w:t> </w:t>
      </w:r>
      <w:r>
        <w:rPr>
          <w:color w:val="231F20"/>
        </w:rPr>
        <w:t>detentore</w:t>
      </w:r>
      <w:r>
        <w:rPr>
          <w:color w:val="231F20"/>
          <w:spacing w:val="-7"/>
        </w:rPr>
        <w:t> </w:t>
      </w:r>
      <w:r>
        <w:rPr>
          <w:color w:val="231F20"/>
        </w:rPr>
        <w:t>delle</w:t>
      </w:r>
      <w:r>
        <w:rPr>
          <w:color w:val="231F20"/>
          <w:spacing w:val="-7"/>
        </w:rPr>
        <w:t> </w:t>
      </w:r>
      <w:r>
        <w:rPr>
          <w:color w:val="231F20"/>
        </w:rPr>
        <w:t>informazioni,</w:t>
      </w:r>
      <w:r>
        <w:rPr>
          <w:color w:val="231F20"/>
          <w:spacing w:val="-7"/>
        </w:rPr>
        <w:t> </w:t>
      </w:r>
      <w:r>
        <w:rPr>
          <w:color w:val="231F20"/>
        </w:rPr>
        <w:t>di impugnare l’atto amministrativo di richiesta di informazioni notificatogli da parte dell’amministrazione finanziaria del proprio Stato membro per conto dell’amministrazione finanziaria di un altro Stato membro, è stato pienamente confermato nelle due successive sentenze C-245/19, État </w:t>
      </w:r>
      <w:r>
        <w:rPr>
          <w:i/>
          <w:color w:val="231F20"/>
        </w:rPr>
        <w:t>lu-</w:t>
      </w:r>
      <w:r>
        <w:rPr>
          <w:i/>
          <w:color w:val="231F20"/>
        </w:rPr>
        <w:t> xembourgois</w:t>
      </w:r>
      <w:r>
        <w:rPr>
          <w:i/>
          <w:color w:val="231F20"/>
          <w:spacing w:val="-6"/>
        </w:rPr>
        <w:t> </w:t>
      </w:r>
      <w:r>
        <w:rPr>
          <w:i/>
          <w:color w:val="231F20"/>
        </w:rPr>
        <w:t>contro</w:t>
      </w:r>
      <w:r>
        <w:rPr>
          <w:i/>
          <w:color w:val="231F20"/>
          <w:spacing w:val="-4"/>
        </w:rPr>
        <w:t> </w:t>
      </w:r>
      <w:r>
        <w:rPr>
          <w:i/>
          <w:color w:val="231F20"/>
        </w:rPr>
        <w:t>B</w:t>
      </w:r>
      <w:r>
        <w:rPr>
          <w:rFonts w:ascii="Times New Roman" w:hAnsi="Times New Roman"/>
          <w:color w:val="231F20"/>
          <w:position w:val="8"/>
          <w:sz w:val="14"/>
        </w:rPr>
        <w:t>75</w:t>
      </w:r>
      <w:r>
        <w:rPr>
          <w:rFonts w:ascii="Times New Roman" w:hAnsi="Times New Roman"/>
          <w:color w:val="231F20"/>
          <w:spacing w:val="21"/>
          <w:position w:val="8"/>
          <w:sz w:val="14"/>
        </w:rPr>
        <w:t> </w:t>
      </w:r>
      <w:r>
        <w:rPr>
          <w:color w:val="231F20"/>
        </w:rPr>
        <w:t>e</w:t>
      </w:r>
      <w:r>
        <w:rPr>
          <w:color w:val="231F20"/>
          <w:spacing w:val="-4"/>
        </w:rPr>
        <w:t> </w:t>
      </w:r>
      <w:r>
        <w:rPr>
          <w:color w:val="231F20"/>
        </w:rPr>
        <w:t>C-437/19,</w:t>
      </w:r>
      <w:r>
        <w:rPr>
          <w:color w:val="231F20"/>
          <w:spacing w:val="-4"/>
        </w:rPr>
        <w:t> </w:t>
      </w:r>
      <w:r>
        <w:rPr>
          <w:color w:val="231F20"/>
        </w:rPr>
        <w:t>État</w:t>
      </w:r>
      <w:r>
        <w:rPr>
          <w:color w:val="231F20"/>
          <w:spacing w:val="-4"/>
        </w:rPr>
        <w:t> </w:t>
      </w:r>
      <w:r>
        <w:rPr>
          <w:i/>
          <w:color w:val="231F20"/>
        </w:rPr>
        <w:t>luxembourgois</w:t>
      </w:r>
      <w:r>
        <w:rPr>
          <w:i/>
          <w:color w:val="231F20"/>
          <w:spacing w:val="-4"/>
        </w:rPr>
        <w:t> </w:t>
      </w:r>
      <w:r>
        <w:rPr>
          <w:i/>
          <w:color w:val="231F20"/>
        </w:rPr>
        <w:t>contro</w:t>
      </w:r>
      <w:r>
        <w:rPr>
          <w:i/>
          <w:color w:val="231F20"/>
          <w:spacing w:val="-4"/>
        </w:rPr>
        <w:t> </w:t>
      </w:r>
      <w:r>
        <w:rPr>
          <w:i/>
          <w:color w:val="231F20"/>
        </w:rPr>
        <w:t>L</w:t>
      </w:r>
      <w:r>
        <w:rPr>
          <w:rFonts w:ascii="Times New Roman" w:hAnsi="Times New Roman"/>
          <w:color w:val="231F20"/>
          <w:position w:val="8"/>
          <w:sz w:val="14"/>
        </w:rPr>
        <w:t>76</w:t>
      </w:r>
      <w:r>
        <w:rPr>
          <w:color w:val="231F20"/>
        </w:rPr>
        <w:t>,</w:t>
      </w:r>
      <w:r>
        <w:rPr>
          <w:color w:val="231F20"/>
          <w:spacing w:val="53"/>
        </w:rPr>
        <w:t> </w:t>
      </w:r>
      <w:r>
        <w:rPr>
          <w:color w:val="231F20"/>
          <w:spacing w:val="-2"/>
        </w:rPr>
        <w:t>emanate</w:t>
      </w:r>
    </w:p>
    <w:p>
      <w:pPr>
        <w:pStyle w:val="BodyText"/>
        <w:spacing w:before="10"/>
        <w:rPr>
          <w:sz w:val="16"/>
        </w:rPr>
      </w:pPr>
      <w:r>
        <w:rPr/>
        <mc:AlternateContent>
          <mc:Choice Requires="wps">
            <w:drawing>
              <wp:anchor distT="0" distB="0" distL="0" distR="0" allowOverlap="1" layoutInCell="1" locked="0" behindDoc="1" simplePos="0" relativeHeight="487616512">
                <wp:simplePos x="0" y="0"/>
                <wp:positionH relativeFrom="page">
                  <wp:posOffset>899999</wp:posOffset>
                </wp:positionH>
                <wp:positionV relativeFrom="paragraph">
                  <wp:posOffset>151181</wp:posOffset>
                </wp:positionV>
                <wp:extent cx="792480" cy="1270"/>
                <wp:effectExtent l="0" t="0" r="0" b="0"/>
                <wp:wrapTopAndBottom/>
                <wp:docPr id="103" name="Graphic 103"/>
                <wp:cNvGraphicFramePr>
                  <a:graphicFrameLocks/>
                </wp:cNvGraphicFramePr>
                <a:graphic>
                  <a:graphicData uri="http://schemas.microsoft.com/office/word/2010/wordprocessingShape">
                    <wps:wsp>
                      <wps:cNvPr id="103" name="Graphic 103"/>
                      <wps:cNvSpPr/>
                      <wps:spPr>
                        <a:xfrm>
                          <a:off x="0" y="0"/>
                          <a:ext cx="792480" cy="1270"/>
                        </a:xfrm>
                        <a:custGeom>
                          <a:avLst/>
                          <a:gdLst/>
                          <a:ahLst/>
                          <a:cxnLst/>
                          <a:rect l="l" t="t" r="r" b="b"/>
                          <a:pathLst>
                            <a:path w="792480" h="0">
                              <a:moveTo>
                                <a:pt x="0" y="0"/>
                              </a:moveTo>
                              <a:lnTo>
                                <a:pt x="791997"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shape style="position:absolute;margin-left:70.866096pt;margin-top:11.90408pt;width:62.4pt;height:.1pt;mso-position-horizontal-relative:page;mso-position-vertical-relative:paragraph;z-index:-15699968;mso-wrap-distance-left:0;mso-wrap-distance-right:0" id="docshape85" coordorigin="1417,238" coordsize="1248,0" path="m1417,238l2665,238e" filled="false" stroked="true" strokeweight=".5pt" strokecolor="#231f20">
                <v:path arrowok="t"/>
                <v:stroke dashstyle="solid"/>
                <w10:wrap type="topAndBottom"/>
              </v:shape>
            </w:pict>
          </mc:Fallback>
        </mc:AlternateContent>
      </w:r>
    </w:p>
    <w:p>
      <w:pPr>
        <w:spacing w:line="225" w:lineRule="auto" w:before="201"/>
        <w:ind w:left="157" w:right="118" w:hanging="1"/>
        <w:jc w:val="both"/>
        <w:rPr>
          <w:sz w:val="19"/>
        </w:rPr>
      </w:pPr>
      <w:r>
        <w:rPr>
          <w:color w:val="231F20"/>
          <w:position w:val="6"/>
          <w:sz w:val="11"/>
        </w:rPr>
        <w:t>72</w:t>
      </w:r>
      <w:r>
        <w:rPr>
          <w:color w:val="231F20"/>
          <w:spacing w:val="80"/>
          <w:position w:val="6"/>
          <w:sz w:val="11"/>
        </w:rPr>
        <w:t> </w:t>
      </w:r>
      <w:r>
        <w:rPr>
          <w:color w:val="231F20"/>
          <w:sz w:val="19"/>
        </w:rPr>
        <w:t>Questa parte della sentenza </w:t>
      </w:r>
      <w:r>
        <w:rPr>
          <w:i/>
          <w:color w:val="231F20"/>
          <w:sz w:val="19"/>
        </w:rPr>
        <w:t>Berlioz </w:t>
      </w:r>
      <w:r>
        <w:rPr>
          <w:color w:val="231F20"/>
          <w:sz w:val="19"/>
        </w:rPr>
        <w:t>è stata in particolare analizzata da S. Ronco, </w:t>
      </w:r>
      <w:r>
        <w:rPr>
          <w:i/>
          <w:color w:val="231F20"/>
          <w:sz w:val="19"/>
        </w:rPr>
        <w:t>Data</w:t>
      </w:r>
      <w:r>
        <w:rPr>
          <w:i/>
          <w:color w:val="231F20"/>
          <w:sz w:val="19"/>
        </w:rPr>
        <w:t> protection in direct tax matters and developments from the EU standpoint</w:t>
      </w:r>
      <w:r>
        <w:rPr>
          <w:color w:val="231F20"/>
          <w:sz w:val="19"/>
        </w:rPr>
        <w:t>: </w:t>
      </w:r>
      <w:r>
        <w:rPr>
          <w:i/>
          <w:color w:val="231F20"/>
          <w:sz w:val="19"/>
        </w:rPr>
        <w:t>the case of </w:t>
      </w:r>
      <w:r>
        <w:rPr>
          <w:i/>
          <w:color w:val="231F20"/>
          <w:sz w:val="19"/>
        </w:rPr>
        <w:t>automatic</w:t>
      </w:r>
      <w:r>
        <w:rPr>
          <w:i/>
          <w:color w:val="231F20"/>
          <w:sz w:val="19"/>
        </w:rPr>
        <w:t> exchange of information</w:t>
      </w:r>
      <w:r>
        <w:rPr>
          <w:color w:val="231F20"/>
          <w:sz w:val="19"/>
        </w:rPr>
        <w:t>, in </w:t>
      </w:r>
      <w:r>
        <w:rPr>
          <w:i/>
          <w:color w:val="231F20"/>
          <w:sz w:val="19"/>
        </w:rPr>
        <w:t>International</w:t>
      </w:r>
      <w:r>
        <w:rPr>
          <w:i/>
          <w:color w:val="231F20"/>
          <w:spacing w:val="-1"/>
          <w:sz w:val="19"/>
        </w:rPr>
        <w:t> </w:t>
      </w:r>
      <w:r>
        <w:rPr>
          <w:i/>
          <w:color w:val="231F20"/>
          <w:sz w:val="19"/>
        </w:rPr>
        <w:t>Tax Studies, </w:t>
      </w:r>
      <w:r>
        <w:rPr>
          <w:color w:val="231F20"/>
          <w:sz w:val="19"/>
        </w:rPr>
        <w:t>4, 2020, pp. 8-9.</w:t>
      </w:r>
    </w:p>
    <w:p>
      <w:pPr>
        <w:spacing w:line="227" w:lineRule="exact" w:before="0"/>
        <w:ind w:left="157" w:right="0" w:firstLine="0"/>
        <w:jc w:val="both"/>
        <w:rPr>
          <w:sz w:val="19"/>
        </w:rPr>
      </w:pPr>
      <w:r>
        <w:rPr>
          <w:color w:val="231F20"/>
          <w:position w:val="6"/>
          <w:sz w:val="11"/>
        </w:rPr>
        <w:t>73</w:t>
      </w:r>
      <w:r>
        <w:rPr>
          <w:color w:val="231F20"/>
          <w:spacing w:val="53"/>
          <w:position w:val="6"/>
          <w:sz w:val="11"/>
        </w:rPr>
        <w:t>  </w:t>
      </w:r>
      <w:r>
        <w:rPr>
          <w:color w:val="231F20"/>
          <w:sz w:val="19"/>
        </w:rPr>
        <w:t>Corte</w:t>
      </w:r>
      <w:r>
        <w:rPr>
          <w:color w:val="231F20"/>
          <w:spacing w:val="1"/>
          <w:sz w:val="19"/>
        </w:rPr>
        <w:t> </w:t>
      </w:r>
      <w:r>
        <w:rPr>
          <w:color w:val="231F20"/>
          <w:sz w:val="19"/>
        </w:rPr>
        <w:t>giust. UE, sent. del 16</w:t>
      </w:r>
      <w:r>
        <w:rPr>
          <w:color w:val="231F20"/>
          <w:spacing w:val="1"/>
          <w:sz w:val="19"/>
        </w:rPr>
        <w:t> </w:t>
      </w:r>
      <w:r>
        <w:rPr>
          <w:color w:val="231F20"/>
          <w:sz w:val="19"/>
        </w:rPr>
        <w:t>maggio 2017, causa C-682/15, cit., punti 51 e </w:t>
      </w:r>
      <w:r>
        <w:rPr>
          <w:color w:val="231F20"/>
          <w:spacing w:val="-5"/>
          <w:sz w:val="19"/>
        </w:rPr>
        <w:t>52.</w:t>
      </w:r>
    </w:p>
    <w:p>
      <w:pPr>
        <w:spacing w:line="228" w:lineRule="exact" w:before="0"/>
        <w:ind w:left="157" w:right="0" w:firstLine="0"/>
        <w:jc w:val="both"/>
        <w:rPr>
          <w:sz w:val="19"/>
        </w:rPr>
      </w:pPr>
      <w:r>
        <w:rPr>
          <w:color w:val="231F20"/>
          <w:position w:val="6"/>
          <w:sz w:val="11"/>
        </w:rPr>
        <w:t>74</w:t>
      </w:r>
      <w:r>
        <w:rPr>
          <w:color w:val="231F20"/>
          <w:spacing w:val="53"/>
          <w:position w:val="6"/>
          <w:sz w:val="11"/>
        </w:rPr>
        <w:t>  </w:t>
      </w:r>
      <w:r>
        <w:rPr>
          <w:color w:val="231F20"/>
          <w:sz w:val="19"/>
        </w:rPr>
        <w:t>Corte</w:t>
      </w:r>
      <w:r>
        <w:rPr>
          <w:color w:val="231F20"/>
          <w:spacing w:val="1"/>
          <w:sz w:val="19"/>
        </w:rPr>
        <w:t> </w:t>
      </w:r>
      <w:r>
        <w:rPr>
          <w:color w:val="231F20"/>
          <w:sz w:val="19"/>
        </w:rPr>
        <w:t>giust. UE,</w:t>
      </w:r>
      <w:r>
        <w:rPr>
          <w:color w:val="231F20"/>
          <w:spacing w:val="1"/>
          <w:sz w:val="19"/>
        </w:rPr>
        <w:t> </w:t>
      </w:r>
      <w:r>
        <w:rPr>
          <w:color w:val="231F20"/>
          <w:sz w:val="19"/>
        </w:rPr>
        <w:t>ult. cit., punti 56 e </w:t>
      </w:r>
      <w:r>
        <w:rPr>
          <w:color w:val="231F20"/>
          <w:spacing w:val="-5"/>
          <w:sz w:val="19"/>
        </w:rPr>
        <w:t>59.</w:t>
      </w:r>
    </w:p>
    <w:p>
      <w:pPr>
        <w:spacing w:line="225" w:lineRule="auto" w:before="3"/>
        <w:ind w:left="157" w:right="119" w:firstLine="0"/>
        <w:jc w:val="both"/>
        <w:rPr>
          <w:sz w:val="19"/>
        </w:rPr>
      </w:pPr>
      <w:r>
        <w:rPr>
          <w:color w:val="231F20"/>
          <w:position w:val="6"/>
          <w:sz w:val="11"/>
        </w:rPr>
        <w:t>75</w:t>
      </w:r>
      <w:r>
        <w:rPr>
          <w:color w:val="231F20"/>
          <w:spacing w:val="80"/>
          <w:position w:val="6"/>
          <w:sz w:val="11"/>
        </w:rPr>
        <w:t> </w:t>
      </w:r>
      <w:r>
        <w:rPr>
          <w:color w:val="231F20"/>
          <w:sz w:val="19"/>
        </w:rPr>
        <w:t>Corte giust. UE, sent. del 6 ottobre 2020, cause riunite C-245/19 e C-246/19, État </w:t>
      </w:r>
      <w:r>
        <w:rPr>
          <w:i/>
          <w:color w:val="231F20"/>
          <w:sz w:val="19"/>
        </w:rPr>
        <w:t>luxembourgeois</w:t>
      </w:r>
      <w:r>
        <w:rPr>
          <w:i/>
          <w:color w:val="231F20"/>
          <w:spacing w:val="-6"/>
          <w:sz w:val="19"/>
        </w:rPr>
        <w:t> </w:t>
      </w:r>
      <w:r>
        <w:rPr>
          <w:i/>
          <w:color w:val="231F20"/>
          <w:sz w:val="19"/>
        </w:rPr>
        <w:t>contro</w:t>
      </w:r>
      <w:r>
        <w:rPr>
          <w:i/>
          <w:color w:val="231F20"/>
          <w:spacing w:val="-6"/>
          <w:sz w:val="19"/>
        </w:rPr>
        <w:t> </w:t>
      </w:r>
      <w:r>
        <w:rPr>
          <w:i/>
          <w:color w:val="231F20"/>
          <w:sz w:val="19"/>
        </w:rPr>
        <w:t>B</w:t>
      </w:r>
      <w:r>
        <w:rPr>
          <w:i/>
          <w:color w:val="231F20"/>
          <w:spacing w:val="-6"/>
          <w:sz w:val="19"/>
        </w:rPr>
        <w:t> </w:t>
      </w:r>
      <w:r>
        <w:rPr>
          <w:color w:val="231F20"/>
          <w:sz w:val="19"/>
        </w:rPr>
        <w:t>(C-245/19)</w:t>
      </w:r>
      <w:r>
        <w:rPr>
          <w:color w:val="231F20"/>
          <w:spacing w:val="-6"/>
          <w:sz w:val="19"/>
        </w:rPr>
        <w:t> </w:t>
      </w:r>
      <w:r>
        <w:rPr>
          <w:color w:val="231F20"/>
          <w:sz w:val="19"/>
        </w:rPr>
        <w:t>e</w:t>
      </w:r>
      <w:r>
        <w:rPr>
          <w:color w:val="231F20"/>
          <w:spacing w:val="-6"/>
          <w:sz w:val="19"/>
        </w:rPr>
        <w:t> </w:t>
      </w:r>
      <w:r>
        <w:rPr>
          <w:color w:val="231F20"/>
          <w:sz w:val="19"/>
        </w:rPr>
        <w:t>État</w:t>
      </w:r>
      <w:r>
        <w:rPr>
          <w:color w:val="231F20"/>
          <w:spacing w:val="-6"/>
          <w:sz w:val="19"/>
        </w:rPr>
        <w:t> </w:t>
      </w:r>
      <w:r>
        <w:rPr>
          <w:i/>
          <w:color w:val="231F20"/>
          <w:sz w:val="19"/>
        </w:rPr>
        <w:t>Luxembourgois</w:t>
      </w:r>
      <w:r>
        <w:rPr>
          <w:i/>
          <w:color w:val="231F20"/>
          <w:spacing w:val="-6"/>
          <w:sz w:val="19"/>
        </w:rPr>
        <w:t> </w:t>
      </w:r>
      <w:r>
        <w:rPr>
          <w:i/>
          <w:color w:val="231F20"/>
          <w:sz w:val="19"/>
        </w:rPr>
        <w:t>contro</w:t>
      </w:r>
      <w:r>
        <w:rPr>
          <w:i/>
          <w:color w:val="231F20"/>
          <w:spacing w:val="-6"/>
          <w:sz w:val="19"/>
        </w:rPr>
        <w:t> </w:t>
      </w:r>
      <w:r>
        <w:rPr>
          <w:i/>
          <w:color w:val="231F20"/>
          <w:sz w:val="19"/>
        </w:rPr>
        <w:t>B,</w:t>
      </w:r>
      <w:r>
        <w:rPr>
          <w:i/>
          <w:color w:val="231F20"/>
          <w:spacing w:val="-6"/>
          <w:sz w:val="19"/>
        </w:rPr>
        <w:t> </w:t>
      </w:r>
      <w:r>
        <w:rPr>
          <w:i/>
          <w:color w:val="231F20"/>
          <w:sz w:val="19"/>
        </w:rPr>
        <w:t>C,</w:t>
      </w:r>
      <w:r>
        <w:rPr>
          <w:i/>
          <w:color w:val="231F20"/>
          <w:spacing w:val="-6"/>
          <w:sz w:val="19"/>
        </w:rPr>
        <w:t> </w:t>
      </w:r>
      <w:r>
        <w:rPr>
          <w:i/>
          <w:color w:val="231F20"/>
          <w:sz w:val="19"/>
        </w:rPr>
        <w:t>D</w:t>
      </w:r>
      <w:r>
        <w:rPr>
          <w:i/>
          <w:color w:val="231F20"/>
          <w:spacing w:val="-6"/>
          <w:sz w:val="19"/>
        </w:rPr>
        <w:t> </w:t>
      </w:r>
      <w:r>
        <w:rPr>
          <w:i/>
          <w:color w:val="231F20"/>
          <w:sz w:val="19"/>
        </w:rPr>
        <w:t>e</w:t>
      </w:r>
      <w:r>
        <w:rPr>
          <w:i/>
          <w:color w:val="231F20"/>
          <w:spacing w:val="-6"/>
          <w:sz w:val="19"/>
        </w:rPr>
        <w:t> </w:t>
      </w:r>
      <w:r>
        <w:rPr>
          <w:i/>
          <w:color w:val="231F20"/>
          <w:sz w:val="19"/>
        </w:rPr>
        <w:t>F.C</w:t>
      </w:r>
      <w:r>
        <w:rPr>
          <w:color w:val="231F20"/>
          <w:sz w:val="19"/>
        </w:rPr>
        <w:t>.</w:t>
      </w:r>
      <w:r>
        <w:rPr>
          <w:color w:val="231F20"/>
          <w:spacing w:val="-6"/>
          <w:sz w:val="19"/>
        </w:rPr>
        <w:t> </w:t>
      </w:r>
      <w:r>
        <w:rPr>
          <w:color w:val="231F20"/>
          <w:sz w:val="19"/>
        </w:rPr>
        <w:t>(C-246/19),</w:t>
      </w:r>
      <w:r>
        <w:rPr>
          <w:color w:val="231F20"/>
          <w:spacing w:val="-6"/>
          <w:sz w:val="19"/>
        </w:rPr>
        <w:t> </w:t>
      </w:r>
      <w:r>
        <w:rPr>
          <w:color w:val="231F20"/>
          <w:sz w:val="19"/>
        </w:rPr>
        <w:t>in particolare punti 56-69.</w:t>
      </w:r>
    </w:p>
    <w:p>
      <w:pPr>
        <w:spacing w:line="225" w:lineRule="auto" w:before="3"/>
        <w:ind w:left="157" w:right="117" w:firstLine="0"/>
        <w:jc w:val="both"/>
        <w:rPr>
          <w:sz w:val="19"/>
        </w:rPr>
      </w:pPr>
      <w:r>
        <w:rPr>
          <w:color w:val="231F20"/>
          <w:position w:val="6"/>
          <w:sz w:val="11"/>
        </w:rPr>
        <w:t>76</w:t>
      </w:r>
      <w:r>
        <w:rPr>
          <w:color w:val="231F20"/>
          <w:spacing w:val="80"/>
          <w:position w:val="6"/>
          <w:sz w:val="11"/>
        </w:rPr>
        <w:t> </w:t>
      </w:r>
      <w:r>
        <w:rPr>
          <w:color w:val="231F20"/>
          <w:sz w:val="19"/>
        </w:rPr>
        <w:t>Corte giust. UE, sent. del 25 novembre 2021, C-437/19, État </w:t>
      </w:r>
      <w:r>
        <w:rPr>
          <w:i/>
          <w:color w:val="231F20"/>
          <w:sz w:val="19"/>
        </w:rPr>
        <w:t>luxembourgois contro L</w:t>
      </w:r>
      <w:r>
        <w:rPr>
          <w:color w:val="231F20"/>
          <w:sz w:val="19"/>
        </w:rPr>
        <w:t>, punto 89.</w:t>
      </w:r>
    </w:p>
    <w:p>
      <w:pPr>
        <w:spacing w:after="0" w:line="225" w:lineRule="auto"/>
        <w:jc w:val="both"/>
        <w:rPr>
          <w:sz w:val="19"/>
        </w:rPr>
        <w:sectPr>
          <w:pgSz w:w="9640" w:h="13610"/>
          <w:pgMar w:header="0" w:footer="625" w:top="1260" w:bottom="820" w:left="1260" w:right="1240"/>
        </w:sectPr>
      </w:pPr>
    </w:p>
    <w:p>
      <w:pPr>
        <w:pStyle w:val="BodyText"/>
        <w:spacing w:line="225" w:lineRule="auto" w:before="117"/>
        <w:ind w:left="100" w:right="174"/>
        <w:jc w:val="both"/>
      </w:pPr>
      <w:r>
        <w:rPr>
          <w:color w:val="231F20"/>
        </w:rPr>
        <w:t>dalla Corte di giustizia su rinvio pregiudiziale della stessa Corte ammini- strativa</w:t>
      </w:r>
      <w:r>
        <w:rPr>
          <w:color w:val="231F20"/>
          <w:spacing w:val="-15"/>
        </w:rPr>
        <w:t> </w:t>
      </w:r>
      <w:r>
        <w:rPr>
          <w:color w:val="231F20"/>
        </w:rPr>
        <w:t>d’appello</w:t>
      </w:r>
      <w:r>
        <w:rPr>
          <w:color w:val="231F20"/>
          <w:spacing w:val="-15"/>
        </w:rPr>
        <w:t> </w:t>
      </w:r>
      <w:r>
        <w:rPr>
          <w:color w:val="231F20"/>
        </w:rPr>
        <w:t>di</w:t>
      </w:r>
      <w:r>
        <w:rPr>
          <w:color w:val="231F20"/>
          <w:spacing w:val="-15"/>
        </w:rPr>
        <w:t> </w:t>
      </w:r>
      <w:r>
        <w:rPr>
          <w:color w:val="231F20"/>
        </w:rPr>
        <w:t>Lussemburgo</w:t>
      </w:r>
      <w:r>
        <w:rPr>
          <w:color w:val="231F20"/>
          <w:spacing w:val="-15"/>
        </w:rPr>
        <w:t> </w:t>
      </w:r>
      <w:r>
        <w:rPr>
          <w:color w:val="231F20"/>
        </w:rPr>
        <w:t>con</w:t>
      </w:r>
      <w:r>
        <w:rPr>
          <w:color w:val="231F20"/>
          <w:spacing w:val="-15"/>
        </w:rPr>
        <w:t> </w:t>
      </w:r>
      <w:r>
        <w:rPr>
          <w:color w:val="231F20"/>
        </w:rPr>
        <w:t>riferimento</w:t>
      </w:r>
      <w:r>
        <w:rPr>
          <w:color w:val="231F20"/>
          <w:spacing w:val="-15"/>
        </w:rPr>
        <w:t> </w:t>
      </w:r>
      <w:r>
        <w:rPr>
          <w:color w:val="231F20"/>
        </w:rPr>
        <w:t>alla</w:t>
      </w:r>
      <w:r>
        <w:rPr>
          <w:color w:val="231F20"/>
          <w:spacing w:val="-15"/>
        </w:rPr>
        <w:t> </w:t>
      </w:r>
      <w:r>
        <w:rPr>
          <w:color w:val="231F20"/>
        </w:rPr>
        <w:t>medesima</w:t>
      </w:r>
      <w:r>
        <w:rPr>
          <w:color w:val="231F20"/>
          <w:spacing w:val="-15"/>
        </w:rPr>
        <w:t> </w:t>
      </w:r>
      <w:r>
        <w:rPr>
          <w:color w:val="231F20"/>
        </w:rPr>
        <w:t>legislazio- ne nazionale di recepimento della direttiva 2011/16/UE</w:t>
      </w:r>
      <w:r>
        <w:rPr>
          <w:rFonts w:ascii="Times New Roman" w:hAnsi="Times New Roman"/>
          <w:color w:val="231F20"/>
          <w:position w:val="8"/>
          <w:sz w:val="14"/>
        </w:rPr>
        <w:t>77</w:t>
      </w:r>
      <w:r>
        <w:rPr>
          <w:color w:val="231F20"/>
        </w:rPr>
        <w:t>.</w:t>
      </w:r>
    </w:p>
    <w:p>
      <w:pPr>
        <w:pStyle w:val="BodyText"/>
        <w:spacing w:before="35"/>
      </w:pPr>
    </w:p>
    <w:p>
      <w:pPr>
        <w:pStyle w:val="ListParagraph"/>
        <w:numPr>
          <w:ilvl w:val="2"/>
          <w:numId w:val="4"/>
        </w:numPr>
        <w:tabs>
          <w:tab w:pos="700" w:val="left" w:leader="none"/>
        </w:tabs>
        <w:spacing w:line="230" w:lineRule="auto" w:before="0" w:after="0"/>
        <w:ind w:left="100" w:right="715" w:firstLine="0"/>
        <w:jc w:val="left"/>
        <w:rPr>
          <w:i/>
          <w:sz w:val="24"/>
        </w:rPr>
      </w:pPr>
      <w:r>
        <w:rPr>
          <w:i/>
          <w:color w:val="231F20"/>
          <w:sz w:val="24"/>
        </w:rPr>
        <w:t>La definizione della «prevedibile pertinenza» delle informazioni</w:t>
      </w:r>
      <w:r>
        <w:rPr>
          <w:i/>
          <w:color w:val="231F20"/>
          <w:sz w:val="24"/>
        </w:rPr>
        <w:t> richieste</w:t>
      </w:r>
      <w:r>
        <w:rPr>
          <w:i/>
          <w:color w:val="231F20"/>
          <w:spacing w:val="-8"/>
          <w:sz w:val="24"/>
        </w:rPr>
        <w:t> </w:t>
      </w:r>
      <w:r>
        <w:rPr>
          <w:i/>
          <w:color w:val="231F20"/>
          <w:sz w:val="24"/>
        </w:rPr>
        <w:t>dall’autorità</w:t>
      </w:r>
      <w:r>
        <w:rPr>
          <w:i/>
          <w:color w:val="231F20"/>
          <w:spacing w:val="-8"/>
          <w:sz w:val="24"/>
        </w:rPr>
        <w:t> </w:t>
      </w:r>
      <w:r>
        <w:rPr>
          <w:i/>
          <w:color w:val="231F20"/>
          <w:sz w:val="24"/>
        </w:rPr>
        <w:t>interpellata</w:t>
      </w:r>
      <w:r>
        <w:rPr>
          <w:i/>
          <w:color w:val="231F20"/>
          <w:spacing w:val="-8"/>
          <w:sz w:val="24"/>
        </w:rPr>
        <w:t> </w:t>
      </w:r>
      <w:r>
        <w:rPr>
          <w:i/>
          <w:color w:val="231F20"/>
          <w:sz w:val="24"/>
        </w:rPr>
        <w:t>al</w:t>
      </w:r>
      <w:r>
        <w:rPr>
          <w:i/>
          <w:color w:val="231F20"/>
          <w:spacing w:val="-8"/>
          <w:sz w:val="24"/>
        </w:rPr>
        <w:t> </w:t>
      </w:r>
      <w:r>
        <w:rPr>
          <w:i/>
          <w:color w:val="231F20"/>
          <w:sz w:val="24"/>
        </w:rPr>
        <w:t>soggetto</w:t>
      </w:r>
      <w:r>
        <w:rPr>
          <w:i/>
          <w:color w:val="231F20"/>
          <w:spacing w:val="-8"/>
          <w:sz w:val="24"/>
        </w:rPr>
        <w:t> </w:t>
      </w:r>
      <w:r>
        <w:rPr>
          <w:i/>
          <w:color w:val="231F20"/>
          <w:sz w:val="24"/>
        </w:rPr>
        <w:t>detentore</w:t>
      </w:r>
      <w:r>
        <w:rPr>
          <w:i/>
          <w:color w:val="231F20"/>
          <w:spacing w:val="-8"/>
          <w:sz w:val="24"/>
        </w:rPr>
        <w:t> </w:t>
      </w:r>
      <w:r>
        <w:rPr>
          <w:i/>
          <w:color w:val="231F20"/>
          <w:sz w:val="24"/>
        </w:rPr>
        <w:t>dell’informazioni</w:t>
      </w:r>
    </w:p>
    <w:p>
      <w:pPr>
        <w:pStyle w:val="BodyText"/>
        <w:spacing w:line="225" w:lineRule="auto" w:before="172"/>
        <w:ind w:left="100" w:right="174"/>
        <w:jc w:val="both"/>
      </w:pPr>
      <w:r>
        <w:rPr>
          <w:color w:val="231F20"/>
        </w:rPr>
        <w:t>La</w:t>
      </w:r>
      <w:r>
        <w:rPr>
          <w:color w:val="231F20"/>
          <w:spacing w:val="-8"/>
        </w:rPr>
        <w:t> </w:t>
      </w:r>
      <w:r>
        <w:rPr>
          <w:color w:val="231F20"/>
        </w:rPr>
        <w:t>lunga</w:t>
      </w:r>
      <w:r>
        <w:rPr>
          <w:color w:val="231F20"/>
          <w:spacing w:val="-8"/>
        </w:rPr>
        <w:t> </w:t>
      </w:r>
      <w:r>
        <w:rPr>
          <w:color w:val="231F20"/>
        </w:rPr>
        <w:t>e</w:t>
      </w:r>
      <w:r>
        <w:rPr>
          <w:color w:val="231F20"/>
          <w:spacing w:val="-8"/>
        </w:rPr>
        <w:t> </w:t>
      </w:r>
      <w:r>
        <w:rPr>
          <w:color w:val="231F20"/>
        </w:rPr>
        <w:t>dettagliata</w:t>
      </w:r>
      <w:r>
        <w:rPr>
          <w:color w:val="231F20"/>
          <w:spacing w:val="-8"/>
        </w:rPr>
        <w:t> </w:t>
      </w:r>
      <w:r>
        <w:rPr>
          <w:color w:val="231F20"/>
        </w:rPr>
        <w:t>sentenza</w:t>
      </w:r>
      <w:r>
        <w:rPr>
          <w:color w:val="231F20"/>
          <w:spacing w:val="-8"/>
        </w:rPr>
        <w:t> </w:t>
      </w:r>
      <w:r>
        <w:rPr>
          <w:i/>
          <w:color w:val="231F20"/>
        </w:rPr>
        <w:t>Berlioz</w:t>
      </w:r>
      <w:r>
        <w:rPr>
          <w:i/>
          <w:color w:val="231F20"/>
          <w:spacing w:val="-8"/>
        </w:rPr>
        <w:t> </w:t>
      </w:r>
      <w:r>
        <w:rPr>
          <w:color w:val="231F20"/>
        </w:rPr>
        <w:t>prosegue</w:t>
      </w:r>
      <w:r>
        <w:rPr>
          <w:color w:val="231F20"/>
          <w:spacing w:val="-8"/>
        </w:rPr>
        <w:t> </w:t>
      </w:r>
      <w:r>
        <w:rPr>
          <w:color w:val="231F20"/>
        </w:rPr>
        <w:t>con</w:t>
      </w:r>
      <w:r>
        <w:rPr>
          <w:color w:val="231F20"/>
          <w:spacing w:val="-8"/>
        </w:rPr>
        <w:t> </w:t>
      </w:r>
      <w:r>
        <w:rPr>
          <w:color w:val="231F20"/>
        </w:rPr>
        <w:t>l’esame</w:t>
      </w:r>
      <w:r>
        <w:rPr>
          <w:color w:val="231F20"/>
          <w:spacing w:val="-8"/>
        </w:rPr>
        <w:t> </w:t>
      </w:r>
      <w:r>
        <w:rPr>
          <w:color w:val="231F20"/>
        </w:rPr>
        <w:t>di</w:t>
      </w:r>
      <w:r>
        <w:rPr>
          <w:color w:val="231F20"/>
          <w:spacing w:val="-8"/>
        </w:rPr>
        <w:t> </w:t>
      </w:r>
      <w:r>
        <w:rPr>
          <w:color w:val="231F20"/>
        </w:rPr>
        <w:t>un’altra</w:t>
      </w:r>
      <w:r>
        <w:rPr>
          <w:color w:val="231F20"/>
          <w:spacing w:val="-8"/>
        </w:rPr>
        <w:t> </w:t>
      </w:r>
      <w:r>
        <w:rPr>
          <w:color w:val="231F20"/>
        </w:rPr>
        <w:t>im- portante questione interpretativa della direttiva 2011/16/UE, quella rela- tiva alla «prevedibile</w:t>
      </w:r>
      <w:r>
        <w:rPr>
          <w:color w:val="231F20"/>
          <w:spacing w:val="40"/>
        </w:rPr>
        <w:t> </w:t>
      </w:r>
      <w:r>
        <w:rPr>
          <w:color w:val="231F20"/>
        </w:rPr>
        <w:t>pertinenza», ai fini dell’accertamento delle imposte dovute nello Stato membro di domicilio fiscale del contribuente, delle in- formazioni</w:t>
      </w:r>
      <w:r>
        <w:rPr>
          <w:color w:val="231F20"/>
          <w:spacing w:val="27"/>
        </w:rPr>
        <w:t> </w:t>
      </w:r>
      <w:r>
        <w:rPr>
          <w:color w:val="231F20"/>
        </w:rPr>
        <w:t>richieste</w:t>
      </w:r>
      <w:r>
        <w:rPr>
          <w:color w:val="231F20"/>
          <w:spacing w:val="27"/>
        </w:rPr>
        <w:t> </w:t>
      </w:r>
      <w:r>
        <w:rPr>
          <w:color w:val="231F20"/>
        </w:rPr>
        <w:t>all’autorità</w:t>
      </w:r>
      <w:r>
        <w:rPr>
          <w:color w:val="231F20"/>
          <w:spacing w:val="27"/>
        </w:rPr>
        <w:t> </w:t>
      </w:r>
      <w:r>
        <w:rPr>
          <w:color w:val="231F20"/>
        </w:rPr>
        <w:t>interpellata</w:t>
      </w:r>
      <w:r>
        <w:rPr>
          <w:color w:val="231F20"/>
          <w:spacing w:val="27"/>
        </w:rPr>
        <w:t> </w:t>
      </w:r>
      <w:r>
        <w:rPr>
          <w:color w:val="231F20"/>
        </w:rPr>
        <w:t>dall’autorità</w:t>
      </w:r>
      <w:r>
        <w:rPr>
          <w:color w:val="231F20"/>
          <w:spacing w:val="27"/>
        </w:rPr>
        <w:t> </w:t>
      </w:r>
      <w:r>
        <w:rPr>
          <w:color w:val="231F20"/>
        </w:rPr>
        <w:t>richiedente:</w:t>
      </w:r>
      <w:r>
        <w:rPr>
          <w:color w:val="231F20"/>
          <w:spacing w:val="27"/>
        </w:rPr>
        <w:t> </w:t>
      </w:r>
      <w:r>
        <w:rPr>
          <w:color w:val="231F20"/>
          <w:spacing w:val="-4"/>
        </w:rPr>
        <w:t>tale</w:t>
      </w:r>
    </w:p>
    <w:p>
      <w:pPr>
        <w:pStyle w:val="BodyText"/>
        <w:spacing w:line="225" w:lineRule="auto" w:before="6"/>
        <w:ind w:left="100" w:right="174"/>
        <w:jc w:val="both"/>
      </w:pPr>
      <w:r>
        <w:rPr>
          <w:color w:val="231F20"/>
        </w:rPr>
        <w:t>«prevedibile</w:t>
      </w:r>
      <w:r>
        <w:rPr>
          <w:color w:val="231F20"/>
          <w:spacing w:val="-6"/>
        </w:rPr>
        <w:t> </w:t>
      </w:r>
      <w:r>
        <w:rPr>
          <w:color w:val="231F20"/>
        </w:rPr>
        <w:t>pertinenza»,</w:t>
      </w:r>
      <w:r>
        <w:rPr>
          <w:color w:val="231F20"/>
          <w:spacing w:val="-6"/>
        </w:rPr>
        <w:t> </w:t>
      </w:r>
      <w:r>
        <w:rPr>
          <w:color w:val="231F20"/>
        </w:rPr>
        <w:t>prevista</w:t>
      </w:r>
      <w:r>
        <w:rPr>
          <w:color w:val="231F20"/>
          <w:spacing w:val="-6"/>
        </w:rPr>
        <w:t> </w:t>
      </w:r>
      <w:r>
        <w:rPr>
          <w:color w:val="231F20"/>
        </w:rPr>
        <w:t>agli</w:t>
      </w:r>
      <w:r>
        <w:rPr>
          <w:color w:val="231F20"/>
          <w:spacing w:val="-6"/>
        </w:rPr>
        <w:t> </w:t>
      </w:r>
      <w:r>
        <w:rPr>
          <w:color w:val="231F20"/>
        </w:rPr>
        <w:t>artt.</w:t>
      </w:r>
      <w:r>
        <w:rPr>
          <w:color w:val="231F20"/>
          <w:spacing w:val="-6"/>
        </w:rPr>
        <w:t> </w:t>
      </w:r>
      <w:r>
        <w:rPr>
          <w:color w:val="231F20"/>
        </w:rPr>
        <w:t>1,</w:t>
      </w:r>
      <w:r>
        <w:rPr>
          <w:color w:val="231F20"/>
          <w:spacing w:val="-6"/>
        </w:rPr>
        <w:t> </w:t>
      </w:r>
      <w:r>
        <w:rPr>
          <w:color w:val="231F20"/>
        </w:rPr>
        <w:t>par.</w:t>
      </w:r>
      <w:r>
        <w:rPr>
          <w:color w:val="231F20"/>
          <w:spacing w:val="-6"/>
        </w:rPr>
        <w:t> </w:t>
      </w:r>
      <w:r>
        <w:rPr>
          <w:color w:val="231F20"/>
        </w:rPr>
        <w:t>1,</w:t>
      </w:r>
      <w:r>
        <w:rPr>
          <w:color w:val="231F20"/>
          <w:spacing w:val="-6"/>
        </w:rPr>
        <w:t> </w:t>
      </w:r>
      <w:r>
        <w:rPr>
          <w:color w:val="231F20"/>
        </w:rPr>
        <w:t>e</w:t>
      </w:r>
      <w:r>
        <w:rPr>
          <w:color w:val="231F20"/>
          <w:spacing w:val="-6"/>
        </w:rPr>
        <w:t> </w:t>
      </w:r>
      <w:r>
        <w:rPr>
          <w:color w:val="231F20"/>
        </w:rPr>
        <w:t>5</w:t>
      </w:r>
      <w:r>
        <w:rPr>
          <w:color w:val="231F20"/>
          <w:spacing w:val="-6"/>
        </w:rPr>
        <w:t> </w:t>
      </w:r>
      <w:r>
        <w:rPr>
          <w:color w:val="231F20"/>
        </w:rPr>
        <w:t>della</w:t>
      </w:r>
      <w:r>
        <w:rPr>
          <w:color w:val="231F20"/>
          <w:spacing w:val="-6"/>
        </w:rPr>
        <w:t> </w:t>
      </w:r>
      <w:r>
        <w:rPr>
          <w:color w:val="231F20"/>
        </w:rPr>
        <w:t>direttiva</w:t>
      </w:r>
      <w:r>
        <w:rPr>
          <w:color w:val="231F20"/>
          <w:spacing w:val="-6"/>
        </w:rPr>
        <w:t> </w:t>
      </w:r>
      <w:r>
        <w:rPr>
          <w:color w:val="231F20"/>
        </w:rPr>
        <w:t>stes- sa</w:t>
      </w:r>
      <w:r>
        <w:rPr>
          <w:color w:val="231F20"/>
          <w:position w:val="8"/>
          <w:sz w:val="14"/>
        </w:rPr>
        <w:t>78</w:t>
      </w:r>
      <w:r>
        <w:rPr>
          <w:color w:val="231F20"/>
        </w:rPr>
        <w:t>, costituisce un requisito di legittimità della richiesta di informazioni trasmessa</w:t>
      </w:r>
      <w:r>
        <w:rPr>
          <w:color w:val="231F20"/>
          <w:spacing w:val="27"/>
        </w:rPr>
        <w:t> </w:t>
      </w:r>
      <w:r>
        <w:rPr>
          <w:color w:val="231F20"/>
        </w:rPr>
        <w:t>dall’autorità</w:t>
      </w:r>
      <w:r>
        <w:rPr>
          <w:color w:val="231F20"/>
          <w:spacing w:val="27"/>
        </w:rPr>
        <w:t> </w:t>
      </w:r>
      <w:r>
        <w:rPr>
          <w:color w:val="231F20"/>
        </w:rPr>
        <w:t>richiedente</w:t>
      </w:r>
      <w:r>
        <w:rPr>
          <w:color w:val="231F20"/>
          <w:spacing w:val="27"/>
        </w:rPr>
        <w:t> </w:t>
      </w:r>
      <w:r>
        <w:rPr>
          <w:color w:val="231F20"/>
        </w:rPr>
        <w:t>all’autorità</w:t>
      </w:r>
      <w:r>
        <w:rPr>
          <w:color w:val="231F20"/>
          <w:spacing w:val="27"/>
        </w:rPr>
        <w:t> </w:t>
      </w:r>
      <w:r>
        <w:rPr>
          <w:color w:val="231F20"/>
        </w:rPr>
        <w:t>interpellata?</w:t>
      </w:r>
      <w:r>
        <w:rPr>
          <w:color w:val="231F20"/>
          <w:spacing w:val="27"/>
        </w:rPr>
        <w:t> </w:t>
      </w:r>
      <w:r>
        <w:rPr>
          <w:color w:val="231F20"/>
        </w:rPr>
        <w:t>E</w:t>
      </w:r>
      <w:r>
        <w:rPr>
          <w:color w:val="231F20"/>
          <w:spacing w:val="27"/>
        </w:rPr>
        <w:t> </w:t>
      </w:r>
      <w:r>
        <w:rPr>
          <w:color w:val="231F20"/>
        </w:rPr>
        <w:t>d’altro</w:t>
      </w:r>
      <w:r>
        <w:rPr>
          <w:color w:val="231F20"/>
          <w:spacing w:val="27"/>
        </w:rPr>
        <w:t> </w:t>
      </w:r>
      <w:r>
        <w:rPr>
          <w:color w:val="231F20"/>
        </w:rPr>
        <w:t>lato e di riflesso, tale medesima «prevedibile pertinenza» costituisce anche un requisito</w:t>
      </w:r>
      <w:r>
        <w:rPr>
          <w:color w:val="231F20"/>
          <w:spacing w:val="-14"/>
        </w:rPr>
        <w:t> </w:t>
      </w:r>
      <w:r>
        <w:rPr>
          <w:color w:val="231F20"/>
        </w:rPr>
        <w:t>di</w:t>
      </w:r>
      <w:r>
        <w:rPr>
          <w:color w:val="231F20"/>
          <w:spacing w:val="-14"/>
        </w:rPr>
        <w:t> </w:t>
      </w:r>
      <w:r>
        <w:rPr>
          <w:color w:val="231F20"/>
        </w:rPr>
        <w:t>legittimità</w:t>
      </w:r>
      <w:r>
        <w:rPr>
          <w:color w:val="231F20"/>
          <w:spacing w:val="-14"/>
        </w:rPr>
        <w:t> </w:t>
      </w:r>
      <w:r>
        <w:rPr>
          <w:color w:val="231F20"/>
        </w:rPr>
        <w:t>dell’atto</w:t>
      </w:r>
      <w:r>
        <w:rPr>
          <w:color w:val="231F20"/>
          <w:spacing w:val="-14"/>
        </w:rPr>
        <w:t> </w:t>
      </w:r>
      <w:r>
        <w:rPr>
          <w:color w:val="231F20"/>
        </w:rPr>
        <w:t>amministrativo</w:t>
      </w:r>
      <w:r>
        <w:rPr>
          <w:color w:val="231F20"/>
          <w:spacing w:val="-14"/>
        </w:rPr>
        <w:t> </w:t>
      </w:r>
      <w:r>
        <w:rPr>
          <w:color w:val="231F20"/>
        </w:rPr>
        <w:t>con</w:t>
      </w:r>
      <w:r>
        <w:rPr>
          <w:color w:val="231F20"/>
          <w:spacing w:val="-14"/>
        </w:rPr>
        <w:t> </w:t>
      </w:r>
      <w:r>
        <w:rPr>
          <w:color w:val="231F20"/>
        </w:rPr>
        <w:t>il</w:t>
      </w:r>
      <w:r>
        <w:rPr>
          <w:color w:val="231F20"/>
          <w:spacing w:val="-14"/>
        </w:rPr>
        <w:t> </w:t>
      </w:r>
      <w:r>
        <w:rPr>
          <w:color w:val="231F20"/>
        </w:rPr>
        <w:t>quale</w:t>
      </w:r>
      <w:r>
        <w:rPr>
          <w:color w:val="231F20"/>
          <w:spacing w:val="-14"/>
        </w:rPr>
        <w:t> </w:t>
      </w:r>
      <w:r>
        <w:rPr>
          <w:color w:val="231F20"/>
        </w:rPr>
        <w:t>l’autorità</w:t>
      </w:r>
      <w:r>
        <w:rPr>
          <w:color w:val="231F20"/>
          <w:spacing w:val="-14"/>
        </w:rPr>
        <w:t> </w:t>
      </w:r>
      <w:r>
        <w:rPr>
          <w:color w:val="231F20"/>
        </w:rPr>
        <w:t>inter- pellata</w:t>
      </w:r>
      <w:r>
        <w:rPr>
          <w:color w:val="231F20"/>
          <w:spacing w:val="-1"/>
        </w:rPr>
        <w:t> </w:t>
      </w:r>
      <w:r>
        <w:rPr>
          <w:color w:val="231F20"/>
        </w:rPr>
        <w:t>ordina</w:t>
      </w:r>
      <w:r>
        <w:rPr>
          <w:color w:val="231F20"/>
          <w:spacing w:val="-1"/>
        </w:rPr>
        <w:t> </w:t>
      </w:r>
      <w:r>
        <w:rPr>
          <w:color w:val="231F20"/>
        </w:rPr>
        <w:t>al</w:t>
      </w:r>
      <w:r>
        <w:rPr>
          <w:color w:val="231F20"/>
          <w:spacing w:val="-1"/>
        </w:rPr>
        <w:t> </w:t>
      </w:r>
      <w:r>
        <w:rPr>
          <w:color w:val="231F20"/>
        </w:rPr>
        <w:t>soggetto</w:t>
      </w:r>
      <w:r>
        <w:rPr>
          <w:color w:val="231F20"/>
          <w:spacing w:val="-1"/>
        </w:rPr>
        <w:t> </w:t>
      </w:r>
      <w:r>
        <w:rPr>
          <w:color w:val="231F20"/>
        </w:rPr>
        <w:t>detentore</w:t>
      </w:r>
      <w:r>
        <w:rPr>
          <w:color w:val="231F20"/>
          <w:spacing w:val="-1"/>
        </w:rPr>
        <w:t> </w:t>
      </w:r>
      <w:r>
        <w:rPr>
          <w:color w:val="231F20"/>
        </w:rPr>
        <w:t>la</w:t>
      </w:r>
      <w:r>
        <w:rPr>
          <w:color w:val="231F20"/>
          <w:spacing w:val="-1"/>
        </w:rPr>
        <w:t> </w:t>
      </w:r>
      <w:r>
        <w:rPr>
          <w:color w:val="231F20"/>
        </w:rPr>
        <w:t>comunicazione</w:t>
      </w:r>
      <w:r>
        <w:rPr>
          <w:color w:val="231F20"/>
          <w:spacing w:val="-1"/>
        </w:rPr>
        <w:t> </w:t>
      </w:r>
      <w:r>
        <w:rPr>
          <w:color w:val="231F20"/>
        </w:rPr>
        <w:t>di</w:t>
      </w:r>
      <w:r>
        <w:rPr>
          <w:color w:val="231F20"/>
          <w:spacing w:val="-1"/>
        </w:rPr>
        <w:t> </w:t>
      </w:r>
      <w:r>
        <w:rPr>
          <w:color w:val="231F20"/>
        </w:rPr>
        <w:t>tali</w:t>
      </w:r>
      <w:r>
        <w:rPr>
          <w:color w:val="231F20"/>
          <w:spacing w:val="-1"/>
        </w:rPr>
        <w:t> </w:t>
      </w:r>
      <w:r>
        <w:rPr>
          <w:color w:val="231F20"/>
        </w:rPr>
        <w:t>informazioni, a pena di una severa sanzione amministrativa in caso di inottemperanza</w:t>
      </w:r>
      <w:r>
        <w:rPr>
          <w:color w:val="231F20"/>
          <w:spacing w:val="80"/>
          <w:w w:val="150"/>
        </w:rPr>
        <w:t> </w:t>
      </w:r>
      <w:r>
        <w:rPr>
          <w:color w:val="231F20"/>
        </w:rPr>
        <w:t>al suddetto ordine? Per i giudici dell’Unione il punto di partenza per ela- borare</w:t>
      </w:r>
      <w:r>
        <w:rPr>
          <w:color w:val="231F20"/>
          <w:spacing w:val="10"/>
        </w:rPr>
        <w:t> </w:t>
      </w:r>
      <w:r>
        <w:rPr>
          <w:color w:val="231F20"/>
        </w:rPr>
        <w:t>una</w:t>
      </w:r>
      <w:r>
        <w:rPr>
          <w:color w:val="231F20"/>
          <w:spacing w:val="10"/>
        </w:rPr>
        <w:t> </w:t>
      </w:r>
      <w:r>
        <w:rPr>
          <w:color w:val="231F20"/>
        </w:rPr>
        <w:t>compiuta</w:t>
      </w:r>
      <w:r>
        <w:rPr>
          <w:color w:val="231F20"/>
          <w:spacing w:val="10"/>
        </w:rPr>
        <w:t> </w:t>
      </w:r>
      <w:r>
        <w:rPr>
          <w:color w:val="231F20"/>
        </w:rPr>
        <w:t>risposta</w:t>
      </w:r>
      <w:r>
        <w:rPr>
          <w:color w:val="231F20"/>
          <w:spacing w:val="11"/>
        </w:rPr>
        <w:t> </w:t>
      </w:r>
      <w:r>
        <w:rPr>
          <w:color w:val="231F20"/>
        </w:rPr>
        <w:t>a</w:t>
      </w:r>
      <w:r>
        <w:rPr>
          <w:color w:val="231F20"/>
          <w:spacing w:val="10"/>
        </w:rPr>
        <w:t> </w:t>
      </w:r>
      <w:r>
        <w:rPr>
          <w:color w:val="231F20"/>
        </w:rPr>
        <w:t>tale</w:t>
      </w:r>
      <w:r>
        <w:rPr>
          <w:color w:val="231F20"/>
          <w:spacing w:val="10"/>
        </w:rPr>
        <w:t> </w:t>
      </w:r>
      <w:r>
        <w:rPr>
          <w:color w:val="231F20"/>
        </w:rPr>
        <w:t>quesito</w:t>
      </w:r>
      <w:r>
        <w:rPr>
          <w:color w:val="231F20"/>
          <w:spacing w:val="10"/>
        </w:rPr>
        <w:t> </w:t>
      </w:r>
      <w:r>
        <w:rPr>
          <w:color w:val="231F20"/>
        </w:rPr>
        <w:t>interpretativo</w:t>
      </w:r>
      <w:r>
        <w:rPr>
          <w:color w:val="231F20"/>
          <w:spacing w:val="11"/>
        </w:rPr>
        <w:t> </w:t>
      </w:r>
      <w:r>
        <w:rPr>
          <w:color w:val="231F20"/>
        </w:rPr>
        <w:t>è</w:t>
      </w:r>
      <w:r>
        <w:rPr>
          <w:color w:val="231F20"/>
          <w:spacing w:val="10"/>
        </w:rPr>
        <w:t> </w:t>
      </w:r>
      <w:r>
        <w:rPr>
          <w:color w:val="231F20"/>
        </w:rPr>
        <w:t>stato</w:t>
      </w:r>
      <w:r>
        <w:rPr>
          <w:color w:val="231F20"/>
          <w:spacing w:val="10"/>
        </w:rPr>
        <w:t> </w:t>
      </w:r>
      <w:r>
        <w:rPr>
          <w:color w:val="231F20"/>
        </w:rPr>
        <w:t>il</w:t>
      </w:r>
      <w:r>
        <w:rPr>
          <w:color w:val="231F20"/>
          <w:spacing w:val="11"/>
        </w:rPr>
        <w:t> </w:t>
      </w:r>
      <w:r>
        <w:rPr>
          <w:color w:val="231F20"/>
          <w:spacing w:val="-2"/>
        </w:rPr>
        <w:t>punto</w:t>
      </w:r>
    </w:p>
    <w:p>
      <w:pPr>
        <w:pStyle w:val="BodyText"/>
        <w:spacing w:line="225" w:lineRule="auto" w:before="12"/>
        <w:ind w:left="100" w:right="174"/>
        <w:jc w:val="both"/>
      </w:pPr>
      <w:r>
        <w:rPr>
          <w:color w:val="231F20"/>
        </w:rPr>
        <w:t>n. 9 della motivazione della direttiva, laddove viene precisato che gli Stati membri non possono procedere a «richieste generiche di </w:t>
      </w:r>
      <w:r>
        <w:rPr>
          <w:color w:val="231F20"/>
        </w:rPr>
        <w:t>informazioni»,</w:t>
      </w:r>
      <w:r>
        <w:rPr>
          <w:color w:val="231F20"/>
          <w:spacing w:val="40"/>
        </w:rPr>
        <w:t> </w:t>
      </w:r>
      <w:r>
        <w:rPr>
          <w:color w:val="231F20"/>
        </w:rPr>
        <w:t>né richiedere ad altri Stati membri informazioni che «probabilmente non sono</w:t>
      </w:r>
      <w:r>
        <w:rPr>
          <w:color w:val="231F20"/>
          <w:spacing w:val="-11"/>
        </w:rPr>
        <w:t> </w:t>
      </w:r>
      <w:r>
        <w:rPr>
          <w:color w:val="231F20"/>
        </w:rPr>
        <w:t>pertinenti»</w:t>
      </w:r>
      <w:r>
        <w:rPr>
          <w:color w:val="231F20"/>
          <w:spacing w:val="-11"/>
        </w:rPr>
        <w:t> </w:t>
      </w:r>
      <w:r>
        <w:rPr>
          <w:color w:val="231F20"/>
        </w:rPr>
        <w:t>ai</w:t>
      </w:r>
      <w:r>
        <w:rPr>
          <w:color w:val="231F20"/>
          <w:spacing w:val="-11"/>
        </w:rPr>
        <w:t> </w:t>
      </w:r>
      <w:r>
        <w:rPr>
          <w:color w:val="231F20"/>
        </w:rPr>
        <w:t>fini</w:t>
      </w:r>
      <w:r>
        <w:rPr>
          <w:color w:val="231F20"/>
          <w:spacing w:val="-11"/>
        </w:rPr>
        <w:t> </w:t>
      </w:r>
      <w:r>
        <w:rPr>
          <w:color w:val="231F20"/>
        </w:rPr>
        <w:t>dell’accertamento</w:t>
      </w:r>
      <w:r>
        <w:rPr>
          <w:color w:val="231F20"/>
          <w:spacing w:val="-11"/>
        </w:rPr>
        <w:t> </w:t>
      </w:r>
      <w:r>
        <w:rPr>
          <w:color w:val="231F20"/>
        </w:rPr>
        <w:t>della</w:t>
      </w:r>
      <w:r>
        <w:rPr>
          <w:color w:val="231F20"/>
          <w:spacing w:val="-10"/>
        </w:rPr>
        <w:t> </w:t>
      </w:r>
      <w:r>
        <w:rPr>
          <w:color w:val="231F20"/>
        </w:rPr>
        <w:t>posizione</w:t>
      </w:r>
      <w:r>
        <w:rPr>
          <w:color w:val="231F20"/>
          <w:spacing w:val="-11"/>
        </w:rPr>
        <w:t> </w:t>
      </w:r>
      <w:r>
        <w:rPr>
          <w:color w:val="231F20"/>
        </w:rPr>
        <w:t>di</w:t>
      </w:r>
      <w:r>
        <w:rPr>
          <w:color w:val="231F20"/>
          <w:spacing w:val="-11"/>
        </w:rPr>
        <w:t> </w:t>
      </w:r>
      <w:r>
        <w:rPr>
          <w:color w:val="231F20"/>
        </w:rPr>
        <w:t>un</w:t>
      </w:r>
      <w:r>
        <w:rPr>
          <w:color w:val="231F20"/>
          <w:spacing w:val="-11"/>
        </w:rPr>
        <w:t> </w:t>
      </w:r>
      <w:r>
        <w:rPr>
          <w:color w:val="231F20"/>
          <w:spacing w:val="-2"/>
        </w:rPr>
        <w:t>determinato</w:t>
      </w:r>
    </w:p>
    <w:p>
      <w:pPr>
        <w:pStyle w:val="BodyText"/>
        <w:spacing w:before="5"/>
        <w:rPr>
          <w:sz w:val="20"/>
        </w:rPr>
      </w:pPr>
      <w:r>
        <w:rPr/>
        <mc:AlternateContent>
          <mc:Choice Requires="wps">
            <w:drawing>
              <wp:anchor distT="0" distB="0" distL="0" distR="0" allowOverlap="1" layoutInCell="1" locked="0" behindDoc="1" simplePos="0" relativeHeight="487618048">
                <wp:simplePos x="0" y="0"/>
                <wp:positionH relativeFrom="page">
                  <wp:posOffset>864000</wp:posOffset>
                </wp:positionH>
                <wp:positionV relativeFrom="paragraph">
                  <wp:posOffset>180114</wp:posOffset>
                </wp:positionV>
                <wp:extent cx="792480" cy="1270"/>
                <wp:effectExtent l="0" t="0" r="0" b="0"/>
                <wp:wrapTopAndBottom/>
                <wp:docPr id="104" name="Graphic 104"/>
                <wp:cNvGraphicFramePr>
                  <a:graphicFrameLocks/>
                </wp:cNvGraphicFramePr>
                <a:graphic>
                  <a:graphicData uri="http://schemas.microsoft.com/office/word/2010/wordprocessingShape">
                    <wps:wsp>
                      <wps:cNvPr id="104" name="Graphic 104"/>
                      <wps:cNvSpPr/>
                      <wps:spPr>
                        <a:xfrm>
                          <a:off x="0" y="0"/>
                          <a:ext cx="792480" cy="1270"/>
                        </a:xfrm>
                        <a:custGeom>
                          <a:avLst/>
                          <a:gdLst/>
                          <a:ahLst/>
                          <a:cxnLst/>
                          <a:rect l="l" t="t" r="r" b="b"/>
                          <a:pathLst>
                            <a:path w="792480" h="0">
                              <a:moveTo>
                                <a:pt x="0" y="0"/>
                              </a:moveTo>
                              <a:lnTo>
                                <a:pt x="791997"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shape style="position:absolute;margin-left:68.031502pt;margin-top:14.18222pt;width:62.4pt;height:.1pt;mso-position-horizontal-relative:page;mso-position-vertical-relative:paragraph;z-index:-15698432;mso-wrap-distance-left:0;mso-wrap-distance-right:0" id="docshape86" coordorigin="1361,284" coordsize="1248,0" path="m1361,284l2608,284e" filled="false" stroked="true" strokeweight=".5pt" strokecolor="#231f20">
                <v:path arrowok="t"/>
                <v:stroke dashstyle="solid"/>
                <w10:wrap type="topAndBottom"/>
              </v:shape>
            </w:pict>
          </mc:Fallback>
        </mc:AlternateContent>
      </w:r>
    </w:p>
    <w:p>
      <w:pPr>
        <w:spacing w:line="225" w:lineRule="auto" w:before="201"/>
        <w:ind w:left="100" w:right="175" w:firstLine="0"/>
        <w:jc w:val="both"/>
        <w:rPr>
          <w:sz w:val="19"/>
        </w:rPr>
      </w:pPr>
      <w:r>
        <w:rPr>
          <w:color w:val="231F20"/>
          <w:position w:val="6"/>
          <w:sz w:val="11"/>
        </w:rPr>
        <w:t>77</w:t>
      </w:r>
      <w:r>
        <w:rPr>
          <w:color w:val="231F20"/>
          <w:spacing w:val="80"/>
          <w:position w:val="6"/>
          <w:sz w:val="11"/>
        </w:rPr>
        <w:t> </w:t>
      </w:r>
      <w:r>
        <w:rPr>
          <w:color w:val="231F20"/>
          <w:sz w:val="19"/>
        </w:rPr>
        <w:t>Sull’art. 47 della Carta dei diritti fondamentali e sul principio dell’effettività della </w:t>
      </w:r>
      <w:r>
        <w:rPr>
          <w:color w:val="231F20"/>
          <w:sz w:val="19"/>
        </w:rPr>
        <w:t>tutela giurisdizionale</w:t>
      </w:r>
      <w:r>
        <w:rPr>
          <w:color w:val="231F20"/>
          <w:spacing w:val="40"/>
          <w:sz w:val="19"/>
        </w:rPr>
        <w:t> </w:t>
      </w:r>
      <w:r>
        <w:rPr>
          <w:color w:val="231F20"/>
          <w:sz w:val="19"/>
        </w:rPr>
        <w:t>dei</w:t>
      </w:r>
      <w:r>
        <w:rPr>
          <w:color w:val="231F20"/>
          <w:spacing w:val="40"/>
          <w:sz w:val="19"/>
        </w:rPr>
        <w:t> </w:t>
      </w:r>
      <w:r>
        <w:rPr>
          <w:color w:val="231F20"/>
          <w:sz w:val="19"/>
        </w:rPr>
        <w:t>singoli</w:t>
      </w:r>
      <w:r>
        <w:rPr>
          <w:color w:val="231F20"/>
          <w:spacing w:val="40"/>
          <w:sz w:val="19"/>
        </w:rPr>
        <w:t> </w:t>
      </w:r>
      <w:r>
        <w:rPr>
          <w:color w:val="231F20"/>
          <w:sz w:val="19"/>
        </w:rPr>
        <w:t>si</w:t>
      </w:r>
      <w:r>
        <w:rPr>
          <w:color w:val="231F20"/>
          <w:spacing w:val="40"/>
          <w:sz w:val="19"/>
        </w:rPr>
        <w:t> </w:t>
      </w:r>
      <w:r>
        <w:rPr>
          <w:color w:val="231F20"/>
          <w:sz w:val="19"/>
        </w:rPr>
        <w:t>veda</w:t>
      </w:r>
      <w:r>
        <w:rPr>
          <w:color w:val="231F20"/>
          <w:spacing w:val="40"/>
          <w:sz w:val="19"/>
        </w:rPr>
        <w:t> </w:t>
      </w:r>
      <w:r>
        <w:rPr>
          <w:color w:val="231F20"/>
          <w:sz w:val="19"/>
        </w:rPr>
        <w:t>ancora</w:t>
      </w:r>
      <w:r>
        <w:rPr>
          <w:color w:val="231F20"/>
          <w:spacing w:val="40"/>
          <w:sz w:val="19"/>
        </w:rPr>
        <w:t> </w:t>
      </w:r>
      <w:r>
        <w:rPr>
          <w:color w:val="231F20"/>
          <w:sz w:val="19"/>
        </w:rPr>
        <w:t>R.</w:t>
      </w:r>
      <w:r>
        <w:rPr>
          <w:color w:val="231F20"/>
          <w:spacing w:val="40"/>
          <w:sz w:val="19"/>
        </w:rPr>
        <w:t> </w:t>
      </w:r>
      <w:r>
        <w:rPr>
          <w:color w:val="231F20"/>
          <w:sz w:val="19"/>
        </w:rPr>
        <w:t>Alfano,</w:t>
      </w:r>
      <w:r>
        <w:rPr>
          <w:color w:val="231F20"/>
          <w:spacing w:val="40"/>
          <w:sz w:val="19"/>
        </w:rPr>
        <w:t> </w:t>
      </w:r>
      <w:r>
        <w:rPr>
          <w:i/>
          <w:color w:val="231F20"/>
          <w:sz w:val="19"/>
        </w:rPr>
        <w:t>Sanzioni</w:t>
      </w:r>
      <w:r>
        <w:rPr>
          <w:i/>
          <w:color w:val="231F20"/>
          <w:spacing w:val="40"/>
          <w:sz w:val="19"/>
        </w:rPr>
        <w:t> </w:t>
      </w:r>
      <w:r>
        <w:rPr>
          <w:i/>
          <w:color w:val="231F20"/>
          <w:sz w:val="19"/>
        </w:rPr>
        <w:t>amministrative</w:t>
      </w:r>
      <w:r>
        <w:rPr>
          <w:i/>
          <w:color w:val="231F20"/>
          <w:spacing w:val="40"/>
          <w:sz w:val="19"/>
        </w:rPr>
        <w:t> </w:t>
      </w:r>
      <w:r>
        <w:rPr>
          <w:i/>
          <w:color w:val="231F20"/>
          <w:sz w:val="19"/>
        </w:rPr>
        <w:t>tributarie</w:t>
      </w:r>
      <w:r>
        <w:rPr>
          <w:i/>
          <w:color w:val="231F20"/>
          <w:spacing w:val="40"/>
          <w:sz w:val="19"/>
        </w:rPr>
        <w:t> </w:t>
      </w:r>
      <w:r>
        <w:rPr>
          <w:i/>
          <w:color w:val="231F20"/>
          <w:sz w:val="19"/>
        </w:rPr>
        <w:t>e</w:t>
      </w:r>
      <w:r>
        <w:rPr>
          <w:i/>
          <w:color w:val="231F20"/>
          <w:sz w:val="19"/>
        </w:rPr>
        <w:t> tutela del contribuente, </w:t>
      </w:r>
      <w:r>
        <w:rPr>
          <w:color w:val="231F20"/>
          <w:sz w:val="19"/>
        </w:rPr>
        <w:t>cit., pp.166-170. Numerosi sono gli studi sull’art. 47 della Carta, </w:t>
      </w:r>
      <w:r>
        <w:rPr>
          <w:i/>
          <w:color w:val="231F20"/>
          <w:sz w:val="19"/>
        </w:rPr>
        <w:t>ex</w:t>
      </w:r>
      <w:r>
        <w:rPr>
          <w:i/>
          <w:color w:val="231F20"/>
          <w:sz w:val="19"/>
        </w:rPr>
        <w:t> multis</w:t>
      </w:r>
      <w:r>
        <w:rPr>
          <w:color w:val="231F20"/>
          <w:sz w:val="19"/>
        </w:rPr>
        <w:t>, R. Mastroianni, </w:t>
      </w:r>
      <w:r>
        <w:rPr>
          <w:i/>
          <w:color w:val="231F20"/>
          <w:sz w:val="19"/>
        </w:rPr>
        <w:t>L’effettività della tutela giurisdizionale alla prova della Carta dei diritti</w:t>
      </w:r>
      <w:r>
        <w:rPr>
          <w:i/>
          <w:color w:val="231F20"/>
          <w:sz w:val="19"/>
        </w:rPr>
        <w:t> fondamentali</w:t>
      </w:r>
      <w:r>
        <w:rPr>
          <w:color w:val="231F20"/>
          <w:sz w:val="19"/>
        </w:rPr>
        <w:t>, in </w:t>
      </w:r>
      <w:r>
        <w:rPr>
          <w:i/>
          <w:color w:val="231F20"/>
          <w:sz w:val="19"/>
        </w:rPr>
        <w:t>Liber amicorum in onore di Antonio Tizzano, Napoli, </w:t>
      </w:r>
      <w:r>
        <w:rPr>
          <w:color w:val="231F20"/>
          <w:sz w:val="19"/>
        </w:rPr>
        <w:t>2018; A.M. Romito,</w:t>
      </w:r>
      <w:r>
        <w:rPr>
          <w:color w:val="231F20"/>
          <w:spacing w:val="80"/>
          <w:sz w:val="19"/>
        </w:rPr>
        <w:t> </w:t>
      </w:r>
      <w:r>
        <w:rPr>
          <w:i/>
          <w:color w:val="231F20"/>
          <w:sz w:val="19"/>
        </w:rPr>
        <w:t>La tutela giurisdizionale nell’Unione europea fra effettività del sistema e garanzie individuali</w:t>
      </w:r>
      <w:r>
        <w:rPr>
          <w:color w:val="231F20"/>
          <w:sz w:val="19"/>
        </w:rPr>
        <w:t>, Bari, 2015; G. Vitale, </w:t>
      </w:r>
      <w:r>
        <w:rPr>
          <w:i/>
          <w:color w:val="231F20"/>
          <w:sz w:val="19"/>
        </w:rPr>
        <w:t>Principio di effettività della tutela giurisdizionale nella Carta dei diritti</w:t>
      </w:r>
      <w:r>
        <w:rPr>
          <w:i/>
          <w:color w:val="231F20"/>
          <w:sz w:val="19"/>
        </w:rPr>
        <w:t> fondamentali</w:t>
      </w:r>
      <w:r>
        <w:rPr>
          <w:color w:val="231F20"/>
          <w:sz w:val="19"/>
        </w:rPr>
        <w:t>, in </w:t>
      </w:r>
      <w:r>
        <w:rPr>
          <w:i/>
          <w:color w:val="231F20"/>
          <w:sz w:val="19"/>
        </w:rPr>
        <w:t>Federalismi.it, </w:t>
      </w:r>
      <w:r>
        <w:rPr>
          <w:color w:val="231F20"/>
          <w:sz w:val="19"/>
        </w:rPr>
        <w:t>5, 2018.</w:t>
      </w:r>
    </w:p>
    <w:p>
      <w:pPr>
        <w:spacing w:line="225" w:lineRule="auto" w:before="8"/>
        <w:ind w:left="100" w:right="174" w:firstLine="0"/>
        <w:jc w:val="both"/>
        <w:rPr>
          <w:sz w:val="19"/>
        </w:rPr>
      </w:pPr>
      <w:r>
        <w:rPr>
          <w:color w:val="231F20"/>
          <w:position w:val="6"/>
          <w:sz w:val="11"/>
        </w:rPr>
        <w:t>78</w:t>
      </w:r>
      <w:r>
        <w:rPr>
          <w:color w:val="231F20"/>
          <w:spacing w:val="65"/>
          <w:position w:val="6"/>
          <w:sz w:val="11"/>
        </w:rPr>
        <w:t>  </w:t>
      </w:r>
      <w:r>
        <w:rPr>
          <w:color w:val="231F20"/>
          <w:sz w:val="19"/>
        </w:rPr>
        <w:t>Art.</w:t>
      </w:r>
      <w:r>
        <w:rPr>
          <w:color w:val="231F20"/>
          <w:spacing w:val="24"/>
          <w:sz w:val="19"/>
        </w:rPr>
        <w:t> </w:t>
      </w:r>
      <w:r>
        <w:rPr>
          <w:color w:val="231F20"/>
          <w:sz w:val="19"/>
        </w:rPr>
        <w:t>1,</w:t>
      </w:r>
      <w:r>
        <w:rPr>
          <w:color w:val="231F20"/>
          <w:spacing w:val="24"/>
          <w:sz w:val="19"/>
        </w:rPr>
        <w:t> </w:t>
      </w:r>
      <w:r>
        <w:rPr>
          <w:color w:val="231F20"/>
          <w:sz w:val="19"/>
        </w:rPr>
        <w:t>par.</w:t>
      </w:r>
      <w:r>
        <w:rPr>
          <w:color w:val="231F20"/>
          <w:spacing w:val="24"/>
          <w:sz w:val="19"/>
        </w:rPr>
        <w:t> </w:t>
      </w:r>
      <w:r>
        <w:rPr>
          <w:color w:val="231F20"/>
          <w:sz w:val="19"/>
        </w:rPr>
        <w:t>1,</w:t>
      </w:r>
      <w:r>
        <w:rPr>
          <w:color w:val="231F20"/>
          <w:spacing w:val="24"/>
          <w:sz w:val="19"/>
        </w:rPr>
        <w:t> </w:t>
      </w:r>
      <w:r>
        <w:rPr>
          <w:color w:val="231F20"/>
          <w:sz w:val="19"/>
        </w:rPr>
        <w:t>della</w:t>
      </w:r>
      <w:r>
        <w:rPr>
          <w:color w:val="231F20"/>
          <w:spacing w:val="24"/>
          <w:sz w:val="19"/>
        </w:rPr>
        <w:t> </w:t>
      </w:r>
      <w:r>
        <w:rPr>
          <w:color w:val="231F20"/>
          <w:sz w:val="19"/>
        </w:rPr>
        <w:t>direttiva</w:t>
      </w:r>
      <w:r>
        <w:rPr>
          <w:color w:val="231F20"/>
          <w:spacing w:val="24"/>
          <w:sz w:val="19"/>
        </w:rPr>
        <w:t> </w:t>
      </w:r>
      <w:r>
        <w:rPr>
          <w:color w:val="231F20"/>
          <w:sz w:val="19"/>
        </w:rPr>
        <w:t>2011/16/UE:</w:t>
      </w:r>
      <w:r>
        <w:rPr>
          <w:color w:val="231F20"/>
          <w:spacing w:val="24"/>
          <w:sz w:val="19"/>
        </w:rPr>
        <w:t> </w:t>
      </w:r>
      <w:r>
        <w:rPr>
          <w:color w:val="231F20"/>
          <w:sz w:val="19"/>
        </w:rPr>
        <w:t>«La</w:t>
      </w:r>
      <w:r>
        <w:rPr>
          <w:color w:val="231F20"/>
          <w:spacing w:val="24"/>
          <w:sz w:val="19"/>
        </w:rPr>
        <w:t> </w:t>
      </w:r>
      <w:r>
        <w:rPr>
          <w:color w:val="231F20"/>
          <w:sz w:val="19"/>
        </w:rPr>
        <w:t>presente</w:t>
      </w:r>
      <w:r>
        <w:rPr>
          <w:color w:val="231F20"/>
          <w:spacing w:val="24"/>
          <w:sz w:val="19"/>
        </w:rPr>
        <w:t> </w:t>
      </w:r>
      <w:r>
        <w:rPr>
          <w:color w:val="231F20"/>
          <w:sz w:val="19"/>
        </w:rPr>
        <w:t>direttiva</w:t>
      </w:r>
      <w:r>
        <w:rPr>
          <w:color w:val="231F20"/>
          <w:spacing w:val="24"/>
          <w:sz w:val="19"/>
        </w:rPr>
        <w:t> </w:t>
      </w:r>
      <w:r>
        <w:rPr>
          <w:color w:val="231F20"/>
          <w:sz w:val="19"/>
        </w:rPr>
        <w:t>stabilisce</w:t>
      </w:r>
      <w:r>
        <w:rPr>
          <w:color w:val="231F20"/>
          <w:spacing w:val="24"/>
          <w:sz w:val="19"/>
        </w:rPr>
        <w:t> </w:t>
      </w:r>
      <w:r>
        <w:rPr>
          <w:color w:val="231F20"/>
          <w:sz w:val="19"/>
        </w:rPr>
        <w:t>le</w:t>
      </w:r>
      <w:r>
        <w:rPr>
          <w:color w:val="231F20"/>
          <w:spacing w:val="24"/>
          <w:sz w:val="19"/>
        </w:rPr>
        <w:t> </w:t>
      </w:r>
      <w:r>
        <w:rPr>
          <w:color w:val="231F20"/>
          <w:sz w:val="19"/>
        </w:rPr>
        <w:t>norme</w:t>
      </w:r>
      <w:r>
        <w:rPr>
          <w:color w:val="231F20"/>
          <w:spacing w:val="24"/>
          <w:sz w:val="19"/>
        </w:rPr>
        <w:t> </w:t>
      </w:r>
      <w:r>
        <w:rPr>
          <w:color w:val="231F20"/>
          <w:sz w:val="19"/>
        </w:rPr>
        <w:t>e le</w:t>
      </w:r>
      <w:r>
        <w:rPr>
          <w:color w:val="231F20"/>
          <w:spacing w:val="19"/>
          <w:sz w:val="19"/>
        </w:rPr>
        <w:t> </w:t>
      </w:r>
      <w:r>
        <w:rPr>
          <w:color w:val="231F20"/>
          <w:sz w:val="19"/>
        </w:rPr>
        <w:t>procedure</w:t>
      </w:r>
      <w:r>
        <w:rPr>
          <w:color w:val="231F20"/>
          <w:spacing w:val="19"/>
          <w:sz w:val="19"/>
        </w:rPr>
        <w:t> </w:t>
      </w:r>
      <w:r>
        <w:rPr>
          <w:color w:val="231F20"/>
          <w:sz w:val="19"/>
        </w:rPr>
        <w:t>in</w:t>
      </w:r>
      <w:r>
        <w:rPr>
          <w:color w:val="231F20"/>
          <w:spacing w:val="19"/>
          <w:sz w:val="19"/>
        </w:rPr>
        <w:t> </w:t>
      </w:r>
      <w:r>
        <w:rPr>
          <w:color w:val="231F20"/>
          <w:sz w:val="19"/>
        </w:rPr>
        <w:t>base</w:t>
      </w:r>
      <w:r>
        <w:rPr>
          <w:color w:val="231F20"/>
          <w:spacing w:val="19"/>
          <w:sz w:val="19"/>
        </w:rPr>
        <w:t> </w:t>
      </w:r>
      <w:r>
        <w:rPr>
          <w:color w:val="231F20"/>
          <w:sz w:val="19"/>
        </w:rPr>
        <w:t>alle</w:t>
      </w:r>
      <w:r>
        <w:rPr>
          <w:color w:val="231F20"/>
          <w:spacing w:val="19"/>
          <w:sz w:val="19"/>
        </w:rPr>
        <w:t> </w:t>
      </w:r>
      <w:r>
        <w:rPr>
          <w:color w:val="231F20"/>
          <w:sz w:val="19"/>
        </w:rPr>
        <w:t>quali</w:t>
      </w:r>
      <w:r>
        <w:rPr>
          <w:color w:val="231F20"/>
          <w:spacing w:val="19"/>
          <w:sz w:val="19"/>
        </w:rPr>
        <w:t> </w:t>
      </w:r>
      <w:r>
        <w:rPr>
          <w:color w:val="231F20"/>
          <w:sz w:val="19"/>
        </w:rPr>
        <w:t>gli</w:t>
      </w:r>
      <w:r>
        <w:rPr>
          <w:color w:val="231F20"/>
          <w:spacing w:val="19"/>
          <w:sz w:val="19"/>
        </w:rPr>
        <w:t> </w:t>
      </w:r>
      <w:r>
        <w:rPr>
          <w:color w:val="231F20"/>
          <w:sz w:val="19"/>
        </w:rPr>
        <w:t>Stati</w:t>
      </w:r>
      <w:r>
        <w:rPr>
          <w:color w:val="231F20"/>
          <w:spacing w:val="19"/>
          <w:sz w:val="19"/>
        </w:rPr>
        <w:t> </w:t>
      </w:r>
      <w:r>
        <w:rPr>
          <w:color w:val="231F20"/>
          <w:sz w:val="19"/>
        </w:rPr>
        <w:t>membri</w:t>
      </w:r>
      <w:r>
        <w:rPr>
          <w:color w:val="231F20"/>
          <w:spacing w:val="19"/>
          <w:sz w:val="19"/>
        </w:rPr>
        <w:t> </w:t>
      </w:r>
      <w:r>
        <w:rPr>
          <w:color w:val="231F20"/>
          <w:sz w:val="19"/>
        </w:rPr>
        <w:t>cooperano</w:t>
      </w:r>
      <w:r>
        <w:rPr>
          <w:color w:val="231F20"/>
          <w:spacing w:val="19"/>
          <w:sz w:val="19"/>
        </w:rPr>
        <w:t> </w:t>
      </w:r>
      <w:r>
        <w:rPr>
          <w:color w:val="231F20"/>
          <w:sz w:val="19"/>
        </w:rPr>
        <w:t>fra</w:t>
      </w:r>
      <w:r>
        <w:rPr>
          <w:color w:val="231F20"/>
          <w:spacing w:val="19"/>
          <w:sz w:val="19"/>
        </w:rPr>
        <w:t> </w:t>
      </w:r>
      <w:r>
        <w:rPr>
          <w:color w:val="231F20"/>
          <w:sz w:val="19"/>
        </w:rPr>
        <w:t>di</w:t>
      </w:r>
      <w:r>
        <w:rPr>
          <w:color w:val="231F20"/>
          <w:spacing w:val="19"/>
          <w:sz w:val="19"/>
        </w:rPr>
        <w:t> </w:t>
      </w:r>
      <w:r>
        <w:rPr>
          <w:color w:val="231F20"/>
          <w:sz w:val="19"/>
        </w:rPr>
        <w:t>loro</w:t>
      </w:r>
      <w:r>
        <w:rPr>
          <w:color w:val="231F20"/>
          <w:spacing w:val="19"/>
          <w:sz w:val="19"/>
        </w:rPr>
        <w:t> </w:t>
      </w:r>
      <w:r>
        <w:rPr>
          <w:color w:val="231F20"/>
          <w:sz w:val="19"/>
        </w:rPr>
        <w:t>ai</w:t>
      </w:r>
      <w:r>
        <w:rPr>
          <w:color w:val="231F20"/>
          <w:spacing w:val="19"/>
          <w:sz w:val="19"/>
        </w:rPr>
        <w:t> </w:t>
      </w:r>
      <w:r>
        <w:rPr>
          <w:color w:val="231F20"/>
          <w:sz w:val="19"/>
        </w:rPr>
        <w:t>fini</w:t>
      </w:r>
      <w:r>
        <w:rPr>
          <w:color w:val="231F20"/>
          <w:spacing w:val="19"/>
          <w:sz w:val="19"/>
        </w:rPr>
        <w:t> </w:t>
      </w:r>
      <w:r>
        <w:rPr>
          <w:color w:val="231F20"/>
          <w:sz w:val="19"/>
        </w:rPr>
        <w:t>dello</w:t>
      </w:r>
      <w:r>
        <w:rPr>
          <w:color w:val="231F20"/>
          <w:spacing w:val="19"/>
          <w:sz w:val="19"/>
        </w:rPr>
        <w:t> </w:t>
      </w:r>
      <w:r>
        <w:rPr>
          <w:color w:val="231F20"/>
          <w:sz w:val="19"/>
        </w:rPr>
        <w:t>scambio di informazioni prevedibilmente pertinenti per l’amministrazione e l’applicazione delle </w:t>
      </w:r>
      <w:r>
        <w:rPr>
          <w:color w:val="231F20"/>
          <w:sz w:val="19"/>
        </w:rPr>
        <w:t>leggi nazionali degli Stati membri relative alle imposte di cui all’articolo 2». Art. 5 della medesima direttiva: «Su richiesta dell’autorità richiedente, l’autorità interpellata trasmette all’autorità richiedente</w:t>
      </w:r>
      <w:r>
        <w:rPr>
          <w:color w:val="231F20"/>
          <w:spacing w:val="-2"/>
          <w:sz w:val="19"/>
        </w:rPr>
        <w:t> </w:t>
      </w:r>
      <w:r>
        <w:rPr>
          <w:color w:val="231F20"/>
          <w:sz w:val="19"/>
        </w:rPr>
        <w:t>le</w:t>
      </w:r>
      <w:r>
        <w:rPr>
          <w:color w:val="231F20"/>
          <w:spacing w:val="-2"/>
          <w:sz w:val="19"/>
        </w:rPr>
        <w:t> </w:t>
      </w:r>
      <w:r>
        <w:rPr>
          <w:color w:val="231F20"/>
          <w:sz w:val="19"/>
        </w:rPr>
        <w:t>informazioni</w:t>
      </w:r>
      <w:r>
        <w:rPr>
          <w:color w:val="231F20"/>
          <w:spacing w:val="-2"/>
          <w:sz w:val="19"/>
        </w:rPr>
        <w:t> </w:t>
      </w:r>
      <w:r>
        <w:rPr>
          <w:color w:val="231F20"/>
          <w:sz w:val="19"/>
        </w:rPr>
        <w:t>previste</w:t>
      </w:r>
      <w:r>
        <w:rPr>
          <w:color w:val="231F20"/>
          <w:spacing w:val="-2"/>
          <w:sz w:val="19"/>
        </w:rPr>
        <w:t> </w:t>
      </w:r>
      <w:r>
        <w:rPr>
          <w:color w:val="231F20"/>
          <w:sz w:val="19"/>
        </w:rPr>
        <w:t>all’art.</w:t>
      </w:r>
      <w:r>
        <w:rPr>
          <w:color w:val="231F20"/>
          <w:spacing w:val="-2"/>
          <w:sz w:val="19"/>
        </w:rPr>
        <w:t> </w:t>
      </w:r>
      <w:r>
        <w:rPr>
          <w:color w:val="231F20"/>
          <w:sz w:val="19"/>
        </w:rPr>
        <w:t>1</w:t>
      </w:r>
      <w:r>
        <w:rPr>
          <w:color w:val="231F20"/>
          <w:spacing w:val="-2"/>
          <w:sz w:val="19"/>
        </w:rPr>
        <w:t> </w:t>
      </w:r>
      <w:r>
        <w:rPr>
          <w:color w:val="231F20"/>
          <w:sz w:val="19"/>
        </w:rPr>
        <w:t>paragrafo</w:t>
      </w:r>
      <w:r>
        <w:rPr>
          <w:color w:val="231F20"/>
          <w:spacing w:val="-2"/>
          <w:sz w:val="19"/>
        </w:rPr>
        <w:t> </w:t>
      </w:r>
      <w:r>
        <w:rPr>
          <w:color w:val="231F20"/>
          <w:sz w:val="19"/>
        </w:rPr>
        <w:t>1,</w:t>
      </w:r>
      <w:r>
        <w:rPr>
          <w:color w:val="231F20"/>
          <w:spacing w:val="-2"/>
          <w:sz w:val="19"/>
        </w:rPr>
        <w:t> </w:t>
      </w:r>
      <w:r>
        <w:rPr>
          <w:color w:val="231F20"/>
          <w:sz w:val="19"/>
        </w:rPr>
        <w:t>di</w:t>
      </w:r>
      <w:r>
        <w:rPr>
          <w:color w:val="231F20"/>
          <w:spacing w:val="-2"/>
          <w:sz w:val="19"/>
        </w:rPr>
        <w:t> </w:t>
      </w:r>
      <w:r>
        <w:rPr>
          <w:color w:val="231F20"/>
          <w:sz w:val="19"/>
        </w:rPr>
        <w:t>cui</w:t>
      </w:r>
      <w:r>
        <w:rPr>
          <w:color w:val="231F20"/>
          <w:spacing w:val="-2"/>
          <w:sz w:val="19"/>
        </w:rPr>
        <w:t> </w:t>
      </w:r>
      <w:r>
        <w:rPr>
          <w:color w:val="231F20"/>
          <w:sz w:val="19"/>
        </w:rPr>
        <w:t>sia</w:t>
      </w:r>
      <w:r>
        <w:rPr>
          <w:color w:val="231F20"/>
          <w:spacing w:val="-2"/>
          <w:sz w:val="19"/>
        </w:rPr>
        <w:t> </w:t>
      </w:r>
      <w:r>
        <w:rPr>
          <w:color w:val="231F20"/>
          <w:sz w:val="19"/>
        </w:rPr>
        <w:t>in</w:t>
      </w:r>
      <w:r>
        <w:rPr>
          <w:color w:val="231F20"/>
          <w:spacing w:val="-2"/>
          <w:sz w:val="19"/>
        </w:rPr>
        <w:t> </w:t>
      </w:r>
      <w:r>
        <w:rPr>
          <w:color w:val="231F20"/>
          <w:sz w:val="19"/>
        </w:rPr>
        <w:t>possesso</w:t>
      </w:r>
      <w:r>
        <w:rPr>
          <w:color w:val="231F20"/>
          <w:spacing w:val="-2"/>
          <w:sz w:val="19"/>
        </w:rPr>
        <w:t> </w:t>
      </w:r>
      <w:r>
        <w:rPr>
          <w:color w:val="231F20"/>
          <w:sz w:val="19"/>
        </w:rPr>
        <w:t>o</w:t>
      </w:r>
      <w:r>
        <w:rPr>
          <w:color w:val="231F20"/>
          <w:spacing w:val="-2"/>
          <w:sz w:val="19"/>
        </w:rPr>
        <w:t> </w:t>
      </w:r>
      <w:r>
        <w:rPr>
          <w:color w:val="231F20"/>
          <w:sz w:val="19"/>
        </w:rPr>
        <w:t>che</w:t>
      </w:r>
      <w:r>
        <w:rPr>
          <w:color w:val="231F20"/>
          <w:spacing w:val="-2"/>
          <w:sz w:val="19"/>
        </w:rPr>
        <w:t> </w:t>
      </w:r>
      <w:r>
        <w:rPr>
          <w:color w:val="231F20"/>
          <w:sz w:val="19"/>
        </w:rPr>
        <w:t>ottenga</w:t>
      </w:r>
      <w:r>
        <w:rPr>
          <w:color w:val="231F20"/>
          <w:spacing w:val="-2"/>
          <w:sz w:val="19"/>
        </w:rPr>
        <w:t> </w:t>
      </w:r>
      <w:r>
        <w:rPr>
          <w:color w:val="231F20"/>
          <w:sz w:val="19"/>
        </w:rPr>
        <w:t>a seguito di un’indagine amministrativa».</w:t>
      </w:r>
    </w:p>
    <w:p>
      <w:pPr>
        <w:spacing w:after="0" w:line="225" w:lineRule="auto"/>
        <w:jc w:val="both"/>
        <w:rPr>
          <w:sz w:val="19"/>
        </w:rPr>
        <w:sectPr>
          <w:pgSz w:w="9640" w:h="13610"/>
          <w:pgMar w:header="0" w:footer="625" w:top="1260" w:bottom="820" w:left="1260" w:right="1240"/>
        </w:sectPr>
      </w:pPr>
    </w:p>
    <w:p>
      <w:pPr>
        <w:pStyle w:val="BodyText"/>
        <w:spacing w:line="225" w:lineRule="auto" w:before="117"/>
        <w:ind w:left="157" w:right="117"/>
        <w:jc w:val="both"/>
      </w:pPr>
      <w:r>
        <w:rPr/>
        <mc:AlternateContent>
          <mc:Choice Requires="wps">
            <w:drawing>
              <wp:anchor distT="0" distB="0" distL="0" distR="0" allowOverlap="1" layoutInCell="1" locked="0" behindDoc="0" simplePos="0" relativeHeight="15759872">
                <wp:simplePos x="0" y="0"/>
                <wp:positionH relativeFrom="page">
                  <wp:posOffset>5608609</wp:posOffset>
                </wp:positionH>
                <wp:positionV relativeFrom="page">
                  <wp:posOffset>2376001</wp:posOffset>
                </wp:positionV>
                <wp:extent cx="511809" cy="2412365"/>
                <wp:effectExtent l="0" t="0" r="0" b="0"/>
                <wp:wrapNone/>
                <wp:docPr id="105" name="Group 105"/>
                <wp:cNvGraphicFramePr>
                  <a:graphicFrameLocks/>
                </wp:cNvGraphicFramePr>
                <a:graphic>
                  <a:graphicData uri="http://schemas.microsoft.com/office/word/2010/wordprocessingGroup">
                    <wpg:wgp>
                      <wpg:cNvPr id="105" name="Group 105"/>
                      <wpg:cNvGrpSpPr/>
                      <wpg:grpSpPr>
                        <a:xfrm>
                          <a:off x="0" y="0"/>
                          <a:ext cx="511809" cy="2412365"/>
                          <a:chExt cx="511809" cy="2412365"/>
                        </a:xfrm>
                      </wpg:grpSpPr>
                      <wps:wsp>
                        <wps:cNvPr id="106" name="Graphic 106"/>
                        <wps:cNvSpPr/>
                        <wps:spPr>
                          <a:xfrm>
                            <a:off x="7393" y="3"/>
                            <a:ext cx="504190" cy="360045"/>
                          </a:xfrm>
                          <a:custGeom>
                            <a:avLst/>
                            <a:gdLst/>
                            <a:ahLst/>
                            <a:cxnLst/>
                            <a:rect l="l" t="t" r="r" b="b"/>
                            <a:pathLst>
                              <a:path w="504190" h="360045">
                                <a:moveTo>
                                  <a:pt x="503999" y="0"/>
                                </a:moveTo>
                                <a:lnTo>
                                  <a:pt x="0" y="0"/>
                                </a:lnTo>
                                <a:lnTo>
                                  <a:pt x="0" y="359994"/>
                                </a:lnTo>
                                <a:lnTo>
                                  <a:pt x="503999" y="359994"/>
                                </a:lnTo>
                                <a:lnTo>
                                  <a:pt x="503999" y="0"/>
                                </a:lnTo>
                                <a:close/>
                              </a:path>
                            </a:pathLst>
                          </a:custGeom>
                          <a:solidFill>
                            <a:srgbClr val="939598"/>
                          </a:solidFill>
                        </wps:spPr>
                        <wps:bodyPr wrap="square" lIns="0" tIns="0" rIns="0" bIns="0" rtlCol="0">
                          <a:prstTxWarp prst="textNoShape">
                            <a:avLst/>
                          </a:prstTxWarp>
                          <a:noAutofit/>
                        </wps:bodyPr>
                      </wps:wsp>
                      <wps:wsp>
                        <wps:cNvPr id="107" name="Graphic 107"/>
                        <wps:cNvSpPr/>
                        <wps:spPr>
                          <a:xfrm>
                            <a:off x="6350" y="0"/>
                            <a:ext cx="1270" cy="2412365"/>
                          </a:xfrm>
                          <a:custGeom>
                            <a:avLst/>
                            <a:gdLst/>
                            <a:ahLst/>
                            <a:cxnLst/>
                            <a:rect l="l" t="t" r="r" b="b"/>
                            <a:pathLst>
                              <a:path w="0" h="2412365">
                                <a:moveTo>
                                  <a:pt x="0" y="0"/>
                                </a:moveTo>
                                <a:lnTo>
                                  <a:pt x="0" y="2411996"/>
                                </a:lnTo>
                              </a:path>
                            </a:pathLst>
                          </a:custGeom>
                          <a:ln w="12700">
                            <a:solidFill>
                              <a:srgbClr val="939598"/>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441.622803pt;margin-top:187.0867pt;width:40.3pt;height:189.95pt;mso-position-horizontal-relative:page;mso-position-vertical-relative:page;z-index:15759872" id="docshapegroup87" coordorigin="8832,3742" coordsize="806,3799">
                <v:rect style="position:absolute;left:8844;top:3741;width:794;height:567" id="docshape88" filled="true" fillcolor="#939598" stroked="false">
                  <v:fill type="solid"/>
                </v:rect>
                <v:line style="position:absolute" from="8842,3742" to="8842,7540" stroked="true" strokeweight="1pt" strokecolor="#939598">
                  <v:stroke dashstyle="solid"/>
                </v:line>
                <w10:wrap type="none"/>
              </v:group>
            </w:pict>
          </mc:Fallback>
        </mc:AlternateContent>
      </w:r>
      <w:r>
        <w:rPr/>
        <mc:AlternateContent>
          <mc:Choice Requires="wps">
            <w:drawing>
              <wp:anchor distT="0" distB="0" distL="0" distR="0" allowOverlap="1" layoutInCell="1" locked="0" behindDoc="0" simplePos="0" relativeHeight="15760384">
                <wp:simplePos x="0" y="0"/>
                <wp:positionH relativeFrom="page">
                  <wp:posOffset>5635147</wp:posOffset>
                </wp:positionH>
                <wp:positionV relativeFrom="page">
                  <wp:posOffset>2795300</wp:posOffset>
                </wp:positionV>
                <wp:extent cx="299720" cy="1995805"/>
                <wp:effectExtent l="0" t="0" r="0" b="0"/>
                <wp:wrapNone/>
                <wp:docPr id="108" name="Textbox 108"/>
                <wp:cNvGraphicFramePr>
                  <a:graphicFrameLocks/>
                </wp:cNvGraphicFramePr>
                <a:graphic>
                  <a:graphicData uri="http://schemas.microsoft.com/office/word/2010/wordprocessingShape">
                    <wps:wsp>
                      <wps:cNvPr id="108" name="Textbox 108"/>
                      <wps:cNvSpPr txBox="1"/>
                      <wps:spPr>
                        <a:xfrm>
                          <a:off x="0" y="0"/>
                          <a:ext cx="299720" cy="1995805"/>
                        </a:xfrm>
                        <a:prstGeom prst="rect">
                          <a:avLst/>
                        </a:prstGeom>
                      </wps:spPr>
                      <wps:txbx>
                        <w:txbxContent>
                          <w:p>
                            <w:pPr>
                              <w:spacing w:before="20"/>
                              <w:ind w:left="20" w:right="0" w:firstLine="0"/>
                              <w:jc w:val="left"/>
                              <w:rPr>
                                <w:rFonts w:ascii="Minion Pro"/>
                                <w:sz w:val="32"/>
                              </w:rPr>
                            </w:pPr>
                            <w:r>
                              <w:rPr>
                                <w:rFonts w:ascii="Minion Pro"/>
                                <w:color w:val="231F20"/>
                                <w:sz w:val="32"/>
                              </w:rPr>
                              <w:t>Commented</w:t>
                            </w:r>
                            <w:r>
                              <w:rPr>
                                <w:rFonts w:ascii="Minion Pro"/>
                                <w:color w:val="231F20"/>
                                <w:spacing w:val="-10"/>
                                <w:sz w:val="32"/>
                              </w:rPr>
                              <w:t> </w:t>
                            </w:r>
                            <w:r>
                              <w:rPr>
                                <w:rFonts w:ascii="Minion Pro"/>
                                <w:color w:val="231F20"/>
                                <w:spacing w:val="-2"/>
                                <w:sz w:val="32"/>
                              </w:rPr>
                              <w:t>documents</w:t>
                            </w:r>
                          </w:p>
                        </w:txbxContent>
                      </wps:txbx>
                      <wps:bodyPr wrap="square" lIns="0" tIns="0" rIns="0" bIns="0" rtlCol="0" vert="vert">
                        <a:noAutofit/>
                      </wps:bodyPr>
                    </wps:wsp>
                  </a:graphicData>
                </a:graphic>
              </wp:anchor>
            </w:drawing>
          </mc:Choice>
          <mc:Fallback>
            <w:pict>
              <v:shape style="position:absolute;margin-left:443.712402pt;margin-top:220.102402pt;width:23.6pt;height:157.15pt;mso-position-horizontal-relative:page;mso-position-vertical-relative:page;z-index:15760384" type="#_x0000_t202" id="docshape89" filled="false" stroked="false">
                <v:textbox inset="0,0,0,0" style="layout-flow:vertical">
                  <w:txbxContent>
                    <w:p>
                      <w:pPr>
                        <w:spacing w:before="20"/>
                        <w:ind w:left="20" w:right="0" w:firstLine="0"/>
                        <w:jc w:val="left"/>
                        <w:rPr>
                          <w:rFonts w:ascii="Minion Pro"/>
                          <w:sz w:val="32"/>
                        </w:rPr>
                      </w:pPr>
                      <w:r>
                        <w:rPr>
                          <w:rFonts w:ascii="Minion Pro"/>
                          <w:color w:val="231F20"/>
                          <w:sz w:val="32"/>
                        </w:rPr>
                        <w:t>Commented</w:t>
                      </w:r>
                      <w:r>
                        <w:rPr>
                          <w:rFonts w:ascii="Minion Pro"/>
                          <w:color w:val="231F20"/>
                          <w:spacing w:val="-10"/>
                          <w:sz w:val="32"/>
                        </w:rPr>
                        <w:t> </w:t>
                      </w:r>
                      <w:r>
                        <w:rPr>
                          <w:rFonts w:ascii="Minion Pro"/>
                          <w:color w:val="231F20"/>
                          <w:spacing w:val="-2"/>
                          <w:sz w:val="32"/>
                        </w:rPr>
                        <w:t>documents</w:t>
                      </w:r>
                    </w:p>
                  </w:txbxContent>
                </v:textbox>
                <w10:wrap type="none"/>
              </v:shape>
            </w:pict>
          </mc:Fallback>
        </mc:AlternateContent>
      </w:r>
      <w:r>
        <w:rPr>
          <w:color w:val="231F20"/>
        </w:rPr>
        <w:t>contribuente.</w:t>
      </w:r>
      <w:r>
        <w:rPr>
          <w:color w:val="231F20"/>
          <w:spacing w:val="-15"/>
        </w:rPr>
        <w:t> </w:t>
      </w:r>
      <w:r>
        <w:rPr>
          <w:color w:val="231F20"/>
        </w:rPr>
        <w:t>Da</w:t>
      </w:r>
      <w:r>
        <w:rPr>
          <w:color w:val="231F20"/>
          <w:spacing w:val="-15"/>
        </w:rPr>
        <w:t> </w:t>
      </w:r>
      <w:r>
        <w:rPr>
          <w:color w:val="231F20"/>
        </w:rPr>
        <w:t>tale</w:t>
      </w:r>
      <w:r>
        <w:rPr>
          <w:color w:val="231F20"/>
          <w:spacing w:val="-15"/>
        </w:rPr>
        <w:t> </w:t>
      </w:r>
      <w:r>
        <w:rPr>
          <w:color w:val="231F20"/>
        </w:rPr>
        <w:t>affermazione</w:t>
      </w:r>
      <w:r>
        <w:rPr>
          <w:color w:val="231F20"/>
          <w:spacing w:val="-15"/>
        </w:rPr>
        <w:t> </w:t>
      </w:r>
      <w:r>
        <w:rPr>
          <w:color w:val="231F20"/>
        </w:rPr>
        <w:t>formulata</w:t>
      </w:r>
      <w:r>
        <w:rPr>
          <w:color w:val="231F20"/>
          <w:spacing w:val="-15"/>
        </w:rPr>
        <w:t> </w:t>
      </w:r>
      <w:r>
        <w:rPr>
          <w:color w:val="231F20"/>
        </w:rPr>
        <w:t>dallo</w:t>
      </w:r>
      <w:r>
        <w:rPr>
          <w:color w:val="231F20"/>
          <w:spacing w:val="-15"/>
        </w:rPr>
        <w:t> </w:t>
      </w:r>
      <w:r>
        <w:rPr>
          <w:color w:val="231F20"/>
        </w:rPr>
        <w:t>stesso</w:t>
      </w:r>
      <w:r>
        <w:rPr>
          <w:color w:val="231F20"/>
          <w:spacing w:val="-15"/>
        </w:rPr>
        <w:t> </w:t>
      </w:r>
      <w:r>
        <w:rPr>
          <w:color w:val="231F20"/>
        </w:rPr>
        <w:t>legislatore</w:t>
      </w:r>
      <w:r>
        <w:rPr>
          <w:color w:val="231F20"/>
          <w:spacing w:val="-15"/>
        </w:rPr>
        <w:t> </w:t>
      </w:r>
      <w:r>
        <w:rPr>
          <w:color w:val="231F20"/>
        </w:rPr>
        <w:t>dell’U- nione</w:t>
      </w:r>
      <w:r>
        <w:rPr>
          <w:color w:val="231F20"/>
          <w:spacing w:val="-15"/>
        </w:rPr>
        <w:t> </w:t>
      </w:r>
      <w:r>
        <w:rPr>
          <w:color w:val="231F20"/>
        </w:rPr>
        <w:t>la</w:t>
      </w:r>
      <w:r>
        <w:rPr>
          <w:color w:val="231F20"/>
          <w:spacing w:val="-15"/>
        </w:rPr>
        <w:t> </w:t>
      </w:r>
      <w:r>
        <w:rPr>
          <w:color w:val="231F20"/>
        </w:rPr>
        <w:t>Corte</w:t>
      </w:r>
      <w:r>
        <w:rPr>
          <w:color w:val="231F20"/>
          <w:spacing w:val="-15"/>
        </w:rPr>
        <w:t> </w:t>
      </w:r>
      <w:r>
        <w:rPr>
          <w:color w:val="231F20"/>
        </w:rPr>
        <w:t>di</w:t>
      </w:r>
      <w:r>
        <w:rPr>
          <w:color w:val="231F20"/>
          <w:spacing w:val="-15"/>
        </w:rPr>
        <w:t> </w:t>
      </w:r>
      <w:r>
        <w:rPr>
          <w:color w:val="231F20"/>
        </w:rPr>
        <w:t>giustizia</w:t>
      </w:r>
      <w:r>
        <w:rPr>
          <w:color w:val="231F20"/>
          <w:spacing w:val="-15"/>
        </w:rPr>
        <w:t> </w:t>
      </w:r>
      <w:r>
        <w:rPr>
          <w:color w:val="231F20"/>
        </w:rPr>
        <w:t>ha</w:t>
      </w:r>
      <w:r>
        <w:rPr>
          <w:color w:val="231F20"/>
          <w:spacing w:val="-15"/>
        </w:rPr>
        <w:t> </w:t>
      </w:r>
      <w:r>
        <w:rPr>
          <w:color w:val="231F20"/>
        </w:rPr>
        <w:t>tratto</w:t>
      </w:r>
      <w:r>
        <w:rPr>
          <w:color w:val="231F20"/>
          <w:spacing w:val="-15"/>
        </w:rPr>
        <w:t> </w:t>
      </w:r>
      <w:r>
        <w:rPr>
          <w:color w:val="231F20"/>
        </w:rPr>
        <w:t>una</w:t>
      </w:r>
      <w:r>
        <w:rPr>
          <w:color w:val="231F20"/>
          <w:spacing w:val="-15"/>
        </w:rPr>
        <w:t> </w:t>
      </w:r>
      <w:r>
        <w:rPr>
          <w:color w:val="231F20"/>
        </w:rPr>
        <w:t>prima</w:t>
      </w:r>
      <w:r>
        <w:rPr>
          <w:color w:val="231F20"/>
          <w:spacing w:val="-15"/>
        </w:rPr>
        <w:t> </w:t>
      </w:r>
      <w:r>
        <w:rPr>
          <w:color w:val="231F20"/>
        </w:rPr>
        <w:t>conclusione</w:t>
      </w:r>
      <w:r>
        <w:rPr>
          <w:color w:val="231F20"/>
          <w:spacing w:val="-15"/>
        </w:rPr>
        <w:t> </w:t>
      </w:r>
      <w:r>
        <w:rPr>
          <w:color w:val="231F20"/>
        </w:rPr>
        <w:t>secondo</w:t>
      </w:r>
      <w:r>
        <w:rPr>
          <w:color w:val="231F20"/>
          <w:spacing w:val="-15"/>
        </w:rPr>
        <w:t> </w:t>
      </w:r>
      <w:r>
        <w:rPr>
          <w:color w:val="231F20"/>
        </w:rPr>
        <w:t>la</w:t>
      </w:r>
      <w:r>
        <w:rPr>
          <w:color w:val="231F20"/>
          <w:spacing w:val="-15"/>
        </w:rPr>
        <w:t> </w:t>
      </w:r>
      <w:r>
        <w:rPr>
          <w:color w:val="231F20"/>
        </w:rPr>
        <w:t>quale la</w:t>
      </w:r>
      <w:r>
        <w:rPr>
          <w:color w:val="231F20"/>
          <w:spacing w:val="-3"/>
        </w:rPr>
        <w:t> </w:t>
      </w:r>
      <w:r>
        <w:rPr>
          <w:color w:val="231F20"/>
        </w:rPr>
        <w:t>«prevedibile</w:t>
      </w:r>
      <w:r>
        <w:rPr>
          <w:color w:val="231F20"/>
          <w:spacing w:val="-3"/>
        </w:rPr>
        <w:t> </w:t>
      </w:r>
      <w:r>
        <w:rPr>
          <w:color w:val="231F20"/>
        </w:rPr>
        <w:t>pertinenza»</w:t>
      </w:r>
      <w:r>
        <w:rPr>
          <w:color w:val="231F20"/>
          <w:spacing w:val="-3"/>
        </w:rPr>
        <w:t> </w:t>
      </w:r>
      <w:r>
        <w:rPr>
          <w:color w:val="231F20"/>
        </w:rPr>
        <w:t>delle</w:t>
      </w:r>
      <w:r>
        <w:rPr>
          <w:color w:val="231F20"/>
          <w:spacing w:val="-3"/>
        </w:rPr>
        <w:t> </w:t>
      </w:r>
      <w:r>
        <w:rPr>
          <w:color w:val="231F20"/>
        </w:rPr>
        <w:t>informazioni</w:t>
      </w:r>
      <w:r>
        <w:rPr>
          <w:color w:val="231F20"/>
          <w:spacing w:val="-3"/>
        </w:rPr>
        <w:t> </w:t>
      </w:r>
      <w:r>
        <w:rPr>
          <w:color w:val="231F20"/>
        </w:rPr>
        <w:t>richieste</w:t>
      </w:r>
      <w:r>
        <w:rPr>
          <w:color w:val="231F20"/>
          <w:spacing w:val="-3"/>
        </w:rPr>
        <w:t> </w:t>
      </w:r>
      <w:r>
        <w:rPr>
          <w:color w:val="231F20"/>
        </w:rPr>
        <w:t>dall’autorità</w:t>
      </w:r>
      <w:r>
        <w:rPr>
          <w:color w:val="231F20"/>
          <w:spacing w:val="-3"/>
        </w:rPr>
        <w:t> </w:t>
      </w:r>
      <w:r>
        <w:rPr>
          <w:color w:val="231F20"/>
        </w:rPr>
        <w:t>richie- dente</w:t>
      </w:r>
      <w:r>
        <w:rPr>
          <w:color w:val="231F20"/>
          <w:spacing w:val="-15"/>
        </w:rPr>
        <w:t> </w:t>
      </w:r>
      <w:r>
        <w:rPr>
          <w:color w:val="231F20"/>
        </w:rPr>
        <w:t>di</w:t>
      </w:r>
      <w:r>
        <w:rPr>
          <w:color w:val="231F20"/>
          <w:spacing w:val="-15"/>
        </w:rPr>
        <w:t> </w:t>
      </w:r>
      <w:r>
        <w:rPr>
          <w:color w:val="231F20"/>
        </w:rPr>
        <w:t>uno</w:t>
      </w:r>
      <w:r>
        <w:rPr>
          <w:color w:val="231F20"/>
          <w:spacing w:val="-15"/>
        </w:rPr>
        <w:t> </w:t>
      </w:r>
      <w:r>
        <w:rPr>
          <w:color w:val="231F20"/>
        </w:rPr>
        <w:t>Stato</w:t>
      </w:r>
      <w:r>
        <w:rPr>
          <w:color w:val="231F20"/>
          <w:spacing w:val="-15"/>
        </w:rPr>
        <w:t> </w:t>
      </w:r>
      <w:r>
        <w:rPr>
          <w:color w:val="231F20"/>
        </w:rPr>
        <w:t>membro</w:t>
      </w:r>
      <w:r>
        <w:rPr>
          <w:color w:val="231F20"/>
          <w:spacing w:val="-15"/>
        </w:rPr>
        <w:t> </w:t>
      </w:r>
      <w:r>
        <w:rPr>
          <w:color w:val="231F20"/>
        </w:rPr>
        <w:t>costituiva</w:t>
      </w:r>
      <w:r>
        <w:rPr>
          <w:color w:val="231F20"/>
          <w:spacing w:val="-15"/>
        </w:rPr>
        <w:t> </w:t>
      </w:r>
      <w:r>
        <w:rPr>
          <w:color w:val="231F20"/>
        </w:rPr>
        <w:t>una</w:t>
      </w:r>
      <w:r>
        <w:rPr>
          <w:color w:val="231F20"/>
          <w:spacing w:val="-15"/>
        </w:rPr>
        <w:t> </w:t>
      </w:r>
      <w:r>
        <w:rPr>
          <w:color w:val="231F20"/>
        </w:rPr>
        <w:t>condizione</w:t>
      </w:r>
      <w:r>
        <w:rPr>
          <w:color w:val="231F20"/>
          <w:spacing w:val="-15"/>
        </w:rPr>
        <w:t> </w:t>
      </w:r>
      <w:r>
        <w:rPr>
          <w:color w:val="231F20"/>
        </w:rPr>
        <w:t>necessaria</w:t>
      </w:r>
      <w:r>
        <w:rPr>
          <w:color w:val="231F20"/>
          <w:spacing w:val="-15"/>
        </w:rPr>
        <w:t> </w:t>
      </w:r>
      <w:r>
        <w:rPr>
          <w:color w:val="231F20"/>
        </w:rPr>
        <w:t>affinché</w:t>
      </w:r>
      <w:r>
        <w:rPr>
          <w:color w:val="231F20"/>
          <w:spacing w:val="-15"/>
        </w:rPr>
        <w:t> </w:t>
      </w:r>
      <w:r>
        <w:rPr>
          <w:color w:val="231F20"/>
        </w:rPr>
        <w:t>la richiesta</w:t>
      </w:r>
      <w:r>
        <w:rPr>
          <w:color w:val="231F20"/>
          <w:spacing w:val="-10"/>
        </w:rPr>
        <w:t> </w:t>
      </w:r>
      <w:r>
        <w:rPr>
          <w:color w:val="231F20"/>
        </w:rPr>
        <w:t>di</w:t>
      </w:r>
      <w:r>
        <w:rPr>
          <w:color w:val="231F20"/>
          <w:spacing w:val="-10"/>
        </w:rPr>
        <w:t> </w:t>
      </w:r>
      <w:r>
        <w:rPr>
          <w:color w:val="231F20"/>
        </w:rPr>
        <w:t>informazioni</w:t>
      </w:r>
      <w:r>
        <w:rPr>
          <w:color w:val="231F20"/>
          <w:spacing w:val="-10"/>
        </w:rPr>
        <w:t> </w:t>
      </w:r>
      <w:r>
        <w:rPr>
          <w:color w:val="231F20"/>
        </w:rPr>
        <w:t>risultasse</w:t>
      </w:r>
      <w:r>
        <w:rPr>
          <w:color w:val="231F20"/>
          <w:spacing w:val="-10"/>
        </w:rPr>
        <w:t> </w:t>
      </w:r>
      <w:r>
        <w:rPr>
          <w:color w:val="231F20"/>
        </w:rPr>
        <w:t>idonea</w:t>
      </w:r>
      <w:r>
        <w:rPr>
          <w:color w:val="231F20"/>
          <w:spacing w:val="-10"/>
        </w:rPr>
        <w:t> </w:t>
      </w:r>
      <w:r>
        <w:rPr>
          <w:color w:val="231F20"/>
        </w:rPr>
        <w:t>a</w:t>
      </w:r>
      <w:r>
        <w:rPr>
          <w:color w:val="231F20"/>
          <w:spacing w:val="-10"/>
        </w:rPr>
        <w:t> </w:t>
      </w:r>
      <w:r>
        <w:rPr>
          <w:color w:val="231F20"/>
        </w:rPr>
        <w:t>far</w:t>
      </w:r>
      <w:r>
        <w:rPr>
          <w:color w:val="231F20"/>
          <w:spacing w:val="-10"/>
        </w:rPr>
        <w:t> </w:t>
      </w:r>
      <w:r>
        <w:rPr>
          <w:color w:val="231F20"/>
        </w:rPr>
        <w:t>scattare</w:t>
      </w:r>
      <w:r>
        <w:rPr>
          <w:color w:val="231F20"/>
          <w:spacing w:val="-10"/>
        </w:rPr>
        <w:t> </w:t>
      </w:r>
      <w:r>
        <w:rPr>
          <w:color w:val="231F20"/>
        </w:rPr>
        <w:t>l’obbligo</w:t>
      </w:r>
      <w:r>
        <w:rPr>
          <w:color w:val="231F20"/>
          <w:spacing w:val="-10"/>
        </w:rPr>
        <w:t> </w:t>
      </w:r>
      <w:r>
        <w:rPr>
          <w:color w:val="231F20"/>
        </w:rPr>
        <w:t>di</w:t>
      </w:r>
      <w:r>
        <w:rPr>
          <w:color w:val="231F20"/>
          <w:spacing w:val="-10"/>
        </w:rPr>
        <w:t> </w:t>
      </w:r>
      <w:r>
        <w:rPr>
          <w:color w:val="231F20"/>
        </w:rPr>
        <w:t>risposta in capo all’autorità interpellata di un altro Stato membro</w:t>
      </w:r>
      <w:r>
        <w:rPr>
          <w:color w:val="231F20"/>
          <w:position w:val="8"/>
          <w:sz w:val="14"/>
        </w:rPr>
        <w:t>79</w:t>
      </w:r>
      <w:r>
        <w:rPr>
          <w:color w:val="231F20"/>
        </w:rPr>
        <w:t>.</w:t>
      </w:r>
    </w:p>
    <w:p>
      <w:pPr>
        <w:pStyle w:val="BodyText"/>
        <w:spacing w:line="225" w:lineRule="auto" w:before="8"/>
        <w:ind w:left="157" w:right="117" w:firstLine="340"/>
        <w:jc w:val="both"/>
      </w:pPr>
      <w:r>
        <w:rPr>
          <w:color w:val="231F20"/>
        </w:rPr>
        <w:t>La</w:t>
      </w:r>
      <w:r>
        <w:rPr>
          <w:color w:val="231F20"/>
          <w:spacing w:val="-1"/>
        </w:rPr>
        <w:t> </w:t>
      </w:r>
      <w:r>
        <w:rPr>
          <w:color w:val="231F20"/>
        </w:rPr>
        <w:t>Corte</w:t>
      </w:r>
      <w:r>
        <w:rPr>
          <w:color w:val="231F20"/>
          <w:spacing w:val="-1"/>
        </w:rPr>
        <w:t> </w:t>
      </w:r>
      <w:r>
        <w:rPr>
          <w:color w:val="231F20"/>
        </w:rPr>
        <w:t>ha</w:t>
      </w:r>
      <w:r>
        <w:rPr>
          <w:color w:val="231F20"/>
          <w:spacing w:val="-1"/>
        </w:rPr>
        <w:t> </w:t>
      </w:r>
      <w:r>
        <w:rPr>
          <w:color w:val="231F20"/>
        </w:rPr>
        <w:t>esaminato</w:t>
      </w:r>
      <w:r>
        <w:rPr>
          <w:color w:val="231F20"/>
          <w:spacing w:val="-1"/>
        </w:rPr>
        <w:t> </w:t>
      </w:r>
      <w:r>
        <w:rPr>
          <w:color w:val="231F20"/>
        </w:rPr>
        <w:t>in</w:t>
      </w:r>
      <w:r>
        <w:rPr>
          <w:color w:val="231F20"/>
          <w:spacing w:val="-1"/>
        </w:rPr>
        <w:t> </w:t>
      </w:r>
      <w:r>
        <w:rPr>
          <w:color w:val="231F20"/>
        </w:rPr>
        <w:t>seguito</w:t>
      </w:r>
      <w:r>
        <w:rPr>
          <w:color w:val="231F20"/>
          <w:spacing w:val="-1"/>
        </w:rPr>
        <w:t> </w:t>
      </w:r>
      <w:r>
        <w:rPr>
          <w:color w:val="231F20"/>
        </w:rPr>
        <w:t>il</w:t>
      </w:r>
      <w:r>
        <w:rPr>
          <w:color w:val="231F20"/>
          <w:spacing w:val="-1"/>
        </w:rPr>
        <w:t> </w:t>
      </w:r>
      <w:r>
        <w:rPr>
          <w:color w:val="231F20"/>
        </w:rPr>
        <w:t>problema</w:t>
      </w:r>
      <w:r>
        <w:rPr>
          <w:color w:val="231F20"/>
          <w:spacing w:val="-1"/>
        </w:rPr>
        <w:t> </w:t>
      </w:r>
      <w:r>
        <w:rPr>
          <w:color w:val="231F20"/>
        </w:rPr>
        <w:t>dell’autorità</w:t>
      </w:r>
      <w:r>
        <w:rPr>
          <w:color w:val="231F20"/>
          <w:spacing w:val="-1"/>
        </w:rPr>
        <w:t> </w:t>
      </w:r>
      <w:r>
        <w:rPr>
          <w:color w:val="231F20"/>
        </w:rPr>
        <w:t>competente ai fini della valutazione della «prevedibile pertinenza» delle informazioni oggetto della richiesta. Tale valutazione spetta, per i giudici dell’Unione, all’amministrazione finanziaria che ha avviato il procedimento di accerta- mento nei confronti del contribuente avente domicilio fiscale sul proprio territorio. In ordine alla «pertinenza», vale a dire all’utilità delle informa- zioni richieste ai fini dell’esatta quantificazione dell’imposta dovuta dal contribuente</w:t>
      </w:r>
      <w:r>
        <w:rPr>
          <w:color w:val="231F20"/>
          <w:spacing w:val="-4"/>
        </w:rPr>
        <w:t> </w:t>
      </w:r>
      <w:r>
        <w:rPr>
          <w:color w:val="231F20"/>
        </w:rPr>
        <w:t>oggetto</w:t>
      </w:r>
      <w:r>
        <w:rPr>
          <w:color w:val="231F20"/>
          <w:spacing w:val="-4"/>
        </w:rPr>
        <w:t> </w:t>
      </w:r>
      <w:r>
        <w:rPr>
          <w:color w:val="231F20"/>
        </w:rPr>
        <w:t>di</w:t>
      </w:r>
      <w:r>
        <w:rPr>
          <w:color w:val="231F20"/>
          <w:spacing w:val="-4"/>
        </w:rPr>
        <w:t> </w:t>
      </w:r>
      <w:r>
        <w:rPr>
          <w:color w:val="231F20"/>
        </w:rPr>
        <w:t>accertamento,</w:t>
      </w:r>
      <w:r>
        <w:rPr>
          <w:color w:val="231F20"/>
          <w:spacing w:val="-4"/>
        </w:rPr>
        <w:t> </w:t>
      </w:r>
      <w:r>
        <w:rPr>
          <w:color w:val="231F20"/>
        </w:rPr>
        <w:t>l’autorità</w:t>
      </w:r>
      <w:r>
        <w:rPr>
          <w:color w:val="231F20"/>
          <w:spacing w:val="-4"/>
        </w:rPr>
        <w:t> </w:t>
      </w:r>
      <w:r>
        <w:rPr>
          <w:color w:val="231F20"/>
        </w:rPr>
        <w:t>richiedente</w:t>
      </w:r>
      <w:r>
        <w:rPr>
          <w:color w:val="231F20"/>
          <w:spacing w:val="-4"/>
        </w:rPr>
        <w:t> </w:t>
      </w:r>
      <w:r>
        <w:rPr>
          <w:color w:val="231F20"/>
        </w:rPr>
        <w:t>dispone</w:t>
      </w:r>
      <w:r>
        <w:rPr>
          <w:color w:val="231F20"/>
          <w:spacing w:val="-4"/>
        </w:rPr>
        <w:t> </w:t>
      </w:r>
      <w:r>
        <w:rPr>
          <w:color w:val="231F20"/>
        </w:rPr>
        <w:t>di</w:t>
      </w:r>
      <w:r>
        <w:rPr>
          <w:color w:val="231F20"/>
          <w:spacing w:val="-4"/>
        </w:rPr>
        <w:t> </w:t>
      </w:r>
      <w:r>
        <w:rPr>
          <w:color w:val="231F20"/>
        </w:rPr>
        <w:t>un certo</w:t>
      </w:r>
      <w:r>
        <w:rPr>
          <w:color w:val="231F20"/>
          <w:spacing w:val="-12"/>
        </w:rPr>
        <w:t> </w:t>
      </w:r>
      <w:r>
        <w:rPr>
          <w:color w:val="231F20"/>
        </w:rPr>
        <w:t>«margine</w:t>
      </w:r>
      <w:r>
        <w:rPr>
          <w:color w:val="231F20"/>
          <w:spacing w:val="-12"/>
        </w:rPr>
        <w:t> </w:t>
      </w:r>
      <w:r>
        <w:rPr>
          <w:color w:val="231F20"/>
        </w:rPr>
        <w:t>discrezionale»</w:t>
      </w:r>
      <w:r>
        <w:rPr>
          <w:color w:val="231F20"/>
          <w:spacing w:val="-12"/>
        </w:rPr>
        <w:t> </w:t>
      </w:r>
      <w:r>
        <w:rPr>
          <w:color w:val="231F20"/>
        </w:rPr>
        <w:t>nella</w:t>
      </w:r>
      <w:r>
        <w:rPr>
          <w:color w:val="231F20"/>
          <w:spacing w:val="-12"/>
        </w:rPr>
        <w:t> </w:t>
      </w:r>
      <w:r>
        <w:rPr>
          <w:color w:val="231F20"/>
        </w:rPr>
        <w:t>scelta</w:t>
      </w:r>
      <w:r>
        <w:rPr>
          <w:color w:val="231F20"/>
          <w:spacing w:val="-12"/>
        </w:rPr>
        <w:t> </w:t>
      </w:r>
      <w:r>
        <w:rPr>
          <w:color w:val="231F20"/>
        </w:rPr>
        <w:t>delle</w:t>
      </w:r>
      <w:r>
        <w:rPr>
          <w:color w:val="231F20"/>
          <w:spacing w:val="-12"/>
        </w:rPr>
        <w:t> </w:t>
      </w:r>
      <w:r>
        <w:rPr>
          <w:color w:val="231F20"/>
        </w:rPr>
        <w:t>informazioni</w:t>
      </w:r>
      <w:r>
        <w:rPr>
          <w:color w:val="231F20"/>
          <w:spacing w:val="-12"/>
        </w:rPr>
        <w:t> </w:t>
      </w:r>
      <w:r>
        <w:rPr>
          <w:color w:val="231F20"/>
        </w:rPr>
        <w:t>che</w:t>
      </w:r>
      <w:r>
        <w:rPr>
          <w:color w:val="231F20"/>
          <w:spacing w:val="-12"/>
        </w:rPr>
        <w:t> </w:t>
      </w:r>
      <w:r>
        <w:rPr>
          <w:color w:val="231F20"/>
        </w:rPr>
        <w:t>essa</w:t>
      </w:r>
      <w:r>
        <w:rPr>
          <w:color w:val="231F20"/>
          <w:spacing w:val="-12"/>
        </w:rPr>
        <w:t> </w:t>
      </w:r>
      <w:r>
        <w:rPr>
          <w:color w:val="231F20"/>
        </w:rPr>
        <w:t>ritiene utili</w:t>
      </w:r>
      <w:r>
        <w:rPr>
          <w:color w:val="231F20"/>
          <w:spacing w:val="-8"/>
        </w:rPr>
        <w:t> </w:t>
      </w:r>
      <w:r>
        <w:rPr>
          <w:color w:val="231F20"/>
        </w:rPr>
        <w:t>ai</w:t>
      </w:r>
      <w:r>
        <w:rPr>
          <w:color w:val="231F20"/>
          <w:spacing w:val="-8"/>
        </w:rPr>
        <w:t> </w:t>
      </w:r>
      <w:r>
        <w:rPr>
          <w:color w:val="231F20"/>
        </w:rPr>
        <w:t>fini</w:t>
      </w:r>
      <w:r>
        <w:rPr>
          <w:color w:val="231F20"/>
          <w:spacing w:val="-8"/>
        </w:rPr>
        <w:t> </w:t>
      </w:r>
      <w:r>
        <w:rPr>
          <w:color w:val="231F20"/>
        </w:rPr>
        <w:t>della</w:t>
      </w:r>
      <w:r>
        <w:rPr>
          <w:color w:val="231F20"/>
          <w:spacing w:val="-8"/>
        </w:rPr>
        <w:t> </w:t>
      </w:r>
      <w:r>
        <w:rPr>
          <w:color w:val="231F20"/>
        </w:rPr>
        <w:t>propria</w:t>
      </w:r>
      <w:r>
        <w:rPr>
          <w:color w:val="231F20"/>
          <w:spacing w:val="-8"/>
        </w:rPr>
        <w:t> </w:t>
      </w:r>
      <w:r>
        <w:rPr>
          <w:color w:val="231F20"/>
        </w:rPr>
        <w:t>indagine,</w:t>
      </w:r>
      <w:r>
        <w:rPr>
          <w:color w:val="231F20"/>
          <w:spacing w:val="-8"/>
        </w:rPr>
        <w:t> </w:t>
      </w:r>
      <w:r>
        <w:rPr>
          <w:color w:val="231F20"/>
        </w:rPr>
        <w:t>margine</w:t>
      </w:r>
      <w:r>
        <w:rPr>
          <w:color w:val="231F20"/>
          <w:spacing w:val="-8"/>
        </w:rPr>
        <w:t> </w:t>
      </w:r>
      <w:r>
        <w:rPr>
          <w:color w:val="231F20"/>
        </w:rPr>
        <w:t>discrezionale</w:t>
      </w:r>
      <w:r>
        <w:rPr>
          <w:color w:val="231F20"/>
          <w:spacing w:val="-8"/>
        </w:rPr>
        <w:t> </w:t>
      </w:r>
      <w:r>
        <w:rPr>
          <w:color w:val="231F20"/>
        </w:rPr>
        <w:t>di</w:t>
      </w:r>
      <w:r>
        <w:rPr>
          <w:color w:val="231F20"/>
          <w:spacing w:val="-8"/>
        </w:rPr>
        <w:t> </w:t>
      </w:r>
      <w:r>
        <w:rPr>
          <w:color w:val="231F20"/>
        </w:rPr>
        <w:t>valutazione</w:t>
      </w:r>
      <w:r>
        <w:rPr>
          <w:color w:val="231F20"/>
          <w:spacing w:val="-8"/>
        </w:rPr>
        <w:t> </w:t>
      </w:r>
      <w:r>
        <w:rPr>
          <w:color w:val="231F20"/>
        </w:rPr>
        <w:t>che trova</w:t>
      </w:r>
      <w:r>
        <w:rPr>
          <w:color w:val="231F20"/>
          <w:spacing w:val="-11"/>
        </w:rPr>
        <w:t> </w:t>
      </w:r>
      <w:r>
        <w:rPr>
          <w:color w:val="231F20"/>
        </w:rPr>
        <w:t>per</w:t>
      </w:r>
      <w:r>
        <w:rPr>
          <w:color w:val="231F20"/>
          <w:spacing w:val="-11"/>
        </w:rPr>
        <w:t> </w:t>
      </w:r>
      <w:r>
        <w:rPr>
          <w:color w:val="231F20"/>
        </w:rPr>
        <w:t>i</w:t>
      </w:r>
      <w:r>
        <w:rPr>
          <w:color w:val="231F20"/>
          <w:spacing w:val="-11"/>
        </w:rPr>
        <w:t> </w:t>
      </w:r>
      <w:r>
        <w:rPr>
          <w:color w:val="231F20"/>
        </w:rPr>
        <w:t>giudici</w:t>
      </w:r>
      <w:r>
        <w:rPr>
          <w:color w:val="231F20"/>
          <w:spacing w:val="-11"/>
        </w:rPr>
        <w:t> </w:t>
      </w:r>
      <w:r>
        <w:rPr>
          <w:color w:val="231F20"/>
        </w:rPr>
        <w:t>dell’Unione</w:t>
      </w:r>
      <w:r>
        <w:rPr>
          <w:color w:val="231F20"/>
          <w:spacing w:val="-11"/>
        </w:rPr>
        <w:t> </w:t>
      </w:r>
      <w:r>
        <w:rPr>
          <w:color w:val="231F20"/>
        </w:rPr>
        <w:t>un</w:t>
      </w:r>
      <w:r>
        <w:rPr>
          <w:color w:val="231F20"/>
          <w:spacing w:val="-11"/>
        </w:rPr>
        <w:t> </w:t>
      </w:r>
      <w:r>
        <w:rPr>
          <w:color w:val="231F20"/>
        </w:rPr>
        <w:t>duplice</w:t>
      </w:r>
      <w:r>
        <w:rPr>
          <w:color w:val="231F20"/>
          <w:spacing w:val="-11"/>
        </w:rPr>
        <w:t> </w:t>
      </w:r>
      <w:r>
        <w:rPr>
          <w:color w:val="231F20"/>
        </w:rPr>
        <w:t>limite</w:t>
      </w:r>
      <w:r>
        <w:rPr>
          <w:color w:val="231F20"/>
          <w:spacing w:val="-11"/>
        </w:rPr>
        <w:t> </w:t>
      </w:r>
      <w:r>
        <w:rPr>
          <w:color w:val="231F20"/>
        </w:rPr>
        <w:t>nell’«assenza</w:t>
      </w:r>
      <w:r>
        <w:rPr>
          <w:color w:val="231F20"/>
          <w:spacing w:val="-11"/>
        </w:rPr>
        <w:t> </w:t>
      </w:r>
      <w:r>
        <w:rPr>
          <w:color w:val="231F20"/>
        </w:rPr>
        <w:t>manifesta»</w:t>
      </w:r>
      <w:r>
        <w:rPr>
          <w:color w:val="231F20"/>
          <w:spacing w:val="-11"/>
        </w:rPr>
        <w:t> </w:t>
      </w:r>
      <w:r>
        <w:rPr>
          <w:color w:val="231F20"/>
        </w:rPr>
        <w:t>di pertinenza</w:t>
      </w:r>
      <w:r>
        <w:rPr>
          <w:color w:val="231F20"/>
          <w:spacing w:val="-12"/>
        </w:rPr>
        <w:t> </w:t>
      </w:r>
      <w:r>
        <w:rPr>
          <w:color w:val="231F20"/>
        </w:rPr>
        <w:t>delle</w:t>
      </w:r>
      <w:r>
        <w:rPr>
          <w:color w:val="231F20"/>
          <w:spacing w:val="-12"/>
        </w:rPr>
        <w:t> </w:t>
      </w:r>
      <w:r>
        <w:rPr>
          <w:color w:val="231F20"/>
        </w:rPr>
        <w:t>informazioni</w:t>
      </w:r>
      <w:r>
        <w:rPr>
          <w:color w:val="231F20"/>
          <w:spacing w:val="-12"/>
        </w:rPr>
        <w:t> </w:t>
      </w:r>
      <w:r>
        <w:rPr>
          <w:color w:val="231F20"/>
        </w:rPr>
        <w:t>richieste</w:t>
      </w:r>
      <w:r>
        <w:rPr>
          <w:color w:val="231F20"/>
          <w:spacing w:val="-12"/>
        </w:rPr>
        <w:t> </w:t>
      </w:r>
      <w:r>
        <w:rPr>
          <w:color w:val="231F20"/>
        </w:rPr>
        <w:t>all’autorità</w:t>
      </w:r>
      <w:r>
        <w:rPr>
          <w:color w:val="231F20"/>
          <w:spacing w:val="-12"/>
        </w:rPr>
        <w:t> </w:t>
      </w:r>
      <w:r>
        <w:rPr>
          <w:color w:val="231F20"/>
        </w:rPr>
        <w:t>interpellata</w:t>
      </w:r>
      <w:r>
        <w:rPr>
          <w:color w:val="231F20"/>
          <w:spacing w:val="-12"/>
        </w:rPr>
        <w:t> </w:t>
      </w:r>
      <w:r>
        <w:rPr>
          <w:color w:val="231F20"/>
        </w:rPr>
        <w:t>e</w:t>
      </w:r>
      <w:r>
        <w:rPr>
          <w:color w:val="231F20"/>
          <w:spacing w:val="-12"/>
        </w:rPr>
        <w:t> </w:t>
      </w:r>
      <w:r>
        <w:rPr>
          <w:color w:val="231F20"/>
        </w:rPr>
        <w:t>nell’«onere eccessivo» che la ricerca di tali medesime informazioni richiederebbe alla stessa autorità interpellata (amministrazione finanziaria) di un altro Stato membro</w:t>
      </w:r>
      <w:r>
        <w:rPr>
          <w:color w:val="231F20"/>
          <w:position w:val="8"/>
          <w:sz w:val="14"/>
        </w:rPr>
        <w:t>80</w:t>
      </w:r>
      <w:r>
        <w:rPr>
          <w:color w:val="231F20"/>
        </w:rPr>
        <w:t>. Dal complesso di tali argomentazioni la Corte di giustizia ha tratto</w:t>
      </w:r>
      <w:r>
        <w:rPr>
          <w:color w:val="231F20"/>
          <w:spacing w:val="-9"/>
        </w:rPr>
        <w:t> </w:t>
      </w:r>
      <w:r>
        <w:rPr>
          <w:color w:val="231F20"/>
        </w:rPr>
        <w:t>l’ulteriore</w:t>
      </w:r>
      <w:r>
        <w:rPr>
          <w:color w:val="231F20"/>
          <w:spacing w:val="-8"/>
        </w:rPr>
        <w:t> </w:t>
      </w:r>
      <w:r>
        <w:rPr>
          <w:color w:val="231F20"/>
        </w:rPr>
        <w:t>conseguenza</w:t>
      </w:r>
      <w:r>
        <w:rPr>
          <w:color w:val="231F20"/>
          <w:spacing w:val="-9"/>
        </w:rPr>
        <w:t> </w:t>
      </w:r>
      <w:r>
        <w:rPr>
          <w:color w:val="231F20"/>
        </w:rPr>
        <w:t>del</w:t>
      </w:r>
      <w:r>
        <w:rPr>
          <w:color w:val="231F20"/>
          <w:spacing w:val="-8"/>
        </w:rPr>
        <w:t> </w:t>
      </w:r>
      <w:r>
        <w:rPr>
          <w:color w:val="231F20"/>
        </w:rPr>
        <w:t>riconoscimento,</w:t>
      </w:r>
      <w:r>
        <w:rPr>
          <w:color w:val="231F20"/>
          <w:spacing w:val="-9"/>
        </w:rPr>
        <w:t> </w:t>
      </w:r>
      <w:r>
        <w:rPr>
          <w:color w:val="231F20"/>
        </w:rPr>
        <w:t>nei</w:t>
      </w:r>
      <w:r>
        <w:rPr>
          <w:color w:val="231F20"/>
          <w:spacing w:val="-8"/>
        </w:rPr>
        <w:t> </w:t>
      </w:r>
      <w:r>
        <w:rPr>
          <w:color w:val="231F20"/>
        </w:rPr>
        <w:t>confronti</w:t>
      </w:r>
      <w:r>
        <w:rPr>
          <w:color w:val="231F20"/>
          <w:spacing w:val="-8"/>
        </w:rPr>
        <w:t> </w:t>
      </w:r>
      <w:r>
        <w:rPr>
          <w:color w:val="231F20"/>
        </w:rPr>
        <w:t>del</w:t>
      </w:r>
      <w:r>
        <w:rPr>
          <w:color w:val="231F20"/>
          <w:spacing w:val="-8"/>
        </w:rPr>
        <w:t> </w:t>
      </w:r>
      <w:r>
        <w:rPr>
          <w:color w:val="231F20"/>
        </w:rPr>
        <w:t>sogget- to detentore delle informazioni richieste dall’amministrazione finanziaria di un altro Stato membro, del «diritto di eccepire dinanzi ad un giudice</w:t>
      </w:r>
      <w:r>
        <w:rPr>
          <w:color w:val="231F20"/>
          <w:spacing w:val="80"/>
          <w:w w:val="150"/>
        </w:rPr>
        <w:t> </w:t>
      </w:r>
      <w:r>
        <w:rPr>
          <w:color w:val="231F20"/>
        </w:rPr>
        <w:t>la non conformità di tale richiesta di informazioni all’art. 5 della direttiva 2011/16 e l’illegittimità della decisione di ingiunzione che ne deriva»</w:t>
      </w:r>
      <w:r>
        <w:rPr>
          <w:color w:val="231F20"/>
          <w:position w:val="8"/>
          <w:sz w:val="14"/>
        </w:rPr>
        <w:t>81</w:t>
      </w:r>
      <w:r>
        <w:rPr>
          <w:color w:val="231F20"/>
        </w:rPr>
        <w:t>.</w:t>
      </w:r>
    </w:p>
    <w:p>
      <w:pPr>
        <w:pStyle w:val="BodyText"/>
        <w:spacing w:before="56"/>
      </w:pPr>
    </w:p>
    <w:p>
      <w:pPr>
        <w:pStyle w:val="ListParagraph"/>
        <w:numPr>
          <w:ilvl w:val="2"/>
          <w:numId w:val="4"/>
        </w:numPr>
        <w:tabs>
          <w:tab w:pos="744" w:val="left" w:leader="none"/>
        </w:tabs>
        <w:spacing w:line="230" w:lineRule="auto" w:before="0" w:after="0"/>
        <w:ind w:left="157" w:right="202" w:firstLine="0"/>
        <w:jc w:val="left"/>
        <w:rPr>
          <w:i/>
          <w:sz w:val="24"/>
        </w:rPr>
      </w:pPr>
      <w:r>
        <w:rPr>
          <w:i/>
          <w:color w:val="231F20"/>
          <w:sz w:val="24"/>
        </w:rPr>
        <w:t>Estensione dei poteri di verifica dell’autorità interpellata e del giudice</w:t>
      </w:r>
      <w:r>
        <w:rPr>
          <w:i/>
          <w:color w:val="231F20"/>
          <w:sz w:val="24"/>
        </w:rPr>
        <w:t> competente</w:t>
      </w:r>
      <w:r>
        <w:rPr>
          <w:i/>
          <w:color w:val="231F20"/>
          <w:spacing w:val="-15"/>
          <w:sz w:val="24"/>
        </w:rPr>
        <w:t> </w:t>
      </w:r>
      <w:r>
        <w:rPr>
          <w:i/>
          <w:color w:val="231F20"/>
          <w:sz w:val="24"/>
        </w:rPr>
        <w:t>in</w:t>
      </w:r>
      <w:r>
        <w:rPr>
          <w:i/>
          <w:color w:val="231F20"/>
          <w:spacing w:val="-15"/>
          <w:sz w:val="24"/>
        </w:rPr>
        <w:t> </w:t>
      </w:r>
      <w:r>
        <w:rPr>
          <w:i/>
          <w:color w:val="231F20"/>
          <w:sz w:val="24"/>
        </w:rPr>
        <w:t>ordine</w:t>
      </w:r>
      <w:r>
        <w:rPr>
          <w:i/>
          <w:color w:val="231F20"/>
          <w:spacing w:val="-15"/>
          <w:sz w:val="24"/>
        </w:rPr>
        <w:t> </w:t>
      </w:r>
      <w:r>
        <w:rPr>
          <w:i/>
          <w:color w:val="231F20"/>
          <w:sz w:val="24"/>
        </w:rPr>
        <w:t>alla</w:t>
      </w:r>
      <w:r>
        <w:rPr>
          <w:i/>
          <w:color w:val="231F20"/>
          <w:spacing w:val="-15"/>
          <w:sz w:val="24"/>
        </w:rPr>
        <w:t> </w:t>
      </w:r>
      <w:r>
        <w:rPr>
          <w:i/>
          <w:color w:val="231F20"/>
          <w:sz w:val="24"/>
        </w:rPr>
        <w:t>«prevedibile</w:t>
      </w:r>
      <w:r>
        <w:rPr>
          <w:i/>
          <w:color w:val="231F20"/>
          <w:spacing w:val="-15"/>
          <w:sz w:val="24"/>
        </w:rPr>
        <w:t> </w:t>
      </w:r>
      <w:r>
        <w:rPr>
          <w:i/>
          <w:color w:val="231F20"/>
          <w:sz w:val="24"/>
        </w:rPr>
        <w:t>pertinenza»</w:t>
      </w:r>
      <w:r>
        <w:rPr>
          <w:i/>
          <w:color w:val="231F20"/>
          <w:spacing w:val="-15"/>
          <w:sz w:val="24"/>
        </w:rPr>
        <w:t> </w:t>
      </w:r>
      <w:r>
        <w:rPr>
          <w:i/>
          <w:color w:val="231F20"/>
          <w:sz w:val="24"/>
        </w:rPr>
        <w:t>delle</w:t>
      </w:r>
      <w:r>
        <w:rPr>
          <w:i/>
          <w:color w:val="231F20"/>
          <w:spacing w:val="-15"/>
          <w:sz w:val="24"/>
        </w:rPr>
        <w:t> </w:t>
      </w:r>
      <w:r>
        <w:rPr>
          <w:i/>
          <w:color w:val="231F20"/>
          <w:sz w:val="24"/>
        </w:rPr>
        <w:t>informazioni</w:t>
      </w:r>
      <w:r>
        <w:rPr>
          <w:i/>
          <w:color w:val="231F20"/>
          <w:spacing w:val="-15"/>
          <w:sz w:val="24"/>
        </w:rPr>
        <w:t> </w:t>
      </w:r>
      <w:r>
        <w:rPr>
          <w:i/>
          <w:color w:val="231F20"/>
          <w:sz w:val="24"/>
        </w:rPr>
        <w:t>richieste</w:t>
      </w:r>
    </w:p>
    <w:p>
      <w:pPr>
        <w:pStyle w:val="BodyText"/>
        <w:spacing w:line="225" w:lineRule="auto" w:before="172"/>
        <w:ind w:left="157" w:right="118"/>
        <w:jc w:val="both"/>
      </w:pPr>
      <w:r>
        <w:rPr>
          <w:color w:val="231F20"/>
        </w:rPr>
        <w:t>La</w:t>
      </w:r>
      <w:r>
        <w:rPr>
          <w:color w:val="231F20"/>
          <w:spacing w:val="-4"/>
        </w:rPr>
        <w:t> </w:t>
      </w:r>
      <w:r>
        <w:rPr>
          <w:color w:val="231F20"/>
        </w:rPr>
        <w:t>lunga</w:t>
      </w:r>
      <w:r>
        <w:rPr>
          <w:color w:val="231F20"/>
          <w:spacing w:val="-4"/>
        </w:rPr>
        <w:t> </w:t>
      </w:r>
      <w:r>
        <w:rPr>
          <w:color w:val="231F20"/>
        </w:rPr>
        <w:t>e</w:t>
      </w:r>
      <w:r>
        <w:rPr>
          <w:color w:val="231F20"/>
          <w:spacing w:val="-4"/>
        </w:rPr>
        <w:t> </w:t>
      </w:r>
      <w:r>
        <w:rPr>
          <w:color w:val="231F20"/>
        </w:rPr>
        <w:t>dettagliata</w:t>
      </w:r>
      <w:r>
        <w:rPr>
          <w:color w:val="231F20"/>
          <w:spacing w:val="-4"/>
        </w:rPr>
        <w:t> </w:t>
      </w:r>
      <w:r>
        <w:rPr>
          <w:color w:val="231F20"/>
        </w:rPr>
        <w:t>sentenza</w:t>
      </w:r>
      <w:r>
        <w:rPr>
          <w:color w:val="231F20"/>
          <w:spacing w:val="-4"/>
        </w:rPr>
        <w:t> </w:t>
      </w:r>
      <w:r>
        <w:rPr>
          <w:i/>
          <w:color w:val="231F20"/>
        </w:rPr>
        <w:t>Berlioz</w:t>
      </w:r>
      <w:r>
        <w:rPr>
          <w:i/>
          <w:color w:val="231F20"/>
          <w:spacing w:val="-4"/>
        </w:rPr>
        <w:t> </w:t>
      </w:r>
      <w:r>
        <w:rPr>
          <w:color w:val="231F20"/>
        </w:rPr>
        <w:t>prosegue</w:t>
      </w:r>
      <w:r>
        <w:rPr>
          <w:color w:val="231F20"/>
          <w:spacing w:val="-4"/>
        </w:rPr>
        <w:t> </w:t>
      </w:r>
      <w:r>
        <w:rPr>
          <w:color w:val="231F20"/>
        </w:rPr>
        <w:t>ancora</w:t>
      </w:r>
      <w:r>
        <w:rPr>
          <w:color w:val="231F20"/>
          <w:spacing w:val="-4"/>
        </w:rPr>
        <w:t> </w:t>
      </w:r>
      <w:r>
        <w:rPr>
          <w:color w:val="231F20"/>
        </w:rPr>
        <w:t>affrontando</w:t>
      </w:r>
      <w:r>
        <w:rPr>
          <w:color w:val="231F20"/>
          <w:spacing w:val="-4"/>
        </w:rPr>
        <w:t> </w:t>
      </w:r>
      <w:r>
        <w:rPr>
          <w:color w:val="231F20"/>
        </w:rPr>
        <w:t>il</w:t>
      </w:r>
      <w:r>
        <w:rPr>
          <w:color w:val="231F20"/>
          <w:spacing w:val="-4"/>
        </w:rPr>
        <w:t> </w:t>
      </w:r>
      <w:r>
        <w:rPr>
          <w:color w:val="231F20"/>
        </w:rPr>
        <w:t>con- seguente</w:t>
      </w:r>
      <w:r>
        <w:rPr>
          <w:color w:val="231F20"/>
          <w:spacing w:val="3"/>
        </w:rPr>
        <w:t> </w:t>
      </w:r>
      <w:r>
        <w:rPr>
          <w:color w:val="231F20"/>
        </w:rPr>
        <w:t>duplice</w:t>
      </w:r>
      <w:r>
        <w:rPr>
          <w:color w:val="231F20"/>
          <w:spacing w:val="4"/>
        </w:rPr>
        <w:t> </w:t>
      </w:r>
      <w:r>
        <w:rPr>
          <w:color w:val="231F20"/>
        </w:rPr>
        <w:t>problema</w:t>
      </w:r>
      <w:r>
        <w:rPr>
          <w:color w:val="231F20"/>
          <w:spacing w:val="4"/>
        </w:rPr>
        <w:t> </w:t>
      </w:r>
      <w:r>
        <w:rPr>
          <w:color w:val="231F20"/>
        </w:rPr>
        <w:t>dell’estensione</w:t>
      </w:r>
      <w:r>
        <w:rPr>
          <w:color w:val="231F20"/>
          <w:spacing w:val="4"/>
        </w:rPr>
        <w:t> </w:t>
      </w:r>
      <w:r>
        <w:rPr>
          <w:color w:val="231F20"/>
        </w:rPr>
        <w:t>dei</w:t>
      </w:r>
      <w:r>
        <w:rPr>
          <w:color w:val="231F20"/>
          <w:spacing w:val="4"/>
        </w:rPr>
        <w:t> </w:t>
      </w:r>
      <w:r>
        <w:rPr>
          <w:color w:val="231F20"/>
        </w:rPr>
        <w:t>poteri</w:t>
      </w:r>
      <w:r>
        <w:rPr>
          <w:color w:val="231F20"/>
          <w:spacing w:val="4"/>
        </w:rPr>
        <w:t> </w:t>
      </w:r>
      <w:r>
        <w:rPr>
          <w:color w:val="231F20"/>
        </w:rPr>
        <w:t>di</w:t>
      </w:r>
      <w:r>
        <w:rPr>
          <w:color w:val="231F20"/>
          <w:spacing w:val="4"/>
        </w:rPr>
        <w:t> </w:t>
      </w:r>
      <w:r>
        <w:rPr>
          <w:color w:val="231F20"/>
        </w:rPr>
        <w:t>verifica</w:t>
      </w:r>
      <w:r>
        <w:rPr>
          <w:color w:val="231F20"/>
          <w:spacing w:val="4"/>
        </w:rPr>
        <w:t> </w:t>
      </w:r>
      <w:r>
        <w:rPr>
          <w:color w:val="231F20"/>
        </w:rPr>
        <w:t>che</w:t>
      </w:r>
      <w:r>
        <w:rPr>
          <w:color w:val="231F20"/>
          <w:spacing w:val="4"/>
        </w:rPr>
        <w:t> </w:t>
      </w:r>
      <w:r>
        <w:rPr>
          <w:color w:val="231F20"/>
          <w:spacing w:val="-2"/>
        </w:rPr>
        <w:t>l’auto-</w:t>
      </w:r>
    </w:p>
    <w:p>
      <w:pPr>
        <w:pStyle w:val="BodyText"/>
        <w:spacing w:before="39"/>
        <w:rPr>
          <w:sz w:val="20"/>
        </w:rPr>
      </w:pPr>
      <w:r>
        <w:rPr/>
        <mc:AlternateContent>
          <mc:Choice Requires="wps">
            <w:drawing>
              <wp:anchor distT="0" distB="0" distL="0" distR="0" allowOverlap="1" layoutInCell="1" locked="0" behindDoc="1" simplePos="0" relativeHeight="487618560">
                <wp:simplePos x="0" y="0"/>
                <wp:positionH relativeFrom="page">
                  <wp:posOffset>899999</wp:posOffset>
                </wp:positionH>
                <wp:positionV relativeFrom="paragraph">
                  <wp:posOffset>201599</wp:posOffset>
                </wp:positionV>
                <wp:extent cx="792480" cy="1270"/>
                <wp:effectExtent l="0" t="0" r="0" b="0"/>
                <wp:wrapTopAndBottom/>
                <wp:docPr id="109" name="Graphic 109"/>
                <wp:cNvGraphicFramePr>
                  <a:graphicFrameLocks/>
                </wp:cNvGraphicFramePr>
                <a:graphic>
                  <a:graphicData uri="http://schemas.microsoft.com/office/word/2010/wordprocessingShape">
                    <wps:wsp>
                      <wps:cNvPr id="109" name="Graphic 109"/>
                      <wps:cNvSpPr/>
                      <wps:spPr>
                        <a:xfrm>
                          <a:off x="0" y="0"/>
                          <a:ext cx="792480" cy="1270"/>
                        </a:xfrm>
                        <a:custGeom>
                          <a:avLst/>
                          <a:gdLst/>
                          <a:ahLst/>
                          <a:cxnLst/>
                          <a:rect l="l" t="t" r="r" b="b"/>
                          <a:pathLst>
                            <a:path w="792480" h="0">
                              <a:moveTo>
                                <a:pt x="0" y="0"/>
                              </a:moveTo>
                              <a:lnTo>
                                <a:pt x="791997"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shape style="position:absolute;margin-left:70.866096pt;margin-top:15.87396pt;width:62.4pt;height:.1pt;mso-position-horizontal-relative:page;mso-position-vertical-relative:paragraph;z-index:-15697920;mso-wrap-distance-left:0;mso-wrap-distance-right:0" id="docshape90" coordorigin="1417,317" coordsize="1248,0" path="m1417,317l2665,317e" filled="false" stroked="true" strokeweight=".5pt" strokecolor="#231f20">
                <v:path arrowok="t"/>
                <v:stroke dashstyle="solid"/>
                <w10:wrap type="topAndBottom"/>
              </v:shape>
            </w:pict>
          </mc:Fallback>
        </mc:AlternateContent>
      </w:r>
    </w:p>
    <w:p>
      <w:pPr>
        <w:spacing w:line="235" w:lineRule="exact" w:before="190"/>
        <w:ind w:left="157" w:right="0" w:firstLine="0"/>
        <w:jc w:val="both"/>
        <w:rPr>
          <w:sz w:val="19"/>
        </w:rPr>
      </w:pPr>
      <w:r>
        <w:rPr>
          <w:color w:val="231F20"/>
          <w:position w:val="6"/>
          <w:sz w:val="11"/>
        </w:rPr>
        <w:t>79</w:t>
      </w:r>
      <w:r>
        <w:rPr>
          <w:color w:val="231F20"/>
          <w:spacing w:val="53"/>
          <w:position w:val="6"/>
          <w:sz w:val="11"/>
        </w:rPr>
        <w:t>  </w:t>
      </w:r>
      <w:r>
        <w:rPr>
          <w:color w:val="231F20"/>
          <w:sz w:val="19"/>
        </w:rPr>
        <w:t>Corte</w:t>
      </w:r>
      <w:r>
        <w:rPr>
          <w:color w:val="231F20"/>
          <w:spacing w:val="1"/>
          <w:sz w:val="19"/>
        </w:rPr>
        <w:t> </w:t>
      </w:r>
      <w:r>
        <w:rPr>
          <w:color w:val="231F20"/>
          <w:sz w:val="19"/>
        </w:rPr>
        <w:t>giust. UE, sent. del 16</w:t>
      </w:r>
      <w:r>
        <w:rPr>
          <w:color w:val="231F20"/>
          <w:spacing w:val="1"/>
          <w:sz w:val="19"/>
        </w:rPr>
        <w:t> </w:t>
      </w:r>
      <w:r>
        <w:rPr>
          <w:color w:val="231F20"/>
          <w:sz w:val="19"/>
        </w:rPr>
        <w:t>maggio 2017, causa C-682/15, cit., punti 64 e </w:t>
      </w:r>
      <w:r>
        <w:rPr>
          <w:color w:val="231F20"/>
          <w:spacing w:val="-5"/>
          <w:sz w:val="19"/>
        </w:rPr>
        <w:t>74.</w:t>
      </w:r>
    </w:p>
    <w:p>
      <w:pPr>
        <w:spacing w:line="225" w:lineRule="auto" w:before="4"/>
        <w:ind w:left="157" w:right="117" w:firstLine="0"/>
        <w:jc w:val="both"/>
        <w:rPr>
          <w:sz w:val="19"/>
        </w:rPr>
      </w:pPr>
      <w:r>
        <w:rPr>
          <w:color w:val="231F20"/>
          <w:position w:val="6"/>
          <w:sz w:val="11"/>
        </w:rPr>
        <w:t>80</w:t>
      </w:r>
      <w:r>
        <w:rPr>
          <w:color w:val="231F20"/>
          <w:spacing w:val="80"/>
          <w:position w:val="6"/>
          <w:sz w:val="11"/>
        </w:rPr>
        <w:t> </w:t>
      </w:r>
      <w:r>
        <w:rPr>
          <w:color w:val="231F20"/>
          <w:sz w:val="19"/>
        </w:rPr>
        <w:t>Corte giust. UE, ult. cit., punti 68 e 71.</w:t>
      </w:r>
      <w:r>
        <w:rPr>
          <w:color w:val="231F20"/>
          <w:spacing w:val="-2"/>
          <w:sz w:val="19"/>
        </w:rPr>
        <w:t> </w:t>
      </w:r>
      <w:r>
        <w:rPr>
          <w:color w:val="231F20"/>
          <w:sz w:val="19"/>
        </w:rPr>
        <w:t>Tale principio interpretativo è stato confermato pienamente dalla Corte di giustizia nelle due precitate sentenze Corte giust. UE, sent. del </w:t>
      </w:r>
      <w:r>
        <w:rPr>
          <w:color w:val="231F20"/>
          <w:sz w:val="19"/>
        </w:rPr>
        <w:t>6 ottobre</w:t>
      </w:r>
      <w:r>
        <w:rPr>
          <w:color w:val="231F20"/>
          <w:spacing w:val="-7"/>
          <w:sz w:val="19"/>
        </w:rPr>
        <w:t> </w:t>
      </w:r>
      <w:r>
        <w:rPr>
          <w:color w:val="231F20"/>
          <w:sz w:val="19"/>
        </w:rPr>
        <w:t>2020,</w:t>
      </w:r>
      <w:r>
        <w:rPr>
          <w:color w:val="231F20"/>
          <w:spacing w:val="-7"/>
          <w:sz w:val="19"/>
        </w:rPr>
        <w:t> </w:t>
      </w:r>
      <w:r>
        <w:rPr>
          <w:color w:val="231F20"/>
          <w:sz w:val="19"/>
        </w:rPr>
        <w:t>causa</w:t>
      </w:r>
      <w:r>
        <w:rPr>
          <w:color w:val="231F20"/>
          <w:spacing w:val="-7"/>
          <w:sz w:val="19"/>
        </w:rPr>
        <w:t> </w:t>
      </w:r>
      <w:r>
        <w:rPr>
          <w:color w:val="231F20"/>
          <w:sz w:val="19"/>
        </w:rPr>
        <w:t>C-245/19,</w:t>
      </w:r>
      <w:r>
        <w:rPr>
          <w:color w:val="231F20"/>
          <w:spacing w:val="-7"/>
          <w:sz w:val="19"/>
        </w:rPr>
        <w:t> </w:t>
      </w:r>
      <w:r>
        <w:rPr>
          <w:color w:val="231F20"/>
          <w:sz w:val="19"/>
        </w:rPr>
        <w:t>cit.,</w:t>
      </w:r>
      <w:r>
        <w:rPr>
          <w:color w:val="231F20"/>
          <w:spacing w:val="-7"/>
          <w:sz w:val="19"/>
        </w:rPr>
        <w:t> </w:t>
      </w:r>
      <w:r>
        <w:rPr>
          <w:color w:val="231F20"/>
          <w:sz w:val="19"/>
        </w:rPr>
        <w:t>punti</w:t>
      </w:r>
      <w:r>
        <w:rPr>
          <w:color w:val="231F20"/>
          <w:spacing w:val="-7"/>
          <w:sz w:val="19"/>
        </w:rPr>
        <w:t> </w:t>
      </w:r>
      <w:r>
        <w:rPr>
          <w:color w:val="231F20"/>
          <w:sz w:val="19"/>
        </w:rPr>
        <w:t>110</w:t>
      </w:r>
      <w:r>
        <w:rPr>
          <w:color w:val="231F20"/>
          <w:spacing w:val="-7"/>
          <w:sz w:val="19"/>
        </w:rPr>
        <w:t> </w:t>
      </w:r>
      <w:r>
        <w:rPr>
          <w:color w:val="231F20"/>
          <w:sz w:val="19"/>
        </w:rPr>
        <w:t>e</w:t>
      </w:r>
      <w:r>
        <w:rPr>
          <w:color w:val="231F20"/>
          <w:spacing w:val="-7"/>
          <w:sz w:val="19"/>
        </w:rPr>
        <w:t> </w:t>
      </w:r>
      <w:r>
        <w:rPr>
          <w:color w:val="231F20"/>
          <w:sz w:val="19"/>
        </w:rPr>
        <w:t>112,</w:t>
      </w:r>
      <w:r>
        <w:rPr>
          <w:color w:val="231F20"/>
          <w:spacing w:val="-7"/>
          <w:sz w:val="19"/>
        </w:rPr>
        <w:t> </w:t>
      </w:r>
      <w:r>
        <w:rPr>
          <w:color w:val="231F20"/>
          <w:sz w:val="19"/>
        </w:rPr>
        <w:t>e</w:t>
      </w:r>
      <w:r>
        <w:rPr>
          <w:color w:val="231F20"/>
          <w:spacing w:val="-7"/>
          <w:sz w:val="19"/>
        </w:rPr>
        <w:t> </w:t>
      </w:r>
      <w:r>
        <w:rPr>
          <w:color w:val="231F20"/>
          <w:sz w:val="19"/>
        </w:rPr>
        <w:t>Corte</w:t>
      </w:r>
      <w:r>
        <w:rPr>
          <w:color w:val="231F20"/>
          <w:spacing w:val="-7"/>
          <w:sz w:val="19"/>
        </w:rPr>
        <w:t> </w:t>
      </w:r>
      <w:r>
        <w:rPr>
          <w:color w:val="231F20"/>
          <w:sz w:val="19"/>
        </w:rPr>
        <w:t>giust.</w:t>
      </w:r>
      <w:r>
        <w:rPr>
          <w:color w:val="231F20"/>
          <w:spacing w:val="-7"/>
          <w:sz w:val="19"/>
        </w:rPr>
        <w:t> </w:t>
      </w:r>
      <w:r>
        <w:rPr>
          <w:color w:val="231F20"/>
          <w:sz w:val="19"/>
        </w:rPr>
        <w:t>UE,</w:t>
      </w:r>
      <w:r>
        <w:rPr>
          <w:color w:val="231F20"/>
          <w:spacing w:val="-7"/>
          <w:sz w:val="19"/>
        </w:rPr>
        <w:t> </w:t>
      </w:r>
      <w:r>
        <w:rPr>
          <w:color w:val="231F20"/>
          <w:sz w:val="19"/>
        </w:rPr>
        <w:t>sent.</w:t>
      </w:r>
      <w:r>
        <w:rPr>
          <w:color w:val="231F20"/>
          <w:spacing w:val="-7"/>
          <w:sz w:val="19"/>
        </w:rPr>
        <w:t> </w:t>
      </w:r>
      <w:r>
        <w:rPr>
          <w:color w:val="231F20"/>
          <w:sz w:val="19"/>
        </w:rPr>
        <w:t>del</w:t>
      </w:r>
      <w:r>
        <w:rPr>
          <w:color w:val="231F20"/>
          <w:spacing w:val="-7"/>
          <w:sz w:val="19"/>
        </w:rPr>
        <w:t> </w:t>
      </w:r>
      <w:r>
        <w:rPr>
          <w:color w:val="231F20"/>
          <w:sz w:val="19"/>
        </w:rPr>
        <w:t>25</w:t>
      </w:r>
      <w:r>
        <w:rPr>
          <w:color w:val="231F20"/>
          <w:spacing w:val="-7"/>
          <w:sz w:val="19"/>
        </w:rPr>
        <w:t> </w:t>
      </w:r>
      <w:r>
        <w:rPr>
          <w:color w:val="231F20"/>
          <w:sz w:val="19"/>
        </w:rPr>
        <w:t>novembre 2021, C-437/19, cit., punti 41, 42, 44, 63 e 70.</w:t>
      </w:r>
    </w:p>
    <w:p>
      <w:pPr>
        <w:spacing w:line="235" w:lineRule="exact" w:before="0"/>
        <w:ind w:left="157" w:right="0" w:firstLine="0"/>
        <w:jc w:val="both"/>
        <w:rPr>
          <w:sz w:val="19"/>
        </w:rPr>
      </w:pPr>
      <w:r>
        <w:rPr>
          <w:color w:val="231F20"/>
          <w:position w:val="6"/>
          <w:sz w:val="11"/>
        </w:rPr>
        <w:t>81</w:t>
      </w:r>
      <w:r>
        <w:rPr>
          <w:color w:val="231F20"/>
          <w:spacing w:val="53"/>
          <w:position w:val="6"/>
          <w:sz w:val="11"/>
        </w:rPr>
        <w:t>  </w:t>
      </w:r>
      <w:r>
        <w:rPr>
          <w:color w:val="231F20"/>
          <w:sz w:val="19"/>
        </w:rPr>
        <w:t>Corte</w:t>
      </w:r>
      <w:r>
        <w:rPr>
          <w:color w:val="231F20"/>
          <w:spacing w:val="1"/>
          <w:sz w:val="19"/>
        </w:rPr>
        <w:t> </w:t>
      </w:r>
      <w:r>
        <w:rPr>
          <w:color w:val="231F20"/>
          <w:sz w:val="19"/>
        </w:rPr>
        <w:t>giust. UE, sent. del</w:t>
      </w:r>
      <w:r>
        <w:rPr>
          <w:color w:val="231F20"/>
          <w:spacing w:val="1"/>
          <w:sz w:val="19"/>
        </w:rPr>
        <w:t> </w:t>
      </w:r>
      <w:r>
        <w:rPr>
          <w:color w:val="231F20"/>
          <w:sz w:val="19"/>
        </w:rPr>
        <w:t>16 maggio 2017, causa C-682/15, cit., punto </w:t>
      </w:r>
      <w:r>
        <w:rPr>
          <w:color w:val="231F20"/>
          <w:spacing w:val="-5"/>
          <w:sz w:val="19"/>
        </w:rPr>
        <w:t>73.</w:t>
      </w:r>
    </w:p>
    <w:p>
      <w:pPr>
        <w:spacing w:after="0" w:line="235" w:lineRule="exact"/>
        <w:jc w:val="both"/>
        <w:rPr>
          <w:sz w:val="19"/>
        </w:rPr>
        <w:sectPr>
          <w:pgSz w:w="9640" w:h="13610"/>
          <w:pgMar w:header="0" w:footer="625" w:top="1260" w:bottom="820" w:left="1260" w:right="1240"/>
        </w:sectPr>
      </w:pPr>
    </w:p>
    <w:p>
      <w:pPr>
        <w:pStyle w:val="BodyText"/>
        <w:spacing w:line="225" w:lineRule="auto" w:before="117"/>
        <w:ind w:left="100" w:right="174"/>
        <w:jc w:val="both"/>
      </w:pPr>
      <w:r>
        <w:rPr>
          <w:color w:val="231F20"/>
        </w:rPr>
        <w:t>rità interpellata può esercitare sulla richiesta di informazioni proveniente da un’autorità richiedente di un altro Stato membro e dell’estensione dei poteri</w:t>
      </w:r>
      <w:r>
        <w:rPr>
          <w:color w:val="231F20"/>
          <w:spacing w:val="-7"/>
        </w:rPr>
        <w:t> </w:t>
      </w:r>
      <w:r>
        <w:rPr>
          <w:color w:val="231F20"/>
        </w:rPr>
        <w:t>del</w:t>
      </w:r>
      <w:r>
        <w:rPr>
          <w:color w:val="231F20"/>
          <w:spacing w:val="-7"/>
        </w:rPr>
        <w:t> </w:t>
      </w:r>
      <w:r>
        <w:rPr>
          <w:color w:val="231F20"/>
        </w:rPr>
        <w:t>giudice</w:t>
      </w:r>
      <w:r>
        <w:rPr>
          <w:color w:val="231F20"/>
          <w:spacing w:val="-7"/>
        </w:rPr>
        <w:t> </w:t>
      </w:r>
      <w:r>
        <w:rPr>
          <w:color w:val="231F20"/>
        </w:rPr>
        <w:t>amministrativo</w:t>
      </w:r>
      <w:r>
        <w:rPr>
          <w:color w:val="231F20"/>
          <w:spacing w:val="-7"/>
        </w:rPr>
        <w:t> </w:t>
      </w:r>
      <w:r>
        <w:rPr>
          <w:color w:val="231F20"/>
        </w:rPr>
        <w:t>nazionale</w:t>
      </w:r>
      <w:r>
        <w:rPr>
          <w:color w:val="231F20"/>
          <w:spacing w:val="-7"/>
        </w:rPr>
        <w:t> </w:t>
      </w:r>
      <w:r>
        <w:rPr>
          <w:color w:val="231F20"/>
        </w:rPr>
        <w:t>in</w:t>
      </w:r>
      <w:r>
        <w:rPr>
          <w:color w:val="231F20"/>
          <w:spacing w:val="-7"/>
        </w:rPr>
        <w:t> </w:t>
      </w:r>
      <w:r>
        <w:rPr>
          <w:color w:val="231F20"/>
        </w:rPr>
        <w:t>ordine</w:t>
      </w:r>
      <w:r>
        <w:rPr>
          <w:color w:val="231F20"/>
          <w:spacing w:val="-7"/>
        </w:rPr>
        <w:t> </w:t>
      </w:r>
      <w:r>
        <w:rPr>
          <w:color w:val="231F20"/>
        </w:rPr>
        <w:t>alla</w:t>
      </w:r>
      <w:r>
        <w:rPr>
          <w:color w:val="231F20"/>
          <w:spacing w:val="-7"/>
        </w:rPr>
        <w:t> </w:t>
      </w:r>
      <w:r>
        <w:rPr>
          <w:color w:val="231F20"/>
        </w:rPr>
        <w:t>valutazione</w:t>
      </w:r>
      <w:r>
        <w:rPr>
          <w:color w:val="231F20"/>
          <w:spacing w:val="-7"/>
        </w:rPr>
        <w:t> </w:t>
      </w:r>
      <w:r>
        <w:rPr>
          <w:color w:val="231F20"/>
        </w:rPr>
        <w:t>della legittimità dell’atto con il quale l’amministrazione finanziaria dello Stato membro</w:t>
      </w:r>
      <w:r>
        <w:rPr>
          <w:color w:val="231F20"/>
          <w:spacing w:val="-3"/>
        </w:rPr>
        <w:t> </w:t>
      </w:r>
      <w:r>
        <w:rPr>
          <w:color w:val="231F20"/>
        </w:rPr>
        <w:t>interpellato</w:t>
      </w:r>
      <w:r>
        <w:rPr>
          <w:color w:val="231F20"/>
          <w:spacing w:val="-3"/>
        </w:rPr>
        <w:t> </w:t>
      </w:r>
      <w:r>
        <w:rPr>
          <w:color w:val="231F20"/>
        </w:rPr>
        <w:t>ha</w:t>
      </w:r>
      <w:r>
        <w:rPr>
          <w:color w:val="231F20"/>
          <w:spacing w:val="-3"/>
        </w:rPr>
        <w:t> </w:t>
      </w:r>
      <w:r>
        <w:rPr>
          <w:color w:val="231F20"/>
        </w:rPr>
        <w:t>ingiunto</w:t>
      </w:r>
      <w:r>
        <w:rPr>
          <w:color w:val="231F20"/>
          <w:spacing w:val="-3"/>
        </w:rPr>
        <w:t> </w:t>
      </w:r>
      <w:r>
        <w:rPr>
          <w:color w:val="231F20"/>
        </w:rPr>
        <w:t>al</w:t>
      </w:r>
      <w:r>
        <w:rPr>
          <w:color w:val="231F20"/>
          <w:spacing w:val="-3"/>
        </w:rPr>
        <w:t> </w:t>
      </w:r>
      <w:r>
        <w:rPr>
          <w:color w:val="231F20"/>
        </w:rPr>
        <w:t>soggetto</w:t>
      </w:r>
      <w:r>
        <w:rPr>
          <w:color w:val="231F20"/>
          <w:spacing w:val="-3"/>
        </w:rPr>
        <w:t> </w:t>
      </w:r>
      <w:r>
        <w:rPr>
          <w:color w:val="231F20"/>
        </w:rPr>
        <w:t>che</w:t>
      </w:r>
      <w:r>
        <w:rPr>
          <w:color w:val="231F20"/>
          <w:spacing w:val="-3"/>
        </w:rPr>
        <w:t> </w:t>
      </w:r>
      <w:r>
        <w:rPr>
          <w:color w:val="231F20"/>
        </w:rPr>
        <w:t>le</w:t>
      </w:r>
      <w:r>
        <w:rPr>
          <w:color w:val="231F20"/>
          <w:spacing w:val="-3"/>
        </w:rPr>
        <w:t> </w:t>
      </w:r>
      <w:r>
        <w:rPr>
          <w:color w:val="231F20"/>
        </w:rPr>
        <w:t>detiene,</w:t>
      </w:r>
      <w:r>
        <w:rPr>
          <w:color w:val="231F20"/>
          <w:spacing w:val="-3"/>
        </w:rPr>
        <w:t> </w:t>
      </w:r>
      <w:r>
        <w:rPr>
          <w:color w:val="231F20"/>
        </w:rPr>
        <w:t>di</w:t>
      </w:r>
      <w:r>
        <w:rPr>
          <w:color w:val="231F20"/>
          <w:spacing w:val="-3"/>
        </w:rPr>
        <w:t> </w:t>
      </w:r>
      <w:r>
        <w:rPr>
          <w:color w:val="231F20"/>
        </w:rPr>
        <w:t>comunicare le informazioni richieste relative ad un dato contribuente.</w:t>
      </w:r>
    </w:p>
    <w:p>
      <w:pPr>
        <w:pStyle w:val="BodyText"/>
        <w:spacing w:line="225" w:lineRule="auto" w:before="8"/>
        <w:ind w:left="100" w:right="174" w:firstLine="340"/>
        <w:jc w:val="both"/>
      </w:pPr>
      <w:r>
        <w:rPr>
          <w:color w:val="231F20"/>
        </w:rPr>
        <w:t>In ordine al primo problema interpretativo, ancora una volta la Corte di giustizia è partita dalla motivazione della direttiva 2011/16/UE (punti 2, 6 e 8) per dedurre che la cooperazione fra amministrazioni </w:t>
      </w:r>
      <w:r>
        <w:rPr>
          <w:color w:val="231F20"/>
        </w:rPr>
        <w:t>finanziarie degli Stati membri regolata dalla direttiva stessa era fondata sul principio della fiducia reciproca, nel senso che «l’autorità interpellata deve avere fi- ducia nell’autorità richiedente e presumere che la richiesta di informazio- ni</w:t>
      </w:r>
      <w:r>
        <w:rPr>
          <w:color w:val="231F20"/>
          <w:spacing w:val="22"/>
        </w:rPr>
        <w:t> </w:t>
      </w:r>
      <w:r>
        <w:rPr>
          <w:color w:val="231F20"/>
        </w:rPr>
        <w:t>sottopostale</w:t>
      </w:r>
      <w:r>
        <w:rPr>
          <w:color w:val="231F20"/>
          <w:spacing w:val="22"/>
        </w:rPr>
        <w:t> </w:t>
      </w:r>
      <w:r>
        <w:rPr>
          <w:color w:val="231F20"/>
        </w:rPr>
        <w:t>sia</w:t>
      </w:r>
      <w:r>
        <w:rPr>
          <w:color w:val="231F20"/>
          <w:spacing w:val="22"/>
        </w:rPr>
        <w:t> </w:t>
      </w:r>
      <w:r>
        <w:rPr>
          <w:color w:val="231F20"/>
        </w:rPr>
        <w:t>conforme</w:t>
      </w:r>
      <w:r>
        <w:rPr>
          <w:color w:val="231F20"/>
          <w:spacing w:val="22"/>
        </w:rPr>
        <w:t> </w:t>
      </w:r>
      <w:r>
        <w:rPr>
          <w:color w:val="231F20"/>
        </w:rPr>
        <w:t>al</w:t>
      </w:r>
      <w:r>
        <w:rPr>
          <w:color w:val="231F20"/>
          <w:spacing w:val="22"/>
        </w:rPr>
        <w:t> </w:t>
      </w:r>
      <w:r>
        <w:rPr>
          <w:color w:val="231F20"/>
        </w:rPr>
        <w:t>diritto</w:t>
      </w:r>
      <w:r>
        <w:rPr>
          <w:color w:val="231F20"/>
          <w:spacing w:val="22"/>
        </w:rPr>
        <w:t> </w:t>
      </w:r>
      <w:r>
        <w:rPr>
          <w:color w:val="231F20"/>
        </w:rPr>
        <w:t>nazionale</w:t>
      </w:r>
      <w:r>
        <w:rPr>
          <w:color w:val="231F20"/>
          <w:spacing w:val="22"/>
        </w:rPr>
        <w:t> </w:t>
      </w:r>
      <w:r>
        <w:rPr>
          <w:color w:val="231F20"/>
        </w:rPr>
        <w:t>dell’autorità</w:t>
      </w:r>
      <w:r>
        <w:rPr>
          <w:color w:val="231F20"/>
          <w:spacing w:val="22"/>
        </w:rPr>
        <w:t> </w:t>
      </w:r>
      <w:r>
        <w:rPr>
          <w:color w:val="231F20"/>
        </w:rPr>
        <w:t>richiedente e necessaria ai fini della sua indagine»</w:t>
      </w:r>
      <w:r>
        <w:rPr>
          <w:color w:val="231F20"/>
          <w:position w:val="8"/>
          <w:sz w:val="14"/>
        </w:rPr>
        <w:t>82</w:t>
      </w:r>
      <w:r>
        <w:rPr>
          <w:color w:val="231F20"/>
        </w:rPr>
        <w:t>.</w:t>
      </w:r>
      <w:r>
        <w:rPr>
          <w:color w:val="231F20"/>
          <w:spacing w:val="-10"/>
        </w:rPr>
        <w:t> </w:t>
      </w:r>
      <w:r>
        <w:rPr>
          <w:color w:val="231F20"/>
        </w:rPr>
        <w:t>Tuttavia per i giudici dell’Unione tale fiducia non dev’essere così cieca da ridurre la verifica della richiesta di informazioni</w:t>
      </w:r>
      <w:r>
        <w:rPr>
          <w:color w:val="231F20"/>
          <w:spacing w:val="1"/>
        </w:rPr>
        <w:t> </w:t>
      </w:r>
      <w:r>
        <w:rPr>
          <w:color w:val="231F20"/>
        </w:rPr>
        <w:t>da</w:t>
      </w:r>
      <w:r>
        <w:rPr>
          <w:color w:val="231F20"/>
          <w:spacing w:val="4"/>
        </w:rPr>
        <w:t> </w:t>
      </w:r>
      <w:r>
        <w:rPr>
          <w:color w:val="231F20"/>
        </w:rPr>
        <w:t>parte</w:t>
      </w:r>
      <w:r>
        <w:rPr>
          <w:color w:val="231F20"/>
          <w:spacing w:val="3"/>
        </w:rPr>
        <w:t> </w:t>
      </w:r>
      <w:r>
        <w:rPr>
          <w:color w:val="231F20"/>
        </w:rPr>
        <w:t>dell’autorità</w:t>
      </w:r>
      <w:r>
        <w:rPr>
          <w:color w:val="231F20"/>
          <w:spacing w:val="4"/>
        </w:rPr>
        <w:t> </w:t>
      </w:r>
      <w:r>
        <w:rPr>
          <w:color w:val="231F20"/>
        </w:rPr>
        <w:t>interpellata</w:t>
      </w:r>
      <w:r>
        <w:rPr>
          <w:color w:val="231F20"/>
          <w:spacing w:val="3"/>
        </w:rPr>
        <w:t> </w:t>
      </w:r>
      <w:r>
        <w:rPr>
          <w:color w:val="231F20"/>
        </w:rPr>
        <w:t>ad</w:t>
      </w:r>
      <w:r>
        <w:rPr>
          <w:color w:val="231F20"/>
          <w:spacing w:val="4"/>
        </w:rPr>
        <w:t> </w:t>
      </w:r>
      <w:r>
        <w:rPr>
          <w:color w:val="231F20"/>
        </w:rPr>
        <w:t>un</w:t>
      </w:r>
      <w:r>
        <w:rPr>
          <w:color w:val="231F20"/>
          <w:spacing w:val="3"/>
        </w:rPr>
        <w:t> </w:t>
      </w:r>
      <w:r>
        <w:rPr>
          <w:color w:val="231F20"/>
        </w:rPr>
        <w:t>controllo</w:t>
      </w:r>
      <w:r>
        <w:rPr>
          <w:color w:val="231F20"/>
          <w:spacing w:val="4"/>
        </w:rPr>
        <w:t> </w:t>
      </w:r>
      <w:r>
        <w:rPr>
          <w:color w:val="231F20"/>
          <w:spacing w:val="-2"/>
        </w:rPr>
        <w:t>puramente</w:t>
      </w:r>
    </w:p>
    <w:p>
      <w:pPr>
        <w:pStyle w:val="BodyText"/>
        <w:spacing w:line="225" w:lineRule="auto" w:before="13"/>
        <w:ind w:left="100" w:right="175"/>
        <w:jc w:val="both"/>
      </w:pPr>
      <w:r>
        <w:rPr>
          <w:color w:val="231F20"/>
        </w:rPr>
        <w:t>«sommario</w:t>
      </w:r>
      <w:r>
        <w:rPr>
          <w:color w:val="231F20"/>
          <w:spacing w:val="-13"/>
        </w:rPr>
        <w:t> </w:t>
      </w:r>
      <w:r>
        <w:rPr>
          <w:color w:val="231F20"/>
        </w:rPr>
        <w:t>e</w:t>
      </w:r>
      <w:r>
        <w:rPr>
          <w:color w:val="231F20"/>
          <w:spacing w:val="-13"/>
        </w:rPr>
        <w:t> </w:t>
      </w:r>
      <w:r>
        <w:rPr>
          <w:color w:val="231F20"/>
        </w:rPr>
        <w:t>formale».</w:t>
      </w:r>
      <w:r>
        <w:rPr>
          <w:color w:val="231F20"/>
          <w:spacing w:val="-13"/>
        </w:rPr>
        <w:t> </w:t>
      </w:r>
      <w:r>
        <w:rPr>
          <w:color w:val="231F20"/>
        </w:rPr>
        <w:t>L’amministrazione</w:t>
      </w:r>
      <w:r>
        <w:rPr>
          <w:color w:val="231F20"/>
          <w:spacing w:val="-13"/>
        </w:rPr>
        <w:t> </w:t>
      </w:r>
      <w:r>
        <w:rPr>
          <w:color w:val="231F20"/>
        </w:rPr>
        <w:t>finanziaria</w:t>
      </w:r>
      <w:r>
        <w:rPr>
          <w:color w:val="231F20"/>
          <w:spacing w:val="-13"/>
        </w:rPr>
        <w:t> </w:t>
      </w:r>
      <w:r>
        <w:rPr>
          <w:color w:val="231F20"/>
        </w:rPr>
        <w:t>che</w:t>
      </w:r>
      <w:r>
        <w:rPr>
          <w:color w:val="231F20"/>
          <w:spacing w:val="-13"/>
        </w:rPr>
        <w:t> </w:t>
      </w:r>
      <w:r>
        <w:rPr>
          <w:color w:val="231F20"/>
        </w:rPr>
        <w:t>deve</w:t>
      </w:r>
      <w:r>
        <w:rPr>
          <w:color w:val="231F20"/>
          <w:spacing w:val="-13"/>
        </w:rPr>
        <w:t> </w:t>
      </w:r>
      <w:r>
        <w:rPr>
          <w:color w:val="231F20"/>
        </w:rPr>
        <w:t>dare</w:t>
      </w:r>
      <w:r>
        <w:rPr>
          <w:color w:val="231F20"/>
          <w:spacing w:val="-13"/>
        </w:rPr>
        <w:t> </w:t>
      </w:r>
      <w:r>
        <w:rPr>
          <w:color w:val="231F20"/>
        </w:rPr>
        <w:t>seguito alla domanda dell’autorità richiedente dev’essere infatti posta in grado </w:t>
      </w:r>
      <w:r>
        <w:rPr>
          <w:color w:val="231F20"/>
        </w:rPr>
        <w:t>di assicurarsi</w:t>
      </w:r>
      <w:r>
        <w:rPr>
          <w:color w:val="231F20"/>
          <w:spacing w:val="-4"/>
        </w:rPr>
        <w:t> </w:t>
      </w:r>
      <w:r>
        <w:rPr>
          <w:color w:val="231F20"/>
        </w:rPr>
        <w:t>che</w:t>
      </w:r>
      <w:r>
        <w:rPr>
          <w:color w:val="231F20"/>
          <w:spacing w:val="-4"/>
        </w:rPr>
        <w:t> </w:t>
      </w:r>
      <w:r>
        <w:rPr>
          <w:color w:val="231F20"/>
        </w:rPr>
        <w:t>le</w:t>
      </w:r>
      <w:r>
        <w:rPr>
          <w:color w:val="231F20"/>
          <w:spacing w:val="-4"/>
        </w:rPr>
        <w:t> </w:t>
      </w:r>
      <w:r>
        <w:rPr>
          <w:color w:val="231F20"/>
        </w:rPr>
        <w:t>informazioni</w:t>
      </w:r>
      <w:r>
        <w:rPr>
          <w:color w:val="231F20"/>
          <w:spacing w:val="-4"/>
        </w:rPr>
        <w:t> </w:t>
      </w:r>
      <w:r>
        <w:rPr>
          <w:color w:val="231F20"/>
        </w:rPr>
        <w:t>richieste</w:t>
      </w:r>
      <w:r>
        <w:rPr>
          <w:color w:val="231F20"/>
          <w:spacing w:val="-4"/>
        </w:rPr>
        <w:t> </w:t>
      </w:r>
      <w:r>
        <w:rPr>
          <w:color w:val="231F20"/>
        </w:rPr>
        <w:t>non</w:t>
      </w:r>
      <w:r>
        <w:rPr>
          <w:color w:val="231F20"/>
          <w:spacing w:val="-4"/>
        </w:rPr>
        <w:t> </w:t>
      </w:r>
      <w:r>
        <w:rPr>
          <w:color w:val="231F20"/>
        </w:rPr>
        <w:t>siano</w:t>
      </w:r>
      <w:r>
        <w:rPr>
          <w:color w:val="231F20"/>
          <w:spacing w:val="-4"/>
        </w:rPr>
        <w:t> </w:t>
      </w:r>
      <w:r>
        <w:rPr>
          <w:color w:val="231F20"/>
        </w:rPr>
        <w:t>manifestamente</w:t>
      </w:r>
      <w:r>
        <w:rPr>
          <w:color w:val="231F20"/>
          <w:spacing w:val="-4"/>
        </w:rPr>
        <w:t> </w:t>
      </w:r>
      <w:r>
        <w:rPr>
          <w:color w:val="231F20"/>
        </w:rPr>
        <w:t>prive</w:t>
      </w:r>
      <w:r>
        <w:rPr>
          <w:color w:val="231F20"/>
          <w:spacing w:val="-4"/>
        </w:rPr>
        <w:t> </w:t>
      </w:r>
      <w:r>
        <w:rPr>
          <w:color w:val="231F20"/>
        </w:rPr>
        <w:t>di pertinenza in relazione all’accertamento tributario condotto dall’ammini- strazione dello Stato membro del domicilio fiscale del contribuente. A tal fine</w:t>
      </w:r>
      <w:r>
        <w:rPr>
          <w:color w:val="231F20"/>
          <w:spacing w:val="-5"/>
        </w:rPr>
        <w:t> </w:t>
      </w:r>
      <w:r>
        <w:rPr>
          <w:color w:val="231F20"/>
        </w:rPr>
        <w:t>-</w:t>
      </w:r>
      <w:r>
        <w:rPr>
          <w:color w:val="231F20"/>
          <w:spacing w:val="-5"/>
        </w:rPr>
        <w:t> </w:t>
      </w:r>
      <w:r>
        <w:rPr>
          <w:color w:val="231F20"/>
        </w:rPr>
        <w:t>sempre</w:t>
      </w:r>
      <w:r>
        <w:rPr>
          <w:color w:val="231F20"/>
          <w:spacing w:val="-5"/>
        </w:rPr>
        <w:t> </w:t>
      </w:r>
      <w:r>
        <w:rPr>
          <w:color w:val="231F20"/>
        </w:rPr>
        <w:t>secondo</w:t>
      </w:r>
      <w:r>
        <w:rPr>
          <w:color w:val="231F20"/>
          <w:spacing w:val="-5"/>
        </w:rPr>
        <w:t> </w:t>
      </w:r>
      <w:r>
        <w:rPr>
          <w:color w:val="231F20"/>
        </w:rPr>
        <w:t>la</w:t>
      </w:r>
      <w:r>
        <w:rPr>
          <w:color w:val="231F20"/>
          <w:spacing w:val="-5"/>
        </w:rPr>
        <w:t> </w:t>
      </w:r>
      <w:r>
        <w:rPr>
          <w:color w:val="231F20"/>
        </w:rPr>
        <w:t>Corte</w:t>
      </w:r>
      <w:r>
        <w:rPr>
          <w:color w:val="231F20"/>
          <w:spacing w:val="-5"/>
        </w:rPr>
        <w:t> </w:t>
      </w:r>
      <w:r>
        <w:rPr>
          <w:color w:val="231F20"/>
        </w:rPr>
        <w:t>-</w:t>
      </w:r>
      <w:r>
        <w:rPr>
          <w:color w:val="231F20"/>
          <w:spacing w:val="-5"/>
        </w:rPr>
        <w:t> </w:t>
      </w:r>
      <w:r>
        <w:rPr>
          <w:color w:val="231F20"/>
        </w:rPr>
        <w:t>da</w:t>
      </w:r>
      <w:r>
        <w:rPr>
          <w:color w:val="231F20"/>
          <w:spacing w:val="-5"/>
        </w:rPr>
        <w:t> </w:t>
      </w:r>
      <w:r>
        <w:rPr>
          <w:color w:val="231F20"/>
        </w:rPr>
        <w:t>un</w:t>
      </w:r>
      <w:r>
        <w:rPr>
          <w:color w:val="231F20"/>
          <w:spacing w:val="-5"/>
        </w:rPr>
        <w:t> </w:t>
      </w:r>
      <w:r>
        <w:rPr>
          <w:color w:val="231F20"/>
        </w:rPr>
        <w:t>lato,</w:t>
      </w:r>
      <w:r>
        <w:rPr>
          <w:color w:val="231F20"/>
          <w:spacing w:val="-5"/>
        </w:rPr>
        <w:t> </w:t>
      </w:r>
      <w:r>
        <w:rPr>
          <w:color w:val="231F20"/>
        </w:rPr>
        <w:t>l’autorità</w:t>
      </w:r>
      <w:r>
        <w:rPr>
          <w:color w:val="231F20"/>
          <w:spacing w:val="-5"/>
        </w:rPr>
        <w:t> </w:t>
      </w:r>
      <w:r>
        <w:rPr>
          <w:color w:val="231F20"/>
        </w:rPr>
        <w:t>richiedente</w:t>
      </w:r>
      <w:r>
        <w:rPr>
          <w:color w:val="231F20"/>
          <w:spacing w:val="-5"/>
        </w:rPr>
        <w:t> </w:t>
      </w:r>
      <w:r>
        <w:rPr>
          <w:color w:val="231F20"/>
        </w:rPr>
        <w:t>deve</w:t>
      </w:r>
      <w:r>
        <w:rPr>
          <w:color w:val="231F20"/>
          <w:spacing w:val="-5"/>
        </w:rPr>
        <w:t> </w:t>
      </w:r>
      <w:r>
        <w:rPr>
          <w:color w:val="231F20"/>
        </w:rPr>
        <w:t>for- nire</w:t>
      </w:r>
      <w:r>
        <w:rPr>
          <w:color w:val="231F20"/>
          <w:spacing w:val="-9"/>
        </w:rPr>
        <w:t> </w:t>
      </w:r>
      <w:r>
        <w:rPr>
          <w:color w:val="231F20"/>
        </w:rPr>
        <w:t>«un’adeguata</w:t>
      </w:r>
      <w:r>
        <w:rPr>
          <w:color w:val="231F20"/>
          <w:spacing w:val="-9"/>
        </w:rPr>
        <w:t> </w:t>
      </w:r>
      <w:r>
        <w:rPr>
          <w:color w:val="231F20"/>
        </w:rPr>
        <w:t>motivazione»</w:t>
      </w:r>
      <w:r>
        <w:rPr>
          <w:color w:val="231F20"/>
          <w:spacing w:val="-9"/>
        </w:rPr>
        <w:t> </w:t>
      </w:r>
      <w:r>
        <w:rPr>
          <w:color w:val="231F20"/>
        </w:rPr>
        <w:t>circa</w:t>
      </w:r>
      <w:r>
        <w:rPr>
          <w:color w:val="231F20"/>
          <w:spacing w:val="-9"/>
        </w:rPr>
        <w:t> </w:t>
      </w:r>
      <w:r>
        <w:rPr>
          <w:color w:val="231F20"/>
        </w:rPr>
        <w:t>le</w:t>
      </w:r>
      <w:r>
        <w:rPr>
          <w:color w:val="231F20"/>
          <w:spacing w:val="-9"/>
        </w:rPr>
        <w:t> </w:t>
      </w:r>
      <w:r>
        <w:rPr>
          <w:color w:val="231F20"/>
        </w:rPr>
        <w:t>finalità</w:t>
      </w:r>
      <w:r>
        <w:rPr>
          <w:color w:val="231F20"/>
          <w:spacing w:val="-9"/>
        </w:rPr>
        <w:t> </w:t>
      </w:r>
      <w:r>
        <w:rPr>
          <w:color w:val="231F20"/>
        </w:rPr>
        <w:t>delle</w:t>
      </w:r>
      <w:r>
        <w:rPr>
          <w:color w:val="231F20"/>
          <w:spacing w:val="-9"/>
        </w:rPr>
        <w:t> </w:t>
      </w:r>
      <w:r>
        <w:rPr>
          <w:color w:val="231F20"/>
        </w:rPr>
        <w:t>informazioni</w:t>
      </w:r>
      <w:r>
        <w:rPr>
          <w:color w:val="231F20"/>
          <w:spacing w:val="-9"/>
        </w:rPr>
        <w:t> </w:t>
      </w:r>
      <w:r>
        <w:rPr>
          <w:color w:val="231F20"/>
        </w:rPr>
        <w:t>richieste in relazione all’indagine avviata nei confronti di un determinato contri- buente; dall’altro, l’autorità interpellata può richiedere all‘autorità richie- dente «elementi informativi complementari» che essa ritenga necessari al fine di stabilire la pertinenza delle informazioni richieste, secondo quanto disposto dall’art. 1 della direttiva</w:t>
      </w:r>
      <w:r>
        <w:rPr>
          <w:color w:val="231F20"/>
          <w:position w:val="8"/>
          <w:sz w:val="14"/>
        </w:rPr>
        <w:t>83</w:t>
      </w:r>
      <w:r>
        <w:rPr>
          <w:color w:val="231F20"/>
        </w:rPr>
        <w:t>.</w:t>
      </w:r>
    </w:p>
    <w:p>
      <w:pPr>
        <w:pStyle w:val="BodyText"/>
        <w:spacing w:line="225" w:lineRule="auto" w:before="15"/>
        <w:ind w:left="100" w:right="174" w:firstLine="340"/>
        <w:jc w:val="both"/>
      </w:pPr>
      <w:r>
        <w:rPr>
          <w:color w:val="231F20"/>
        </w:rPr>
        <w:t>Quanto</w:t>
      </w:r>
      <w:r>
        <w:rPr>
          <w:color w:val="231F20"/>
          <w:spacing w:val="-12"/>
        </w:rPr>
        <w:t> </w:t>
      </w:r>
      <w:r>
        <w:rPr>
          <w:color w:val="231F20"/>
        </w:rPr>
        <w:t>ai</w:t>
      </w:r>
      <w:r>
        <w:rPr>
          <w:color w:val="231F20"/>
          <w:spacing w:val="-12"/>
        </w:rPr>
        <w:t> </w:t>
      </w:r>
      <w:r>
        <w:rPr>
          <w:color w:val="231F20"/>
        </w:rPr>
        <w:t>poteri</w:t>
      </w:r>
      <w:r>
        <w:rPr>
          <w:color w:val="231F20"/>
          <w:spacing w:val="-12"/>
        </w:rPr>
        <w:t> </w:t>
      </w:r>
      <w:r>
        <w:rPr>
          <w:color w:val="231F20"/>
        </w:rPr>
        <w:t>del</w:t>
      </w:r>
      <w:r>
        <w:rPr>
          <w:color w:val="231F20"/>
          <w:spacing w:val="-12"/>
        </w:rPr>
        <w:t> </w:t>
      </w:r>
      <w:r>
        <w:rPr>
          <w:color w:val="231F20"/>
        </w:rPr>
        <w:t>giudice</w:t>
      </w:r>
      <w:r>
        <w:rPr>
          <w:color w:val="231F20"/>
          <w:spacing w:val="-12"/>
        </w:rPr>
        <w:t> </w:t>
      </w:r>
      <w:r>
        <w:rPr>
          <w:color w:val="231F20"/>
        </w:rPr>
        <w:t>adito</w:t>
      </w:r>
      <w:r>
        <w:rPr>
          <w:color w:val="231F20"/>
          <w:spacing w:val="-12"/>
        </w:rPr>
        <w:t> </w:t>
      </w:r>
      <w:r>
        <w:rPr>
          <w:color w:val="231F20"/>
        </w:rPr>
        <w:t>-</w:t>
      </w:r>
      <w:r>
        <w:rPr>
          <w:color w:val="231F20"/>
          <w:spacing w:val="-12"/>
        </w:rPr>
        <w:t> </w:t>
      </w:r>
      <w:r>
        <w:rPr>
          <w:color w:val="231F20"/>
        </w:rPr>
        <w:t>come</w:t>
      </w:r>
      <w:r>
        <w:rPr>
          <w:color w:val="231F20"/>
          <w:spacing w:val="-12"/>
        </w:rPr>
        <w:t> </w:t>
      </w:r>
      <w:r>
        <w:rPr>
          <w:color w:val="231F20"/>
        </w:rPr>
        <w:t>nella</w:t>
      </w:r>
      <w:r>
        <w:rPr>
          <w:color w:val="231F20"/>
          <w:spacing w:val="-12"/>
        </w:rPr>
        <w:t> </w:t>
      </w:r>
      <w:r>
        <w:rPr>
          <w:color w:val="231F20"/>
        </w:rPr>
        <w:t>fattispecie</w:t>
      </w:r>
      <w:r>
        <w:rPr>
          <w:color w:val="231F20"/>
          <w:spacing w:val="-12"/>
        </w:rPr>
        <w:t> </w:t>
      </w:r>
      <w:r>
        <w:rPr>
          <w:color w:val="231F20"/>
        </w:rPr>
        <w:t>-</w:t>
      </w:r>
      <w:r>
        <w:rPr>
          <w:color w:val="231F20"/>
          <w:spacing w:val="-12"/>
        </w:rPr>
        <w:t> </w:t>
      </w:r>
      <w:r>
        <w:rPr>
          <w:color w:val="231F20"/>
        </w:rPr>
        <w:t>dal</w:t>
      </w:r>
      <w:r>
        <w:rPr>
          <w:color w:val="231F20"/>
          <w:spacing w:val="-12"/>
        </w:rPr>
        <w:t> </w:t>
      </w:r>
      <w:r>
        <w:rPr>
          <w:color w:val="231F20"/>
        </w:rPr>
        <w:t>soggetto detentore delle informazioni, tale medesimo giudice, al fine di decidere </w:t>
      </w:r>
      <w:r>
        <w:rPr>
          <w:color w:val="231F20"/>
        </w:rPr>
        <w:t>in ordine alla proporzionalità della sanzione irrogatagli dall’autorità interpel- lata</w:t>
      </w:r>
      <w:r>
        <w:rPr>
          <w:color w:val="231F20"/>
          <w:spacing w:val="-3"/>
        </w:rPr>
        <w:t> </w:t>
      </w:r>
      <w:r>
        <w:rPr>
          <w:color w:val="231F20"/>
        </w:rPr>
        <w:t>a</w:t>
      </w:r>
      <w:r>
        <w:rPr>
          <w:color w:val="231F20"/>
          <w:spacing w:val="-3"/>
        </w:rPr>
        <w:t> </w:t>
      </w:r>
      <w:r>
        <w:rPr>
          <w:color w:val="231F20"/>
        </w:rPr>
        <w:t>seguito</w:t>
      </w:r>
      <w:r>
        <w:rPr>
          <w:color w:val="231F20"/>
          <w:spacing w:val="-3"/>
        </w:rPr>
        <w:t> </w:t>
      </w:r>
      <w:r>
        <w:rPr>
          <w:color w:val="231F20"/>
        </w:rPr>
        <w:t>di</w:t>
      </w:r>
      <w:r>
        <w:rPr>
          <w:color w:val="231F20"/>
          <w:spacing w:val="-3"/>
        </w:rPr>
        <w:t> </w:t>
      </w:r>
      <w:r>
        <w:rPr>
          <w:color w:val="231F20"/>
        </w:rPr>
        <w:t>un</w:t>
      </w:r>
      <w:r>
        <w:rPr>
          <w:color w:val="231F20"/>
          <w:spacing w:val="-3"/>
        </w:rPr>
        <w:t> </w:t>
      </w:r>
      <w:r>
        <w:rPr>
          <w:color w:val="231F20"/>
        </w:rPr>
        <w:t>parziale</w:t>
      </w:r>
      <w:r>
        <w:rPr>
          <w:color w:val="231F20"/>
          <w:spacing w:val="-3"/>
        </w:rPr>
        <w:t> </w:t>
      </w:r>
      <w:r>
        <w:rPr>
          <w:color w:val="231F20"/>
        </w:rPr>
        <w:t>rifiuto</w:t>
      </w:r>
      <w:r>
        <w:rPr>
          <w:color w:val="231F20"/>
          <w:spacing w:val="-3"/>
        </w:rPr>
        <w:t> </w:t>
      </w:r>
      <w:r>
        <w:rPr>
          <w:color w:val="231F20"/>
        </w:rPr>
        <w:t>di</w:t>
      </w:r>
      <w:r>
        <w:rPr>
          <w:color w:val="231F20"/>
          <w:spacing w:val="-3"/>
        </w:rPr>
        <w:t> </w:t>
      </w:r>
      <w:r>
        <w:rPr>
          <w:color w:val="231F20"/>
        </w:rPr>
        <w:t>comunicare</w:t>
      </w:r>
      <w:r>
        <w:rPr>
          <w:color w:val="231F20"/>
          <w:spacing w:val="-3"/>
        </w:rPr>
        <w:t> </w:t>
      </w:r>
      <w:r>
        <w:rPr>
          <w:color w:val="231F20"/>
        </w:rPr>
        <w:t>determinate</w:t>
      </w:r>
      <w:r>
        <w:rPr>
          <w:color w:val="231F20"/>
          <w:spacing w:val="-3"/>
        </w:rPr>
        <w:t> </w:t>
      </w:r>
      <w:r>
        <w:rPr>
          <w:color w:val="231F20"/>
        </w:rPr>
        <w:t>informazio- ni, deve poter sindacare, sia la legittimità della decisione di ingiunzione della</w:t>
      </w:r>
      <w:r>
        <w:rPr>
          <w:color w:val="231F20"/>
          <w:spacing w:val="2"/>
        </w:rPr>
        <w:t> </w:t>
      </w:r>
      <w:r>
        <w:rPr>
          <w:color w:val="231F20"/>
        </w:rPr>
        <w:t>suddetta</w:t>
      </w:r>
      <w:r>
        <w:rPr>
          <w:color w:val="231F20"/>
          <w:spacing w:val="3"/>
        </w:rPr>
        <w:t> </w:t>
      </w:r>
      <w:r>
        <w:rPr>
          <w:color w:val="231F20"/>
        </w:rPr>
        <w:t>autorità</w:t>
      </w:r>
      <w:r>
        <w:rPr>
          <w:color w:val="231F20"/>
          <w:spacing w:val="3"/>
        </w:rPr>
        <w:t> </w:t>
      </w:r>
      <w:r>
        <w:rPr>
          <w:color w:val="231F20"/>
        </w:rPr>
        <w:t>interpellata,</w:t>
      </w:r>
      <w:r>
        <w:rPr>
          <w:color w:val="231F20"/>
          <w:spacing w:val="3"/>
        </w:rPr>
        <w:t> </w:t>
      </w:r>
      <w:r>
        <w:rPr>
          <w:color w:val="231F20"/>
        </w:rPr>
        <w:t>sia</w:t>
      </w:r>
      <w:r>
        <w:rPr>
          <w:color w:val="231F20"/>
          <w:spacing w:val="3"/>
        </w:rPr>
        <w:t> </w:t>
      </w:r>
      <w:r>
        <w:rPr>
          <w:color w:val="231F20"/>
        </w:rPr>
        <w:t>-</w:t>
      </w:r>
      <w:r>
        <w:rPr>
          <w:color w:val="231F20"/>
          <w:spacing w:val="3"/>
        </w:rPr>
        <w:t> </w:t>
      </w:r>
      <w:r>
        <w:rPr>
          <w:color w:val="231F20"/>
        </w:rPr>
        <w:t>“a</w:t>
      </w:r>
      <w:r>
        <w:rPr>
          <w:color w:val="231F20"/>
          <w:spacing w:val="2"/>
        </w:rPr>
        <w:t> </w:t>
      </w:r>
      <w:r>
        <w:rPr>
          <w:color w:val="231F20"/>
        </w:rPr>
        <w:t>monte”</w:t>
      </w:r>
      <w:r>
        <w:rPr>
          <w:color w:val="231F20"/>
          <w:spacing w:val="3"/>
        </w:rPr>
        <w:t> </w:t>
      </w:r>
      <w:r>
        <w:rPr>
          <w:color w:val="231F20"/>
        </w:rPr>
        <w:t>di</w:t>
      </w:r>
      <w:r>
        <w:rPr>
          <w:color w:val="231F20"/>
          <w:spacing w:val="3"/>
        </w:rPr>
        <w:t> </w:t>
      </w:r>
      <w:r>
        <w:rPr>
          <w:color w:val="231F20"/>
        </w:rPr>
        <w:t>quest’ultima</w:t>
      </w:r>
      <w:r>
        <w:rPr>
          <w:color w:val="231F20"/>
          <w:spacing w:val="3"/>
        </w:rPr>
        <w:t> </w:t>
      </w:r>
      <w:r>
        <w:rPr>
          <w:color w:val="231F20"/>
        </w:rPr>
        <w:t>-</w:t>
      </w:r>
      <w:r>
        <w:rPr>
          <w:color w:val="231F20"/>
          <w:spacing w:val="66"/>
        </w:rPr>
        <w:t> </w:t>
      </w:r>
      <w:r>
        <w:rPr>
          <w:color w:val="231F20"/>
        </w:rPr>
        <w:t>la</w:t>
      </w:r>
      <w:r>
        <w:rPr>
          <w:color w:val="231F20"/>
          <w:spacing w:val="3"/>
        </w:rPr>
        <w:t> </w:t>
      </w:r>
      <w:r>
        <w:rPr>
          <w:color w:val="231F20"/>
          <w:spacing w:val="-5"/>
        </w:rPr>
        <w:t>le-</w:t>
      </w:r>
    </w:p>
    <w:p>
      <w:pPr>
        <w:pStyle w:val="BodyText"/>
        <w:spacing w:before="10"/>
        <w:rPr>
          <w:sz w:val="8"/>
        </w:rPr>
      </w:pPr>
      <w:r>
        <w:rPr/>
        <mc:AlternateContent>
          <mc:Choice Requires="wps">
            <w:drawing>
              <wp:anchor distT="0" distB="0" distL="0" distR="0" allowOverlap="1" layoutInCell="1" locked="0" behindDoc="1" simplePos="0" relativeHeight="487620096">
                <wp:simplePos x="0" y="0"/>
                <wp:positionH relativeFrom="page">
                  <wp:posOffset>864000</wp:posOffset>
                </wp:positionH>
                <wp:positionV relativeFrom="paragraph">
                  <wp:posOffset>86613</wp:posOffset>
                </wp:positionV>
                <wp:extent cx="792480" cy="1270"/>
                <wp:effectExtent l="0" t="0" r="0" b="0"/>
                <wp:wrapTopAndBottom/>
                <wp:docPr id="110" name="Graphic 110"/>
                <wp:cNvGraphicFramePr>
                  <a:graphicFrameLocks/>
                </wp:cNvGraphicFramePr>
                <a:graphic>
                  <a:graphicData uri="http://schemas.microsoft.com/office/word/2010/wordprocessingShape">
                    <wps:wsp>
                      <wps:cNvPr id="110" name="Graphic 110"/>
                      <wps:cNvSpPr/>
                      <wps:spPr>
                        <a:xfrm>
                          <a:off x="0" y="0"/>
                          <a:ext cx="792480" cy="1270"/>
                        </a:xfrm>
                        <a:custGeom>
                          <a:avLst/>
                          <a:gdLst/>
                          <a:ahLst/>
                          <a:cxnLst/>
                          <a:rect l="l" t="t" r="r" b="b"/>
                          <a:pathLst>
                            <a:path w="792480" h="0">
                              <a:moveTo>
                                <a:pt x="0" y="0"/>
                              </a:moveTo>
                              <a:lnTo>
                                <a:pt x="791997"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shape style="position:absolute;margin-left:68.031502pt;margin-top:6.81998pt;width:62.4pt;height:.1pt;mso-position-horizontal-relative:page;mso-position-vertical-relative:paragraph;z-index:-15696384;mso-wrap-distance-left:0;mso-wrap-distance-right:0" id="docshape91" coordorigin="1361,136" coordsize="1248,0" path="m1361,136l2608,136e" filled="false" stroked="true" strokeweight=".5pt" strokecolor="#231f20">
                <v:path arrowok="t"/>
                <v:stroke dashstyle="solid"/>
                <w10:wrap type="topAndBottom"/>
              </v:shape>
            </w:pict>
          </mc:Fallback>
        </mc:AlternateContent>
      </w:r>
    </w:p>
    <w:p>
      <w:pPr>
        <w:spacing w:line="235" w:lineRule="exact" w:before="190"/>
        <w:ind w:left="100" w:right="0" w:firstLine="0"/>
        <w:jc w:val="both"/>
        <w:rPr>
          <w:sz w:val="19"/>
        </w:rPr>
      </w:pPr>
      <w:r>
        <w:rPr>
          <w:color w:val="231F20"/>
          <w:position w:val="6"/>
          <w:sz w:val="11"/>
        </w:rPr>
        <w:t>82</w:t>
      </w:r>
      <w:r>
        <w:rPr>
          <w:color w:val="231F20"/>
          <w:spacing w:val="53"/>
          <w:position w:val="6"/>
          <w:sz w:val="11"/>
        </w:rPr>
        <w:t>  </w:t>
      </w:r>
      <w:r>
        <w:rPr>
          <w:color w:val="231F20"/>
          <w:sz w:val="19"/>
        </w:rPr>
        <w:t>Corte</w:t>
      </w:r>
      <w:r>
        <w:rPr>
          <w:color w:val="231F20"/>
          <w:spacing w:val="1"/>
          <w:sz w:val="19"/>
        </w:rPr>
        <w:t> </w:t>
      </w:r>
      <w:r>
        <w:rPr>
          <w:color w:val="231F20"/>
          <w:sz w:val="19"/>
        </w:rPr>
        <w:t>giust.</w:t>
      </w:r>
      <w:r>
        <w:rPr>
          <w:color w:val="231F20"/>
          <w:spacing w:val="1"/>
          <w:sz w:val="19"/>
        </w:rPr>
        <w:t> </w:t>
      </w:r>
      <w:r>
        <w:rPr>
          <w:color w:val="231F20"/>
          <w:sz w:val="19"/>
        </w:rPr>
        <w:t>UE, ult. cit., punto </w:t>
      </w:r>
      <w:r>
        <w:rPr>
          <w:color w:val="231F20"/>
          <w:spacing w:val="-5"/>
          <w:sz w:val="19"/>
        </w:rPr>
        <w:t>77.</w:t>
      </w:r>
    </w:p>
    <w:p>
      <w:pPr>
        <w:spacing w:line="225" w:lineRule="auto" w:before="4"/>
        <w:ind w:left="100" w:right="174" w:firstLine="0"/>
        <w:jc w:val="both"/>
        <w:rPr>
          <w:sz w:val="19"/>
        </w:rPr>
      </w:pPr>
      <w:r>
        <w:rPr>
          <w:color w:val="231F20"/>
          <w:position w:val="6"/>
          <w:sz w:val="11"/>
        </w:rPr>
        <w:t>83</w:t>
      </w:r>
      <w:r>
        <w:rPr>
          <w:color w:val="231F20"/>
          <w:spacing w:val="80"/>
          <w:position w:val="6"/>
          <w:sz w:val="11"/>
        </w:rPr>
        <w:t> </w:t>
      </w:r>
      <w:r>
        <w:rPr>
          <w:color w:val="231F20"/>
          <w:sz w:val="19"/>
        </w:rPr>
        <w:t>Corte giust. UE, ult. cit., punti da 78 a 82. Tale interpretazione della direttiva è </w:t>
      </w:r>
      <w:r>
        <w:rPr>
          <w:color w:val="231F20"/>
          <w:sz w:val="19"/>
        </w:rPr>
        <w:t>stata successivamente</w:t>
      </w:r>
      <w:r>
        <w:rPr>
          <w:color w:val="231F20"/>
          <w:spacing w:val="-8"/>
          <w:sz w:val="19"/>
        </w:rPr>
        <w:t> </w:t>
      </w:r>
      <w:r>
        <w:rPr>
          <w:color w:val="231F20"/>
          <w:sz w:val="19"/>
        </w:rPr>
        <w:t>confermata,</w:t>
      </w:r>
      <w:r>
        <w:rPr>
          <w:color w:val="231F20"/>
          <w:spacing w:val="-8"/>
          <w:sz w:val="19"/>
        </w:rPr>
        <w:t> </w:t>
      </w:r>
      <w:r>
        <w:rPr>
          <w:color w:val="231F20"/>
          <w:sz w:val="19"/>
        </w:rPr>
        <w:t>sia</w:t>
      </w:r>
      <w:r>
        <w:rPr>
          <w:color w:val="231F20"/>
          <w:spacing w:val="-8"/>
          <w:sz w:val="19"/>
        </w:rPr>
        <w:t> </w:t>
      </w:r>
      <w:r>
        <w:rPr>
          <w:color w:val="231F20"/>
          <w:sz w:val="19"/>
        </w:rPr>
        <w:t>da</w:t>
      </w:r>
      <w:r>
        <w:rPr>
          <w:color w:val="231F20"/>
          <w:spacing w:val="-8"/>
          <w:sz w:val="19"/>
        </w:rPr>
        <w:t> </w:t>
      </w:r>
      <w:r>
        <w:rPr>
          <w:color w:val="231F20"/>
          <w:sz w:val="19"/>
        </w:rPr>
        <w:t>Corte</w:t>
      </w:r>
      <w:r>
        <w:rPr>
          <w:color w:val="231F20"/>
          <w:spacing w:val="-8"/>
          <w:sz w:val="19"/>
        </w:rPr>
        <w:t> </w:t>
      </w:r>
      <w:r>
        <w:rPr>
          <w:color w:val="231F20"/>
          <w:sz w:val="19"/>
        </w:rPr>
        <w:t>giust.</w:t>
      </w:r>
      <w:r>
        <w:rPr>
          <w:color w:val="231F20"/>
          <w:spacing w:val="-8"/>
          <w:sz w:val="19"/>
        </w:rPr>
        <w:t> </w:t>
      </w:r>
      <w:r>
        <w:rPr>
          <w:color w:val="231F20"/>
          <w:sz w:val="19"/>
        </w:rPr>
        <w:t>UE,</w:t>
      </w:r>
      <w:r>
        <w:rPr>
          <w:color w:val="231F20"/>
          <w:spacing w:val="-8"/>
          <w:sz w:val="19"/>
        </w:rPr>
        <w:t> </w:t>
      </w:r>
      <w:r>
        <w:rPr>
          <w:color w:val="231F20"/>
          <w:sz w:val="19"/>
        </w:rPr>
        <w:t>sent.</w:t>
      </w:r>
      <w:r>
        <w:rPr>
          <w:color w:val="231F20"/>
          <w:spacing w:val="-8"/>
          <w:sz w:val="19"/>
        </w:rPr>
        <w:t> </w:t>
      </w:r>
      <w:r>
        <w:rPr>
          <w:color w:val="231F20"/>
          <w:sz w:val="19"/>
        </w:rPr>
        <w:t>del</w:t>
      </w:r>
      <w:r>
        <w:rPr>
          <w:color w:val="231F20"/>
          <w:spacing w:val="-8"/>
          <w:sz w:val="19"/>
        </w:rPr>
        <w:t> </w:t>
      </w:r>
      <w:r>
        <w:rPr>
          <w:color w:val="231F20"/>
          <w:sz w:val="19"/>
        </w:rPr>
        <w:t>6</w:t>
      </w:r>
      <w:r>
        <w:rPr>
          <w:color w:val="231F20"/>
          <w:spacing w:val="-8"/>
          <w:sz w:val="19"/>
        </w:rPr>
        <w:t> </w:t>
      </w:r>
      <w:r>
        <w:rPr>
          <w:color w:val="231F20"/>
          <w:sz w:val="19"/>
        </w:rPr>
        <w:t>ottobre</w:t>
      </w:r>
      <w:r>
        <w:rPr>
          <w:color w:val="231F20"/>
          <w:spacing w:val="-8"/>
          <w:sz w:val="19"/>
        </w:rPr>
        <w:t> </w:t>
      </w:r>
      <w:r>
        <w:rPr>
          <w:color w:val="231F20"/>
          <w:sz w:val="19"/>
        </w:rPr>
        <w:t>2020,</w:t>
      </w:r>
      <w:r>
        <w:rPr>
          <w:color w:val="231F20"/>
          <w:spacing w:val="-8"/>
          <w:sz w:val="19"/>
        </w:rPr>
        <w:t> </w:t>
      </w:r>
      <w:r>
        <w:rPr>
          <w:color w:val="231F20"/>
          <w:sz w:val="19"/>
        </w:rPr>
        <w:t>causa</w:t>
      </w:r>
      <w:r>
        <w:rPr>
          <w:color w:val="231F20"/>
          <w:spacing w:val="-8"/>
          <w:sz w:val="19"/>
        </w:rPr>
        <w:t> </w:t>
      </w:r>
      <w:r>
        <w:rPr>
          <w:color w:val="231F20"/>
          <w:sz w:val="19"/>
        </w:rPr>
        <w:t>C-245/19, cit.,</w:t>
      </w:r>
      <w:r>
        <w:rPr>
          <w:color w:val="231F20"/>
          <w:spacing w:val="-10"/>
          <w:sz w:val="19"/>
        </w:rPr>
        <w:t> </w:t>
      </w:r>
      <w:r>
        <w:rPr>
          <w:color w:val="231F20"/>
          <w:sz w:val="19"/>
        </w:rPr>
        <w:t>punto</w:t>
      </w:r>
      <w:r>
        <w:rPr>
          <w:color w:val="231F20"/>
          <w:spacing w:val="-9"/>
          <w:sz w:val="19"/>
        </w:rPr>
        <w:t> </w:t>
      </w:r>
      <w:r>
        <w:rPr>
          <w:color w:val="231F20"/>
          <w:sz w:val="19"/>
        </w:rPr>
        <w:t>115,</w:t>
      </w:r>
      <w:r>
        <w:rPr>
          <w:color w:val="231F20"/>
          <w:spacing w:val="-10"/>
          <w:sz w:val="19"/>
        </w:rPr>
        <w:t> </w:t>
      </w:r>
      <w:r>
        <w:rPr>
          <w:color w:val="231F20"/>
          <w:sz w:val="19"/>
        </w:rPr>
        <w:t>che</w:t>
      </w:r>
      <w:r>
        <w:rPr>
          <w:color w:val="231F20"/>
          <w:spacing w:val="-9"/>
          <w:sz w:val="19"/>
        </w:rPr>
        <w:t> </w:t>
      </w:r>
      <w:r>
        <w:rPr>
          <w:color w:val="231F20"/>
          <w:sz w:val="19"/>
        </w:rPr>
        <w:t>da</w:t>
      </w:r>
      <w:r>
        <w:rPr>
          <w:color w:val="231F20"/>
          <w:spacing w:val="-10"/>
          <w:sz w:val="19"/>
        </w:rPr>
        <w:t> </w:t>
      </w:r>
      <w:r>
        <w:rPr>
          <w:color w:val="231F20"/>
          <w:sz w:val="19"/>
        </w:rPr>
        <w:t>Corte</w:t>
      </w:r>
      <w:r>
        <w:rPr>
          <w:color w:val="231F20"/>
          <w:spacing w:val="-9"/>
          <w:sz w:val="19"/>
        </w:rPr>
        <w:t> </w:t>
      </w:r>
      <w:r>
        <w:rPr>
          <w:color w:val="231F20"/>
          <w:sz w:val="19"/>
        </w:rPr>
        <w:t>giust.</w:t>
      </w:r>
      <w:r>
        <w:rPr>
          <w:color w:val="231F20"/>
          <w:spacing w:val="-10"/>
          <w:sz w:val="19"/>
        </w:rPr>
        <w:t> </w:t>
      </w:r>
      <w:r>
        <w:rPr>
          <w:color w:val="231F20"/>
          <w:sz w:val="19"/>
        </w:rPr>
        <w:t>UE,</w:t>
      </w:r>
      <w:r>
        <w:rPr>
          <w:color w:val="231F20"/>
          <w:spacing w:val="-9"/>
          <w:sz w:val="19"/>
        </w:rPr>
        <w:t> </w:t>
      </w:r>
      <w:r>
        <w:rPr>
          <w:color w:val="231F20"/>
          <w:sz w:val="19"/>
        </w:rPr>
        <w:t>sent.</w:t>
      </w:r>
      <w:r>
        <w:rPr>
          <w:color w:val="231F20"/>
          <w:spacing w:val="-9"/>
          <w:sz w:val="19"/>
        </w:rPr>
        <w:t> </w:t>
      </w:r>
      <w:r>
        <w:rPr>
          <w:color w:val="231F20"/>
          <w:sz w:val="19"/>
        </w:rPr>
        <w:t>del</w:t>
      </w:r>
      <w:r>
        <w:rPr>
          <w:color w:val="231F20"/>
          <w:spacing w:val="-10"/>
          <w:sz w:val="19"/>
        </w:rPr>
        <w:t> </w:t>
      </w:r>
      <w:r>
        <w:rPr>
          <w:color w:val="231F20"/>
          <w:sz w:val="19"/>
        </w:rPr>
        <w:t>25</w:t>
      </w:r>
      <w:r>
        <w:rPr>
          <w:color w:val="231F20"/>
          <w:spacing w:val="-9"/>
          <w:sz w:val="19"/>
        </w:rPr>
        <w:t> </w:t>
      </w:r>
      <w:r>
        <w:rPr>
          <w:color w:val="231F20"/>
          <w:sz w:val="19"/>
        </w:rPr>
        <w:t>novembre</w:t>
      </w:r>
      <w:r>
        <w:rPr>
          <w:color w:val="231F20"/>
          <w:spacing w:val="-10"/>
          <w:sz w:val="19"/>
        </w:rPr>
        <w:t> </w:t>
      </w:r>
      <w:r>
        <w:rPr>
          <w:color w:val="231F20"/>
          <w:sz w:val="19"/>
        </w:rPr>
        <w:t>2021,</w:t>
      </w:r>
      <w:r>
        <w:rPr>
          <w:color w:val="231F20"/>
          <w:spacing w:val="-9"/>
          <w:sz w:val="19"/>
        </w:rPr>
        <w:t> </w:t>
      </w:r>
      <w:r>
        <w:rPr>
          <w:color w:val="231F20"/>
          <w:sz w:val="19"/>
        </w:rPr>
        <w:t>C-437/19,</w:t>
      </w:r>
      <w:r>
        <w:rPr>
          <w:color w:val="231F20"/>
          <w:spacing w:val="-10"/>
          <w:sz w:val="19"/>
        </w:rPr>
        <w:t> </w:t>
      </w:r>
      <w:r>
        <w:rPr>
          <w:color w:val="231F20"/>
          <w:sz w:val="19"/>
        </w:rPr>
        <w:t>cit.,</w:t>
      </w:r>
      <w:r>
        <w:rPr>
          <w:color w:val="231F20"/>
          <w:spacing w:val="-9"/>
          <w:sz w:val="19"/>
        </w:rPr>
        <w:t> </w:t>
      </w:r>
      <w:r>
        <w:rPr>
          <w:color w:val="231F20"/>
          <w:sz w:val="19"/>
        </w:rPr>
        <w:t>punto</w:t>
      </w:r>
      <w:r>
        <w:rPr>
          <w:color w:val="231F20"/>
          <w:spacing w:val="-9"/>
          <w:sz w:val="19"/>
        </w:rPr>
        <w:t> </w:t>
      </w:r>
      <w:r>
        <w:rPr>
          <w:color w:val="231F20"/>
          <w:spacing w:val="-5"/>
          <w:sz w:val="19"/>
        </w:rPr>
        <w:t>46.</w:t>
      </w:r>
    </w:p>
    <w:p>
      <w:pPr>
        <w:spacing w:after="0" w:line="225" w:lineRule="auto"/>
        <w:jc w:val="both"/>
        <w:rPr>
          <w:sz w:val="19"/>
        </w:rPr>
        <w:sectPr>
          <w:pgSz w:w="9640" w:h="13610"/>
          <w:pgMar w:header="0" w:footer="625" w:top="1260" w:bottom="820" w:left="1260" w:right="1240"/>
        </w:sectPr>
      </w:pPr>
    </w:p>
    <w:p>
      <w:pPr>
        <w:pStyle w:val="BodyText"/>
        <w:spacing w:line="225" w:lineRule="auto" w:before="117"/>
        <w:ind w:left="157" w:right="118"/>
        <w:jc w:val="both"/>
      </w:pPr>
      <w:r>
        <w:rPr/>
        <mc:AlternateContent>
          <mc:Choice Requires="wps">
            <w:drawing>
              <wp:anchor distT="0" distB="0" distL="0" distR="0" allowOverlap="1" layoutInCell="1" locked="0" behindDoc="0" simplePos="0" relativeHeight="15761920">
                <wp:simplePos x="0" y="0"/>
                <wp:positionH relativeFrom="page">
                  <wp:posOffset>5608609</wp:posOffset>
                </wp:positionH>
                <wp:positionV relativeFrom="page">
                  <wp:posOffset>2376001</wp:posOffset>
                </wp:positionV>
                <wp:extent cx="511809" cy="2412365"/>
                <wp:effectExtent l="0" t="0" r="0" b="0"/>
                <wp:wrapNone/>
                <wp:docPr id="111" name="Group 111"/>
                <wp:cNvGraphicFramePr>
                  <a:graphicFrameLocks/>
                </wp:cNvGraphicFramePr>
                <a:graphic>
                  <a:graphicData uri="http://schemas.microsoft.com/office/word/2010/wordprocessingGroup">
                    <wpg:wgp>
                      <wpg:cNvPr id="111" name="Group 111"/>
                      <wpg:cNvGrpSpPr/>
                      <wpg:grpSpPr>
                        <a:xfrm>
                          <a:off x="0" y="0"/>
                          <a:ext cx="511809" cy="2412365"/>
                          <a:chExt cx="511809" cy="2412365"/>
                        </a:xfrm>
                      </wpg:grpSpPr>
                      <wps:wsp>
                        <wps:cNvPr id="112" name="Graphic 112"/>
                        <wps:cNvSpPr/>
                        <wps:spPr>
                          <a:xfrm>
                            <a:off x="7393" y="3"/>
                            <a:ext cx="504190" cy="360045"/>
                          </a:xfrm>
                          <a:custGeom>
                            <a:avLst/>
                            <a:gdLst/>
                            <a:ahLst/>
                            <a:cxnLst/>
                            <a:rect l="l" t="t" r="r" b="b"/>
                            <a:pathLst>
                              <a:path w="504190" h="360045">
                                <a:moveTo>
                                  <a:pt x="503999" y="0"/>
                                </a:moveTo>
                                <a:lnTo>
                                  <a:pt x="0" y="0"/>
                                </a:lnTo>
                                <a:lnTo>
                                  <a:pt x="0" y="359994"/>
                                </a:lnTo>
                                <a:lnTo>
                                  <a:pt x="503999" y="359994"/>
                                </a:lnTo>
                                <a:lnTo>
                                  <a:pt x="503999" y="0"/>
                                </a:lnTo>
                                <a:close/>
                              </a:path>
                            </a:pathLst>
                          </a:custGeom>
                          <a:solidFill>
                            <a:srgbClr val="939598"/>
                          </a:solidFill>
                        </wps:spPr>
                        <wps:bodyPr wrap="square" lIns="0" tIns="0" rIns="0" bIns="0" rtlCol="0">
                          <a:prstTxWarp prst="textNoShape">
                            <a:avLst/>
                          </a:prstTxWarp>
                          <a:noAutofit/>
                        </wps:bodyPr>
                      </wps:wsp>
                      <wps:wsp>
                        <wps:cNvPr id="113" name="Graphic 113"/>
                        <wps:cNvSpPr/>
                        <wps:spPr>
                          <a:xfrm>
                            <a:off x="6350" y="0"/>
                            <a:ext cx="1270" cy="2412365"/>
                          </a:xfrm>
                          <a:custGeom>
                            <a:avLst/>
                            <a:gdLst/>
                            <a:ahLst/>
                            <a:cxnLst/>
                            <a:rect l="l" t="t" r="r" b="b"/>
                            <a:pathLst>
                              <a:path w="0" h="2412365">
                                <a:moveTo>
                                  <a:pt x="0" y="0"/>
                                </a:moveTo>
                                <a:lnTo>
                                  <a:pt x="0" y="2411996"/>
                                </a:lnTo>
                              </a:path>
                            </a:pathLst>
                          </a:custGeom>
                          <a:ln w="12700">
                            <a:solidFill>
                              <a:srgbClr val="939598"/>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441.622803pt;margin-top:187.0867pt;width:40.3pt;height:189.95pt;mso-position-horizontal-relative:page;mso-position-vertical-relative:page;z-index:15761920" id="docshapegroup92" coordorigin="8832,3742" coordsize="806,3799">
                <v:rect style="position:absolute;left:8844;top:3741;width:794;height:567" id="docshape93" filled="true" fillcolor="#939598" stroked="false">
                  <v:fill type="solid"/>
                </v:rect>
                <v:line style="position:absolute" from="8842,3742" to="8842,7540" stroked="true" strokeweight="1pt" strokecolor="#939598">
                  <v:stroke dashstyle="solid"/>
                </v:line>
                <w10:wrap type="none"/>
              </v:group>
            </w:pict>
          </mc:Fallback>
        </mc:AlternateContent>
      </w:r>
      <w:r>
        <w:rPr/>
        <mc:AlternateContent>
          <mc:Choice Requires="wps">
            <w:drawing>
              <wp:anchor distT="0" distB="0" distL="0" distR="0" allowOverlap="1" layoutInCell="1" locked="0" behindDoc="0" simplePos="0" relativeHeight="15762432">
                <wp:simplePos x="0" y="0"/>
                <wp:positionH relativeFrom="page">
                  <wp:posOffset>5635147</wp:posOffset>
                </wp:positionH>
                <wp:positionV relativeFrom="page">
                  <wp:posOffset>2795300</wp:posOffset>
                </wp:positionV>
                <wp:extent cx="299720" cy="1995805"/>
                <wp:effectExtent l="0" t="0" r="0" b="0"/>
                <wp:wrapNone/>
                <wp:docPr id="114" name="Textbox 114"/>
                <wp:cNvGraphicFramePr>
                  <a:graphicFrameLocks/>
                </wp:cNvGraphicFramePr>
                <a:graphic>
                  <a:graphicData uri="http://schemas.microsoft.com/office/word/2010/wordprocessingShape">
                    <wps:wsp>
                      <wps:cNvPr id="114" name="Textbox 114"/>
                      <wps:cNvSpPr txBox="1"/>
                      <wps:spPr>
                        <a:xfrm>
                          <a:off x="0" y="0"/>
                          <a:ext cx="299720" cy="1995805"/>
                        </a:xfrm>
                        <a:prstGeom prst="rect">
                          <a:avLst/>
                        </a:prstGeom>
                      </wps:spPr>
                      <wps:txbx>
                        <w:txbxContent>
                          <w:p>
                            <w:pPr>
                              <w:spacing w:before="20"/>
                              <w:ind w:left="20" w:right="0" w:firstLine="0"/>
                              <w:jc w:val="left"/>
                              <w:rPr>
                                <w:rFonts w:ascii="Minion Pro"/>
                                <w:sz w:val="32"/>
                              </w:rPr>
                            </w:pPr>
                            <w:r>
                              <w:rPr>
                                <w:rFonts w:ascii="Minion Pro"/>
                                <w:color w:val="231F20"/>
                                <w:sz w:val="32"/>
                              </w:rPr>
                              <w:t>Commented</w:t>
                            </w:r>
                            <w:r>
                              <w:rPr>
                                <w:rFonts w:ascii="Minion Pro"/>
                                <w:color w:val="231F20"/>
                                <w:spacing w:val="-10"/>
                                <w:sz w:val="32"/>
                              </w:rPr>
                              <w:t> </w:t>
                            </w:r>
                            <w:r>
                              <w:rPr>
                                <w:rFonts w:ascii="Minion Pro"/>
                                <w:color w:val="231F20"/>
                                <w:spacing w:val="-2"/>
                                <w:sz w:val="32"/>
                              </w:rPr>
                              <w:t>documents</w:t>
                            </w:r>
                          </w:p>
                        </w:txbxContent>
                      </wps:txbx>
                      <wps:bodyPr wrap="square" lIns="0" tIns="0" rIns="0" bIns="0" rtlCol="0" vert="vert">
                        <a:noAutofit/>
                      </wps:bodyPr>
                    </wps:wsp>
                  </a:graphicData>
                </a:graphic>
              </wp:anchor>
            </w:drawing>
          </mc:Choice>
          <mc:Fallback>
            <w:pict>
              <v:shape style="position:absolute;margin-left:443.712402pt;margin-top:220.102402pt;width:23.6pt;height:157.15pt;mso-position-horizontal-relative:page;mso-position-vertical-relative:page;z-index:15762432" type="#_x0000_t202" id="docshape94" filled="false" stroked="false">
                <v:textbox inset="0,0,0,0" style="layout-flow:vertical">
                  <w:txbxContent>
                    <w:p>
                      <w:pPr>
                        <w:spacing w:before="20"/>
                        <w:ind w:left="20" w:right="0" w:firstLine="0"/>
                        <w:jc w:val="left"/>
                        <w:rPr>
                          <w:rFonts w:ascii="Minion Pro"/>
                          <w:sz w:val="32"/>
                        </w:rPr>
                      </w:pPr>
                      <w:r>
                        <w:rPr>
                          <w:rFonts w:ascii="Minion Pro"/>
                          <w:color w:val="231F20"/>
                          <w:sz w:val="32"/>
                        </w:rPr>
                        <w:t>Commented</w:t>
                      </w:r>
                      <w:r>
                        <w:rPr>
                          <w:rFonts w:ascii="Minion Pro"/>
                          <w:color w:val="231F20"/>
                          <w:spacing w:val="-10"/>
                          <w:sz w:val="32"/>
                        </w:rPr>
                        <w:t> </w:t>
                      </w:r>
                      <w:r>
                        <w:rPr>
                          <w:rFonts w:ascii="Minion Pro"/>
                          <w:color w:val="231F20"/>
                          <w:spacing w:val="-2"/>
                          <w:sz w:val="32"/>
                        </w:rPr>
                        <w:t>documents</w:t>
                      </w:r>
                    </w:p>
                  </w:txbxContent>
                </v:textbox>
                <w10:wrap type="none"/>
              </v:shape>
            </w:pict>
          </mc:Fallback>
        </mc:AlternateContent>
      </w:r>
      <w:r>
        <w:rPr>
          <w:color w:val="231F20"/>
        </w:rPr>
        <w:t>gittimità</w:t>
      </w:r>
      <w:r>
        <w:rPr>
          <w:color w:val="231F20"/>
          <w:spacing w:val="-10"/>
        </w:rPr>
        <w:t> </w:t>
      </w:r>
      <w:r>
        <w:rPr>
          <w:color w:val="231F20"/>
        </w:rPr>
        <w:t>della</w:t>
      </w:r>
      <w:r>
        <w:rPr>
          <w:color w:val="231F20"/>
          <w:spacing w:val="-10"/>
        </w:rPr>
        <w:t> </w:t>
      </w:r>
      <w:r>
        <w:rPr>
          <w:color w:val="231F20"/>
        </w:rPr>
        <w:t>richiesta</w:t>
      </w:r>
      <w:r>
        <w:rPr>
          <w:color w:val="231F20"/>
          <w:spacing w:val="-10"/>
        </w:rPr>
        <w:t> </w:t>
      </w:r>
      <w:r>
        <w:rPr>
          <w:color w:val="231F20"/>
        </w:rPr>
        <w:t>di</w:t>
      </w:r>
      <w:r>
        <w:rPr>
          <w:color w:val="231F20"/>
          <w:spacing w:val="-10"/>
        </w:rPr>
        <w:t> </w:t>
      </w:r>
      <w:r>
        <w:rPr>
          <w:color w:val="231F20"/>
        </w:rPr>
        <w:t>informazioni</w:t>
      </w:r>
      <w:r>
        <w:rPr>
          <w:color w:val="231F20"/>
          <w:spacing w:val="-10"/>
        </w:rPr>
        <w:t> </w:t>
      </w:r>
      <w:r>
        <w:rPr>
          <w:color w:val="231F20"/>
        </w:rPr>
        <w:t>sulla</w:t>
      </w:r>
      <w:r>
        <w:rPr>
          <w:color w:val="231F20"/>
          <w:spacing w:val="-10"/>
        </w:rPr>
        <w:t> </w:t>
      </w:r>
      <w:r>
        <w:rPr>
          <w:color w:val="231F20"/>
        </w:rPr>
        <w:t>base</w:t>
      </w:r>
      <w:r>
        <w:rPr>
          <w:color w:val="231F20"/>
          <w:spacing w:val="-10"/>
        </w:rPr>
        <w:t> </w:t>
      </w:r>
      <w:r>
        <w:rPr>
          <w:color w:val="231F20"/>
        </w:rPr>
        <w:t>della</w:t>
      </w:r>
      <w:r>
        <w:rPr>
          <w:color w:val="231F20"/>
          <w:spacing w:val="-10"/>
        </w:rPr>
        <w:t> </w:t>
      </w:r>
      <w:r>
        <w:rPr>
          <w:color w:val="231F20"/>
        </w:rPr>
        <w:t>motivazione</w:t>
      </w:r>
      <w:r>
        <w:rPr>
          <w:color w:val="231F20"/>
          <w:spacing w:val="-10"/>
        </w:rPr>
        <w:t> </w:t>
      </w:r>
      <w:r>
        <w:rPr>
          <w:color w:val="231F20"/>
        </w:rPr>
        <w:t>fornita dall’autorità</w:t>
      </w:r>
      <w:r>
        <w:rPr>
          <w:color w:val="231F20"/>
          <w:spacing w:val="-5"/>
        </w:rPr>
        <w:t> </w:t>
      </w:r>
      <w:r>
        <w:rPr>
          <w:color w:val="231F20"/>
        </w:rPr>
        <w:t>richiedente</w:t>
      </w:r>
      <w:r>
        <w:rPr>
          <w:color w:val="231F20"/>
          <w:spacing w:val="-5"/>
        </w:rPr>
        <w:t> </w:t>
      </w:r>
      <w:r>
        <w:rPr>
          <w:color w:val="231F20"/>
        </w:rPr>
        <w:t>e</w:t>
      </w:r>
      <w:r>
        <w:rPr>
          <w:color w:val="231F20"/>
          <w:spacing w:val="-5"/>
        </w:rPr>
        <w:t> </w:t>
      </w:r>
      <w:r>
        <w:rPr>
          <w:color w:val="231F20"/>
        </w:rPr>
        <w:t>questo,</w:t>
      </w:r>
      <w:r>
        <w:rPr>
          <w:color w:val="231F20"/>
          <w:spacing w:val="-5"/>
        </w:rPr>
        <w:t> </w:t>
      </w:r>
      <w:r>
        <w:rPr>
          <w:color w:val="231F20"/>
        </w:rPr>
        <w:t>al</w:t>
      </w:r>
      <w:r>
        <w:rPr>
          <w:color w:val="231F20"/>
          <w:spacing w:val="-5"/>
        </w:rPr>
        <w:t> </w:t>
      </w:r>
      <w:r>
        <w:rPr>
          <w:color w:val="231F20"/>
        </w:rPr>
        <w:t>fine</w:t>
      </w:r>
      <w:r>
        <w:rPr>
          <w:color w:val="231F20"/>
          <w:spacing w:val="-5"/>
        </w:rPr>
        <w:t> </w:t>
      </w:r>
      <w:r>
        <w:rPr>
          <w:color w:val="231F20"/>
        </w:rPr>
        <w:t>di</w:t>
      </w:r>
      <w:r>
        <w:rPr>
          <w:color w:val="231F20"/>
          <w:spacing w:val="-5"/>
        </w:rPr>
        <w:t> </w:t>
      </w:r>
      <w:r>
        <w:rPr>
          <w:color w:val="231F20"/>
        </w:rPr>
        <w:t>assicurare</w:t>
      </w:r>
      <w:r>
        <w:rPr>
          <w:color w:val="231F20"/>
          <w:spacing w:val="-5"/>
        </w:rPr>
        <w:t> </w:t>
      </w:r>
      <w:r>
        <w:rPr>
          <w:color w:val="231F20"/>
        </w:rPr>
        <w:t>«l’efficacia</w:t>
      </w:r>
      <w:r>
        <w:rPr>
          <w:color w:val="231F20"/>
          <w:spacing w:val="-5"/>
        </w:rPr>
        <w:t> </w:t>
      </w:r>
      <w:r>
        <w:rPr>
          <w:color w:val="231F20"/>
        </w:rPr>
        <w:t>del</w:t>
      </w:r>
      <w:r>
        <w:rPr>
          <w:color w:val="231F20"/>
          <w:spacing w:val="-5"/>
        </w:rPr>
        <w:t> </w:t>
      </w:r>
      <w:r>
        <w:rPr>
          <w:color w:val="231F20"/>
        </w:rPr>
        <w:t>sinda- cato</w:t>
      </w:r>
      <w:r>
        <w:rPr>
          <w:color w:val="231F20"/>
          <w:spacing w:val="-8"/>
        </w:rPr>
        <w:t> </w:t>
      </w:r>
      <w:r>
        <w:rPr>
          <w:color w:val="231F20"/>
        </w:rPr>
        <w:t>giurisdizionale</w:t>
      </w:r>
      <w:r>
        <w:rPr>
          <w:color w:val="231F20"/>
          <w:spacing w:val="-8"/>
        </w:rPr>
        <w:t> </w:t>
      </w:r>
      <w:r>
        <w:rPr>
          <w:color w:val="231F20"/>
        </w:rPr>
        <w:t>garantito</w:t>
      </w:r>
      <w:r>
        <w:rPr>
          <w:color w:val="231F20"/>
          <w:spacing w:val="-8"/>
        </w:rPr>
        <w:t> </w:t>
      </w:r>
      <w:r>
        <w:rPr>
          <w:color w:val="231F20"/>
        </w:rPr>
        <w:t>dall’art.</w:t>
      </w:r>
      <w:r>
        <w:rPr>
          <w:color w:val="231F20"/>
          <w:spacing w:val="-8"/>
        </w:rPr>
        <w:t> </w:t>
      </w:r>
      <w:r>
        <w:rPr>
          <w:color w:val="231F20"/>
        </w:rPr>
        <w:t>47</w:t>
      </w:r>
      <w:r>
        <w:rPr>
          <w:color w:val="231F20"/>
          <w:spacing w:val="-8"/>
        </w:rPr>
        <w:t> </w:t>
      </w:r>
      <w:r>
        <w:rPr>
          <w:color w:val="231F20"/>
        </w:rPr>
        <w:t>della</w:t>
      </w:r>
      <w:r>
        <w:rPr>
          <w:color w:val="231F20"/>
          <w:spacing w:val="-8"/>
        </w:rPr>
        <w:t> </w:t>
      </w:r>
      <w:r>
        <w:rPr>
          <w:color w:val="231F20"/>
        </w:rPr>
        <w:t>Carta</w:t>
      </w:r>
      <w:r>
        <w:rPr>
          <w:color w:val="231F20"/>
          <w:spacing w:val="-8"/>
        </w:rPr>
        <w:t> </w:t>
      </w:r>
      <w:r>
        <w:rPr>
          <w:color w:val="231F20"/>
        </w:rPr>
        <w:t>(dei</w:t>
      </w:r>
      <w:r>
        <w:rPr>
          <w:color w:val="231F20"/>
          <w:spacing w:val="-8"/>
        </w:rPr>
        <w:t> </w:t>
      </w:r>
      <w:r>
        <w:rPr>
          <w:color w:val="231F20"/>
        </w:rPr>
        <w:t>diritti</w:t>
      </w:r>
      <w:r>
        <w:rPr>
          <w:color w:val="231F20"/>
          <w:spacing w:val="-8"/>
        </w:rPr>
        <w:t> </w:t>
      </w:r>
      <w:r>
        <w:rPr>
          <w:color w:val="231F20"/>
        </w:rPr>
        <w:t>fondamen- tali)».</w:t>
      </w:r>
      <w:r>
        <w:rPr>
          <w:color w:val="231F20"/>
          <w:spacing w:val="-15"/>
        </w:rPr>
        <w:t> </w:t>
      </w:r>
      <w:r>
        <w:rPr>
          <w:color w:val="231F20"/>
        </w:rPr>
        <w:t>Tuttavia,</w:t>
      </w:r>
      <w:r>
        <w:rPr>
          <w:color w:val="231F20"/>
          <w:spacing w:val="-5"/>
        </w:rPr>
        <w:t> </w:t>
      </w:r>
      <w:r>
        <w:rPr>
          <w:color w:val="231F20"/>
        </w:rPr>
        <w:t>ha</w:t>
      </w:r>
      <w:r>
        <w:rPr>
          <w:color w:val="231F20"/>
          <w:spacing w:val="-5"/>
        </w:rPr>
        <w:t> </w:t>
      </w:r>
      <w:r>
        <w:rPr>
          <w:color w:val="231F20"/>
        </w:rPr>
        <w:t>proseguito</w:t>
      </w:r>
      <w:r>
        <w:rPr>
          <w:color w:val="231F20"/>
          <w:spacing w:val="-5"/>
        </w:rPr>
        <w:t> </w:t>
      </w:r>
      <w:r>
        <w:rPr>
          <w:color w:val="231F20"/>
        </w:rPr>
        <w:t>la</w:t>
      </w:r>
      <w:r>
        <w:rPr>
          <w:color w:val="231F20"/>
          <w:spacing w:val="-5"/>
        </w:rPr>
        <w:t> </w:t>
      </w:r>
      <w:r>
        <w:rPr>
          <w:color w:val="231F20"/>
        </w:rPr>
        <w:t>Corte,</w:t>
      </w:r>
      <w:r>
        <w:rPr>
          <w:color w:val="231F20"/>
          <w:spacing w:val="-5"/>
        </w:rPr>
        <w:t> </w:t>
      </w:r>
      <w:r>
        <w:rPr>
          <w:color w:val="231F20"/>
        </w:rPr>
        <w:t>per</w:t>
      </w:r>
      <w:r>
        <w:rPr>
          <w:color w:val="231F20"/>
          <w:spacing w:val="-5"/>
        </w:rPr>
        <w:t> </w:t>
      </w:r>
      <w:r>
        <w:rPr>
          <w:color w:val="231F20"/>
        </w:rPr>
        <w:t>contemperare</w:t>
      </w:r>
      <w:r>
        <w:rPr>
          <w:color w:val="231F20"/>
          <w:spacing w:val="-5"/>
        </w:rPr>
        <w:t> </w:t>
      </w:r>
      <w:r>
        <w:rPr>
          <w:color w:val="231F20"/>
        </w:rPr>
        <w:t>tale</w:t>
      </w:r>
      <w:r>
        <w:rPr>
          <w:color w:val="231F20"/>
          <w:spacing w:val="-5"/>
        </w:rPr>
        <w:t> </w:t>
      </w:r>
      <w:r>
        <w:rPr>
          <w:color w:val="231F20"/>
        </w:rPr>
        <w:t>esigenza</w:t>
      </w:r>
      <w:r>
        <w:rPr>
          <w:color w:val="231F20"/>
          <w:spacing w:val="-5"/>
        </w:rPr>
        <w:t> </w:t>
      </w:r>
      <w:r>
        <w:rPr>
          <w:color w:val="231F20"/>
        </w:rPr>
        <w:t>con il margine di apprezzamento discrezionale riconosciuto all’autorità richie- dente, l’oggetto del controllo del giudice dello Stato membro dell’autorità interpellata dev’essere limitato, da un lato, a «verificare che la decisione di ingiunzione si fondi su una richiesta sufficientemente motivata dell’auto- rità richiedente» e, dall’altro, a verificare che le informazioni richieste non siano «manifestamente prive di qualsiasi pertinenza prevedibile» in rela- zione</w:t>
      </w:r>
      <w:r>
        <w:rPr>
          <w:color w:val="231F20"/>
          <w:spacing w:val="-14"/>
        </w:rPr>
        <w:t> </w:t>
      </w:r>
      <w:r>
        <w:rPr>
          <w:color w:val="231F20"/>
        </w:rPr>
        <w:t>alle</w:t>
      </w:r>
      <w:r>
        <w:rPr>
          <w:color w:val="231F20"/>
          <w:spacing w:val="-14"/>
        </w:rPr>
        <w:t> </w:t>
      </w:r>
      <w:r>
        <w:rPr>
          <w:color w:val="231F20"/>
        </w:rPr>
        <w:t>finalità</w:t>
      </w:r>
      <w:r>
        <w:rPr>
          <w:color w:val="231F20"/>
          <w:spacing w:val="-14"/>
        </w:rPr>
        <w:t> </w:t>
      </w:r>
      <w:r>
        <w:rPr>
          <w:color w:val="231F20"/>
        </w:rPr>
        <w:t>dell’accertamento</w:t>
      </w:r>
      <w:r>
        <w:rPr>
          <w:color w:val="231F20"/>
          <w:spacing w:val="-14"/>
        </w:rPr>
        <w:t> </w:t>
      </w:r>
      <w:r>
        <w:rPr>
          <w:color w:val="231F20"/>
        </w:rPr>
        <w:t>tributario</w:t>
      </w:r>
      <w:r>
        <w:rPr>
          <w:color w:val="231F20"/>
          <w:spacing w:val="-14"/>
        </w:rPr>
        <w:t> </w:t>
      </w:r>
      <w:r>
        <w:rPr>
          <w:color w:val="231F20"/>
        </w:rPr>
        <w:t>avviato</w:t>
      </w:r>
      <w:r>
        <w:rPr>
          <w:color w:val="231F20"/>
          <w:spacing w:val="-14"/>
        </w:rPr>
        <w:t> </w:t>
      </w:r>
      <w:r>
        <w:rPr>
          <w:color w:val="231F20"/>
        </w:rPr>
        <w:t>dall’amministrazione finanziaria richiedente nei confronti del contribuente</w:t>
      </w:r>
      <w:r>
        <w:rPr>
          <w:color w:val="231F20"/>
          <w:position w:val="8"/>
          <w:sz w:val="14"/>
        </w:rPr>
        <w:t>84</w:t>
      </w:r>
      <w:r>
        <w:rPr>
          <w:color w:val="231F20"/>
        </w:rPr>
        <w:t>.</w:t>
      </w:r>
    </w:p>
    <w:p>
      <w:pPr>
        <w:pStyle w:val="BodyText"/>
        <w:spacing w:before="46"/>
      </w:pPr>
    </w:p>
    <w:p>
      <w:pPr>
        <w:pStyle w:val="ListParagraph"/>
        <w:numPr>
          <w:ilvl w:val="2"/>
          <w:numId w:val="4"/>
        </w:numPr>
        <w:tabs>
          <w:tab w:pos="757" w:val="left" w:leader="none"/>
        </w:tabs>
        <w:spacing w:line="230" w:lineRule="auto" w:before="0" w:after="0"/>
        <w:ind w:left="157" w:right="826" w:firstLine="0"/>
        <w:jc w:val="left"/>
        <w:rPr>
          <w:i/>
          <w:sz w:val="24"/>
        </w:rPr>
      </w:pPr>
      <w:r>
        <w:rPr>
          <w:i/>
          <w:color w:val="231F20"/>
          <w:sz w:val="24"/>
        </w:rPr>
        <w:t>Diritto</w:t>
      </w:r>
      <w:r>
        <w:rPr>
          <w:i/>
          <w:color w:val="231F20"/>
          <w:spacing w:val="-4"/>
          <w:sz w:val="24"/>
        </w:rPr>
        <w:t> </w:t>
      </w:r>
      <w:r>
        <w:rPr>
          <w:i/>
          <w:color w:val="231F20"/>
          <w:sz w:val="24"/>
        </w:rPr>
        <w:t>di</w:t>
      </w:r>
      <w:r>
        <w:rPr>
          <w:i/>
          <w:color w:val="231F20"/>
          <w:spacing w:val="-4"/>
          <w:sz w:val="24"/>
        </w:rPr>
        <w:t> </w:t>
      </w:r>
      <w:r>
        <w:rPr>
          <w:i/>
          <w:color w:val="231F20"/>
          <w:sz w:val="24"/>
        </w:rPr>
        <w:t>accesso,</w:t>
      </w:r>
      <w:r>
        <w:rPr>
          <w:i/>
          <w:color w:val="231F20"/>
          <w:spacing w:val="-4"/>
          <w:sz w:val="24"/>
        </w:rPr>
        <w:t> </w:t>
      </w:r>
      <w:r>
        <w:rPr>
          <w:i/>
          <w:color w:val="231F20"/>
          <w:sz w:val="24"/>
        </w:rPr>
        <w:t>da</w:t>
      </w:r>
      <w:r>
        <w:rPr>
          <w:i/>
          <w:color w:val="231F20"/>
          <w:spacing w:val="-4"/>
          <w:sz w:val="24"/>
        </w:rPr>
        <w:t> </w:t>
      </w:r>
      <w:r>
        <w:rPr>
          <w:i/>
          <w:color w:val="231F20"/>
          <w:sz w:val="24"/>
        </w:rPr>
        <w:t>parte</w:t>
      </w:r>
      <w:r>
        <w:rPr>
          <w:i/>
          <w:color w:val="231F20"/>
          <w:spacing w:val="-4"/>
          <w:sz w:val="24"/>
        </w:rPr>
        <w:t> </w:t>
      </w:r>
      <w:r>
        <w:rPr>
          <w:i/>
          <w:color w:val="231F20"/>
          <w:sz w:val="24"/>
        </w:rPr>
        <w:t>del</w:t>
      </w:r>
      <w:r>
        <w:rPr>
          <w:i/>
          <w:color w:val="231F20"/>
          <w:spacing w:val="-4"/>
          <w:sz w:val="24"/>
        </w:rPr>
        <w:t> </w:t>
      </w:r>
      <w:r>
        <w:rPr>
          <w:i/>
          <w:color w:val="231F20"/>
          <w:sz w:val="24"/>
        </w:rPr>
        <w:t>giudice</w:t>
      </w:r>
      <w:r>
        <w:rPr>
          <w:i/>
          <w:color w:val="231F20"/>
          <w:spacing w:val="-4"/>
          <w:sz w:val="24"/>
        </w:rPr>
        <w:t> </w:t>
      </w:r>
      <w:r>
        <w:rPr>
          <w:i/>
          <w:color w:val="231F20"/>
          <w:sz w:val="24"/>
        </w:rPr>
        <w:t>competente</w:t>
      </w:r>
      <w:r>
        <w:rPr>
          <w:i/>
          <w:color w:val="231F20"/>
          <w:spacing w:val="-4"/>
          <w:sz w:val="24"/>
        </w:rPr>
        <w:t> </w:t>
      </w:r>
      <w:r>
        <w:rPr>
          <w:i/>
          <w:color w:val="231F20"/>
          <w:sz w:val="24"/>
        </w:rPr>
        <w:t>e</w:t>
      </w:r>
      <w:r>
        <w:rPr>
          <w:i/>
          <w:color w:val="231F20"/>
          <w:spacing w:val="-4"/>
          <w:sz w:val="24"/>
        </w:rPr>
        <w:t> </w:t>
      </w:r>
      <w:r>
        <w:rPr>
          <w:i/>
          <w:color w:val="231F20"/>
          <w:sz w:val="24"/>
        </w:rPr>
        <w:t>del</w:t>
      </w:r>
      <w:r>
        <w:rPr>
          <w:i/>
          <w:color w:val="231F20"/>
          <w:spacing w:val="-4"/>
          <w:sz w:val="24"/>
        </w:rPr>
        <w:t> </w:t>
      </w:r>
      <w:r>
        <w:rPr>
          <w:i/>
          <w:color w:val="231F20"/>
          <w:sz w:val="24"/>
        </w:rPr>
        <w:t>soggetto</w:t>
      </w:r>
      <w:r>
        <w:rPr>
          <w:i/>
          <w:color w:val="231F20"/>
          <w:sz w:val="24"/>
        </w:rPr>
        <w:t> detentore delle informazioni, alla richiesta dell’autorità richiedente</w:t>
      </w:r>
    </w:p>
    <w:p>
      <w:pPr>
        <w:pStyle w:val="BodyText"/>
        <w:spacing w:line="225" w:lineRule="auto" w:before="172"/>
        <w:ind w:left="157" w:right="118"/>
        <w:jc w:val="both"/>
      </w:pPr>
      <w:r>
        <w:rPr>
          <w:color w:val="231F20"/>
        </w:rPr>
        <w:t>L’ultimo quesito interpretativo posto alla Corte di giustizia dalla Corte amministrativa</w:t>
      </w:r>
      <w:r>
        <w:rPr>
          <w:color w:val="231F20"/>
          <w:spacing w:val="-6"/>
        </w:rPr>
        <w:t> </w:t>
      </w:r>
      <w:r>
        <w:rPr>
          <w:color w:val="231F20"/>
        </w:rPr>
        <w:t>d’appello</w:t>
      </w:r>
      <w:r>
        <w:rPr>
          <w:color w:val="231F20"/>
          <w:spacing w:val="-6"/>
        </w:rPr>
        <w:t> </w:t>
      </w:r>
      <w:r>
        <w:rPr>
          <w:color w:val="231F20"/>
        </w:rPr>
        <w:t>del</w:t>
      </w:r>
      <w:r>
        <w:rPr>
          <w:color w:val="231F20"/>
          <w:spacing w:val="-6"/>
        </w:rPr>
        <w:t> </w:t>
      </w:r>
      <w:r>
        <w:rPr>
          <w:color w:val="231F20"/>
        </w:rPr>
        <w:t>Lussemburgo</w:t>
      </w:r>
      <w:r>
        <w:rPr>
          <w:color w:val="231F20"/>
          <w:spacing w:val="40"/>
        </w:rPr>
        <w:t> </w:t>
      </w:r>
      <w:r>
        <w:rPr>
          <w:color w:val="231F20"/>
        </w:rPr>
        <w:t>ha</w:t>
      </w:r>
      <w:r>
        <w:rPr>
          <w:color w:val="231F20"/>
          <w:spacing w:val="-6"/>
        </w:rPr>
        <w:t> </w:t>
      </w:r>
      <w:r>
        <w:rPr>
          <w:color w:val="231F20"/>
        </w:rPr>
        <w:t>riguardato</w:t>
      </w:r>
      <w:r>
        <w:rPr>
          <w:color w:val="231F20"/>
          <w:spacing w:val="-6"/>
        </w:rPr>
        <w:t> </w:t>
      </w:r>
      <w:r>
        <w:rPr>
          <w:color w:val="231F20"/>
        </w:rPr>
        <w:t>l’interpretazione dell’art.</w:t>
      </w:r>
      <w:r>
        <w:rPr>
          <w:color w:val="231F20"/>
          <w:spacing w:val="-15"/>
        </w:rPr>
        <w:t> </w:t>
      </w:r>
      <w:r>
        <w:rPr>
          <w:color w:val="231F20"/>
        </w:rPr>
        <w:t>47,</w:t>
      </w:r>
      <w:r>
        <w:rPr>
          <w:color w:val="231F20"/>
          <w:spacing w:val="-15"/>
        </w:rPr>
        <w:t> </w:t>
      </w:r>
      <w:r>
        <w:rPr>
          <w:color w:val="231F20"/>
        </w:rPr>
        <w:t>secondo</w:t>
      </w:r>
      <w:r>
        <w:rPr>
          <w:color w:val="231F20"/>
          <w:spacing w:val="-15"/>
        </w:rPr>
        <w:t> </w:t>
      </w:r>
      <w:r>
        <w:rPr>
          <w:color w:val="231F20"/>
        </w:rPr>
        <w:t>comma,</w:t>
      </w:r>
      <w:r>
        <w:rPr>
          <w:color w:val="231F20"/>
          <w:spacing w:val="-15"/>
        </w:rPr>
        <w:t> </w:t>
      </w:r>
      <w:r>
        <w:rPr>
          <w:color w:val="231F20"/>
        </w:rPr>
        <w:t>della</w:t>
      </w:r>
      <w:r>
        <w:rPr>
          <w:color w:val="231F20"/>
          <w:spacing w:val="-15"/>
        </w:rPr>
        <w:t> </w:t>
      </w:r>
      <w:r>
        <w:rPr>
          <w:color w:val="231F20"/>
        </w:rPr>
        <w:t>Carta</w:t>
      </w:r>
      <w:r>
        <w:rPr>
          <w:color w:val="231F20"/>
          <w:spacing w:val="-15"/>
        </w:rPr>
        <w:t> </w:t>
      </w:r>
      <w:r>
        <w:rPr>
          <w:color w:val="231F20"/>
        </w:rPr>
        <w:t>dei</w:t>
      </w:r>
      <w:r>
        <w:rPr>
          <w:color w:val="231F20"/>
          <w:spacing w:val="-15"/>
        </w:rPr>
        <w:t> </w:t>
      </w:r>
      <w:r>
        <w:rPr>
          <w:color w:val="231F20"/>
        </w:rPr>
        <w:t>diritti</w:t>
      </w:r>
      <w:r>
        <w:rPr>
          <w:color w:val="231F20"/>
          <w:spacing w:val="-15"/>
        </w:rPr>
        <w:t> </w:t>
      </w:r>
      <w:r>
        <w:rPr>
          <w:color w:val="231F20"/>
        </w:rPr>
        <w:t>fondamentali</w:t>
      </w:r>
      <w:r>
        <w:rPr>
          <w:color w:val="231F20"/>
          <w:spacing w:val="-15"/>
        </w:rPr>
        <w:t> </w:t>
      </w:r>
      <w:r>
        <w:rPr>
          <w:color w:val="231F20"/>
        </w:rPr>
        <w:t>(diritto</w:t>
      </w:r>
      <w:r>
        <w:rPr>
          <w:color w:val="231F20"/>
          <w:spacing w:val="-15"/>
        </w:rPr>
        <w:t> </w:t>
      </w:r>
      <w:r>
        <w:rPr>
          <w:color w:val="231F20"/>
        </w:rPr>
        <w:t>ad un</w:t>
      </w:r>
      <w:r>
        <w:rPr>
          <w:color w:val="231F20"/>
          <w:spacing w:val="-1"/>
        </w:rPr>
        <w:t> </w:t>
      </w:r>
      <w:r>
        <w:rPr>
          <w:color w:val="231F20"/>
        </w:rPr>
        <w:t>«equo</w:t>
      </w:r>
      <w:r>
        <w:rPr>
          <w:color w:val="231F20"/>
          <w:spacing w:val="-1"/>
        </w:rPr>
        <w:t> </w:t>
      </w:r>
      <w:r>
        <w:rPr>
          <w:color w:val="231F20"/>
        </w:rPr>
        <w:t>processo»)</w:t>
      </w:r>
      <w:r>
        <w:rPr>
          <w:rFonts w:ascii="Times New Roman" w:hAnsi="Times New Roman"/>
          <w:color w:val="231F20"/>
          <w:position w:val="8"/>
          <w:sz w:val="14"/>
        </w:rPr>
        <w:t>85</w:t>
      </w:r>
      <w:r>
        <w:rPr>
          <w:rFonts w:ascii="Times New Roman" w:hAnsi="Times New Roman"/>
          <w:color w:val="231F20"/>
          <w:spacing w:val="24"/>
          <w:position w:val="8"/>
          <w:sz w:val="14"/>
        </w:rPr>
        <w:t> </w:t>
      </w:r>
      <w:r>
        <w:rPr>
          <w:color w:val="231F20"/>
        </w:rPr>
        <w:t>in</w:t>
      </w:r>
      <w:r>
        <w:rPr>
          <w:color w:val="231F20"/>
          <w:spacing w:val="-1"/>
        </w:rPr>
        <w:t> </w:t>
      </w:r>
      <w:r>
        <w:rPr>
          <w:color w:val="231F20"/>
        </w:rPr>
        <w:t>relazione</w:t>
      </w:r>
      <w:r>
        <w:rPr>
          <w:color w:val="231F20"/>
          <w:spacing w:val="-1"/>
        </w:rPr>
        <w:t> </w:t>
      </w:r>
      <w:r>
        <w:rPr>
          <w:color w:val="231F20"/>
        </w:rPr>
        <w:t>al</w:t>
      </w:r>
      <w:r>
        <w:rPr>
          <w:color w:val="231F20"/>
          <w:spacing w:val="-1"/>
        </w:rPr>
        <w:t> </w:t>
      </w:r>
      <w:r>
        <w:rPr>
          <w:color w:val="231F20"/>
        </w:rPr>
        <w:t>problema</w:t>
      </w:r>
      <w:r>
        <w:rPr>
          <w:color w:val="231F20"/>
          <w:spacing w:val="-1"/>
        </w:rPr>
        <w:t> </w:t>
      </w:r>
      <w:r>
        <w:rPr>
          <w:color w:val="231F20"/>
        </w:rPr>
        <w:t>dell’accesso</w:t>
      </w:r>
      <w:r>
        <w:rPr>
          <w:color w:val="231F20"/>
          <w:spacing w:val="-1"/>
        </w:rPr>
        <w:t> </w:t>
      </w:r>
      <w:r>
        <w:rPr>
          <w:color w:val="231F20"/>
        </w:rPr>
        <w:t>alla</w:t>
      </w:r>
      <w:r>
        <w:rPr>
          <w:color w:val="231F20"/>
          <w:spacing w:val="-1"/>
        </w:rPr>
        <w:t> </w:t>
      </w:r>
      <w:r>
        <w:rPr>
          <w:color w:val="231F20"/>
        </w:rPr>
        <w:t>richiesta</w:t>
      </w:r>
      <w:r>
        <w:rPr>
          <w:color w:val="231F20"/>
          <w:spacing w:val="-1"/>
        </w:rPr>
        <w:t> </w:t>
      </w:r>
      <w:r>
        <w:rPr>
          <w:color w:val="231F20"/>
        </w:rPr>
        <w:t>di informazioni</w:t>
      </w:r>
      <w:r>
        <w:rPr>
          <w:color w:val="231F20"/>
          <w:spacing w:val="-9"/>
        </w:rPr>
        <w:t> </w:t>
      </w:r>
      <w:r>
        <w:rPr>
          <w:color w:val="231F20"/>
        </w:rPr>
        <w:t>trasmessa</w:t>
      </w:r>
      <w:r>
        <w:rPr>
          <w:color w:val="231F20"/>
          <w:spacing w:val="-9"/>
        </w:rPr>
        <w:t> </w:t>
      </w:r>
      <w:r>
        <w:rPr>
          <w:color w:val="231F20"/>
        </w:rPr>
        <w:t>dallo</w:t>
      </w:r>
      <w:r>
        <w:rPr>
          <w:color w:val="231F20"/>
          <w:spacing w:val="-9"/>
        </w:rPr>
        <w:t> </w:t>
      </w:r>
      <w:r>
        <w:rPr>
          <w:color w:val="231F20"/>
        </w:rPr>
        <w:t>Stato</w:t>
      </w:r>
      <w:r>
        <w:rPr>
          <w:color w:val="231F20"/>
          <w:spacing w:val="-9"/>
        </w:rPr>
        <w:t> </w:t>
      </w:r>
      <w:r>
        <w:rPr>
          <w:color w:val="231F20"/>
        </w:rPr>
        <w:t>membro</w:t>
      </w:r>
      <w:r>
        <w:rPr>
          <w:color w:val="231F20"/>
          <w:spacing w:val="-9"/>
        </w:rPr>
        <w:t> </w:t>
      </w:r>
      <w:r>
        <w:rPr>
          <w:color w:val="231F20"/>
        </w:rPr>
        <w:t>richiedente</w:t>
      </w:r>
      <w:r>
        <w:rPr>
          <w:color w:val="231F20"/>
          <w:spacing w:val="-9"/>
        </w:rPr>
        <w:t> </w:t>
      </w:r>
      <w:r>
        <w:rPr>
          <w:color w:val="231F20"/>
        </w:rPr>
        <w:t>allo</w:t>
      </w:r>
      <w:r>
        <w:rPr>
          <w:color w:val="231F20"/>
          <w:spacing w:val="-9"/>
        </w:rPr>
        <w:t> </w:t>
      </w:r>
      <w:r>
        <w:rPr>
          <w:color w:val="231F20"/>
        </w:rPr>
        <w:t>Stato</w:t>
      </w:r>
      <w:r>
        <w:rPr>
          <w:color w:val="231F20"/>
          <w:spacing w:val="-9"/>
        </w:rPr>
        <w:t> </w:t>
      </w:r>
      <w:r>
        <w:rPr>
          <w:color w:val="231F20"/>
        </w:rPr>
        <w:t>membro interpellato,</w:t>
      </w:r>
      <w:r>
        <w:rPr>
          <w:color w:val="231F20"/>
          <w:spacing w:val="-4"/>
        </w:rPr>
        <w:t> </w:t>
      </w:r>
      <w:r>
        <w:rPr>
          <w:color w:val="231F20"/>
        </w:rPr>
        <w:t>accesso</w:t>
      </w:r>
      <w:r>
        <w:rPr>
          <w:color w:val="231F20"/>
          <w:spacing w:val="-4"/>
        </w:rPr>
        <w:t> </w:t>
      </w:r>
      <w:r>
        <w:rPr>
          <w:color w:val="231F20"/>
        </w:rPr>
        <w:t>da</w:t>
      </w:r>
      <w:r>
        <w:rPr>
          <w:color w:val="231F20"/>
          <w:spacing w:val="-4"/>
        </w:rPr>
        <w:t> </w:t>
      </w:r>
      <w:r>
        <w:rPr>
          <w:color w:val="231F20"/>
        </w:rPr>
        <w:t>intendere:</w:t>
      </w:r>
      <w:r>
        <w:rPr>
          <w:color w:val="231F20"/>
          <w:spacing w:val="-4"/>
        </w:rPr>
        <w:t> </w:t>
      </w:r>
      <w:r>
        <w:rPr>
          <w:color w:val="231F20"/>
        </w:rPr>
        <w:t>sia</w:t>
      </w:r>
      <w:r>
        <w:rPr>
          <w:color w:val="231F20"/>
          <w:spacing w:val="-4"/>
        </w:rPr>
        <w:t> </w:t>
      </w:r>
      <w:r>
        <w:rPr>
          <w:color w:val="231F20"/>
        </w:rPr>
        <w:t>da</w:t>
      </w:r>
      <w:r>
        <w:rPr>
          <w:color w:val="231F20"/>
          <w:spacing w:val="-4"/>
        </w:rPr>
        <w:t> </w:t>
      </w:r>
      <w:r>
        <w:rPr>
          <w:color w:val="231F20"/>
        </w:rPr>
        <w:t>parte</w:t>
      </w:r>
      <w:r>
        <w:rPr>
          <w:color w:val="231F20"/>
          <w:spacing w:val="-4"/>
        </w:rPr>
        <w:t> </w:t>
      </w:r>
      <w:r>
        <w:rPr>
          <w:color w:val="231F20"/>
        </w:rPr>
        <w:t>del</w:t>
      </w:r>
      <w:r>
        <w:rPr>
          <w:color w:val="231F20"/>
          <w:spacing w:val="-4"/>
        </w:rPr>
        <w:t> </w:t>
      </w:r>
      <w:r>
        <w:rPr>
          <w:color w:val="231F20"/>
        </w:rPr>
        <w:t>giudice</w:t>
      </w:r>
      <w:r>
        <w:rPr>
          <w:color w:val="231F20"/>
          <w:spacing w:val="-4"/>
        </w:rPr>
        <w:t> </w:t>
      </w:r>
      <w:r>
        <w:rPr>
          <w:color w:val="231F20"/>
        </w:rPr>
        <w:t>nazionale,</w:t>
      </w:r>
      <w:r>
        <w:rPr>
          <w:color w:val="231F20"/>
          <w:spacing w:val="-4"/>
        </w:rPr>
        <w:t> </w:t>
      </w:r>
      <w:r>
        <w:rPr>
          <w:color w:val="231F20"/>
        </w:rPr>
        <w:t>ai</w:t>
      </w:r>
      <w:r>
        <w:rPr>
          <w:color w:val="231F20"/>
          <w:spacing w:val="-4"/>
        </w:rPr>
        <w:t> </w:t>
      </w:r>
      <w:r>
        <w:rPr>
          <w:color w:val="231F20"/>
        </w:rPr>
        <w:t>fini della</w:t>
      </w:r>
      <w:r>
        <w:rPr>
          <w:color w:val="231F20"/>
          <w:spacing w:val="-8"/>
        </w:rPr>
        <w:t> </w:t>
      </w:r>
      <w:r>
        <w:rPr>
          <w:color w:val="231F20"/>
        </w:rPr>
        <w:t>decisione</w:t>
      </w:r>
      <w:r>
        <w:rPr>
          <w:color w:val="231F20"/>
          <w:spacing w:val="-8"/>
        </w:rPr>
        <w:t> </w:t>
      </w:r>
      <w:r>
        <w:rPr>
          <w:color w:val="231F20"/>
        </w:rPr>
        <w:t>del</w:t>
      </w:r>
      <w:r>
        <w:rPr>
          <w:color w:val="231F20"/>
          <w:spacing w:val="-8"/>
        </w:rPr>
        <w:t> </w:t>
      </w:r>
      <w:r>
        <w:rPr>
          <w:color w:val="231F20"/>
        </w:rPr>
        <w:t>ricorso</w:t>
      </w:r>
      <w:r>
        <w:rPr>
          <w:color w:val="231F20"/>
          <w:spacing w:val="-8"/>
        </w:rPr>
        <w:t> </w:t>
      </w:r>
      <w:r>
        <w:rPr>
          <w:color w:val="231F20"/>
        </w:rPr>
        <w:t>contro</w:t>
      </w:r>
      <w:r>
        <w:rPr>
          <w:color w:val="231F20"/>
          <w:spacing w:val="-8"/>
        </w:rPr>
        <w:t> </w:t>
      </w:r>
      <w:r>
        <w:rPr>
          <w:color w:val="231F20"/>
        </w:rPr>
        <w:t>il</w:t>
      </w:r>
      <w:r>
        <w:rPr>
          <w:color w:val="231F20"/>
          <w:spacing w:val="-8"/>
        </w:rPr>
        <w:t> </w:t>
      </w:r>
      <w:r>
        <w:rPr>
          <w:color w:val="231F20"/>
        </w:rPr>
        <w:t>provvedimento</w:t>
      </w:r>
      <w:r>
        <w:rPr>
          <w:color w:val="231F20"/>
          <w:spacing w:val="-8"/>
        </w:rPr>
        <w:t> </w:t>
      </w:r>
      <w:r>
        <w:rPr>
          <w:color w:val="231F20"/>
        </w:rPr>
        <w:t>sanzionatorio</w:t>
      </w:r>
      <w:r>
        <w:rPr>
          <w:color w:val="231F20"/>
          <w:spacing w:val="-8"/>
        </w:rPr>
        <w:t> </w:t>
      </w:r>
      <w:r>
        <w:rPr>
          <w:color w:val="231F20"/>
        </w:rPr>
        <w:t>presenta- to</w:t>
      </w:r>
      <w:r>
        <w:rPr>
          <w:color w:val="231F20"/>
          <w:spacing w:val="-1"/>
        </w:rPr>
        <w:t> </w:t>
      </w:r>
      <w:r>
        <w:rPr>
          <w:color w:val="231F20"/>
        </w:rPr>
        <w:t>dal</w:t>
      </w:r>
      <w:r>
        <w:rPr>
          <w:color w:val="231F20"/>
          <w:spacing w:val="-1"/>
        </w:rPr>
        <w:t> </w:t>
      </w:r>
      <w:r>
        <w:rPr>
          <w:color w:val="231F20"/>
        </w:rPr>
        <w:t>detentore</w:t>
      </w:r>
      <w:r>
        <w:rPr>
          <w:color w:val="231F20"/>
          <w:spacing w:val="-1"/>
        </w:rPr>
        <w:t> </w:t>
      </w:r>
      <w:r>
        <w:rPr>
          <w:color w:val="231F20"/>
        </w:rPr>
        <w:t>delle</w:t>
      </w:r>
      <w:r>
        <w:rPr>
          <w:color w:val="231F20"/>
          <w:spacing w:val="-1"/>
        </w:rPr>
        <w:t> </w:t>
      </w:r>
      <w:r>
        <w:rPr>
          <w:color w:val="231F20"/>
        </w:rPr>
        <w:t>informazioni</w:t>
      </w:r>
      <w:r>
        <w:rPr>
          <w:color w:val="231F20"/>
          <w:spacing w:val="-1"/>
        </w:rPr>
        <w:t> </w:t>
      </w:r>
      <w:r>
        <w:rPr>
          <w:color w:val="231F20"/>
        </w:rPr>
        <w:t>richieste,</w:t>
      </w:r>
      <w:r>
        <w:rPr>
          <w:color w:val="231F20"/>
          <w:spacing w:val="-1"/>
        </w:rPr>
        <w:t> </w:t>
      </w:r>
      <w:r>
        <w:rPr>
          <w:color w:val="231F20"/>
        </w:rPr>
        <w:t>sia</w:t>
      </w:r>
      <w:r>
        <w:rPr>
          <w:color w:val="231F20"/>
          <w:spacing w:val="-1"/>
        </w:rPr>
        <w:t> </w:t>
      </w:r>
      <w:r>
        <w:rPr>
          <w:color w:val="231F20"/>
        </w:rPr>
        <w:t>da</w:t>
      </w:r>
      <w:r>
        <w:rPr>
          <w:color w:val="231F20"/>
          <w:spacing w:val="-1"/>
        </w:rPr>
        <w:t> </w:t>
      </w:r>
      <w:r>
        <w:rPr>
          <w:color w:val="231F20"/>
        </w:rPr>
        <w:t>parte</w:t>
      </w:r>
      <w:r>
        <w:rPr>
          <w:color w:val="231F20"/>
          <w:spacing w:val="-1"/>
        </w:rPr>
        <w:t> </w:t>
      </w:r>
      <w:r>
        <w:rPr>
          <w:color w:val="231F20"/>
        </w:rPr>
        <w:t>di</w:t>
      </w:r>
      <w:r>
        <w:rPr>
          <w:color w:val="231F20"/>
          <w:spacing w:val="-1"/>
        </w:rPr>
        <w:t> </w:t>
      </w:r>
      <w:r>
        <w:rPr>
          <w:color w:val="231F20"/>
        </w:rPr>
        <w:t>tale</w:t>
      </w:r>
      <w:r>
        <w:rPr>
          <w:color w:val="231F20"/>
          <w:spacing w:val="-1"/>
        </w:rPr>
        <w:t> </w:t>
      </w:r>
      <w:r>
        <w:rPr>
          <w:color w:val="231F20"/>
        </w:rPr>
        <w:t>medesimo soggetto</w:t>
      </w:r>
      <w:r>
        <w:rPr>
          <w:color w:val="231F20"/>
          <w:spacing w:val="-3"/>
        </w:rPr>
        <w:t> </w:t>
      </w:r>
      <w:r>
        <w:rPr>
          <w:color w:val="231F20"/>
        </w:rPr>
        <w:t>detentore</w:t>
      </w:r>
      <w:r>
        <w:rPr>
          <w:color w:val="231F20"/>
          <w:spacing w:val="-3"/>
        </w:rPr>
        <w:t> </w:t>
      </w:r>
      <w:r>
        <w:rPr>
          <w:color w:val="231F20"/>
        </w:rPr>
        <w:t>delle</w:t>
      </w:r>
      <w:r>
        <w:rPr>
          <w:color w:val="231F20"/>
          <w:spacing w:val="-3"/>
        </w:rPr>
        <w:t> </w:t>
      </w:r>
      <w:r>
        <w:rPr>
          <w:color w:val="231F20"/>
        </w:rPr>
        <w:t>informazioni,</w:t>
      </w:r>
      <w:r>
        <w:rPr>
          <w:color w:val="231F20"/>
          <w:spacing w:val="-3"/>
        </w:rPr>
        <w:t> </w:t>
      </w:r>
      <w:r>
        <w:rPr>
          <w:color w:val="231F20"/>
        </w:rPr>
        <w:t>ai</w:t>
      </w:r>
      <w:r>
        <w:rPr>
          <w:color w:val="231F20"/>
          <w:spacing w:val="-3"/>
        </w:rPr>
        <w:t> </w:t>
      </w:r>
      <w:r>
        <w:rPr>
          <w:color w:val="231F20"/>
        </w:rPr>
        <w:t>fini</w:t>
      </w:r>
      <w:r>
        <w:rPr>
          <w:color w:val="231F20"/>
          <w:spacing w:val="-3"/>
        </w:rPr>
        <w:t> </w:t>
      </w:r>
      <w:r>
        <w:rPr>
          <w:color w:val="231F20"/>
        </w:rPr>
        <w:t>della</w:t>
      </w:r>
      <w:r>
        <w:rPr>
          <w:color w:val="231F20"/>
          <w:spacing w:val="-3"/>
        </w:rPr>
        <w:t> </w:t>
      </w:r>
      <w:r>
        <w:rPr>
          <w:color w:val="231F20"/>
        </w:rPr>
        <w:t>propria</w:t>
      </w:r>
      <w:r>
        <w:rPr>
          <w:color w:val="231F20"/>
          <w:spacing w:val="-3"/>
        </w:rPr>
        <w:t> </w:t>
      </w:r>
      <w:r>
        <w:rPr>
          <w:color w:val="231F20"/>
        </w:rPr>
        <w:t>«equa»</w:t>
      </w:r>
      <w:r>
        <w:rPr>
          <w:color w:val="231F20"/>
          <w:spacing w:val="-3"/>
        </w:rPr>
        <w:t> </w:t>
      </w:r>
      <w:r>
        <w:rPr>
          <w:color w:val="231F20"/>
        </w:rPr>
        <w:t>difesa</w:t>
      </w:r>
      <w:r>
        <w:rPr>
          <w:color w:val="231F20"/>
          <w:spacing w:val="-3"/>
        </w:rPr>
        <w:t> </w:t>
      </w:r>
      <w:r>
        <w:rPr>
          <w:color w:val="231F20"/>
        </w:rPr>
        <w:t>in giudizio. La risposta dei giudici dell’Unione a tale quesito interpretativo è stata duplice e differente nelle due ipotesi. Per quanto riguarda il giudice nazionale chiamato a decidere sulla legittimità del provvedimento sanzio- natorio adottato dall’amministrazione finanziaria interpellata, la Corte ha riconosciuto a detto giudice un diritto pieno di disporre della richiesta di informazioni trasmessa dallo Stato membro richiedente allo Stato mem- bro</w:t>
      </w:r>
      <w:r>
        <w:rPr>
          <w:color w:val="231F20"/>
          <w:spacing w:val="31"/>
        </w:rPr>
        <w:t> </w:t>
      </w:r>
      <w:r>
        <w:rPr>
          <w:color w:val="231F20"/>
        </w:rPr>
        <w:t>interpellato.</w:t>
      </w:r>
      <w:r>
        <w:rPr>
          <w:color w:val="231F20"/>
          <w:spacing w:val="31"/>
        </w:rPr>
        <w:t> </w:t>
      </w:r>
      <w:r>
        <w:rPr>
          <w:color w:val="231F20"/>
        </w:rPr>
        <w:t>Anzi,</w:t>
      </w:r>
      <w:r>
        <w:rPr>
          <w:color w:val="231F20"/>
          <w:spacing w:val="31"/>
        </w:rPr>
        <w:t> </w:t>
      </w:r>
      <w:r>
        <w:rPr>
          <w:color w:val="231F20"/>
        </w:rPr>
        <w:t>al</w:t>
      </w:r>
      <w:r>
        <w:rPr>
          <w:color w:val="231F20"/>
          <w:spacing w:val="31"/>
        </w:rPr>
        <w:t> </w:t>
      </w:r>
      <w:r>
        <w:rPr>
          <w:color w:val="231F20"/>
        </w:rPr>
        <w:t>fine</w:t>
      </w:r>
      <w:r>
        <w:rPr>
          <w:color w:val="231F20"/>
          <w:spacing w:val="31"/>
        </w:rPr>
        <w:t> </w:t>
      </w:r>
      <w:r>
        <w:rPr>
          <w:color w:val="231F20"/>
        </w:rPr>
        <w:t>di</w:t>
      </w:r>
      <w:r>
        <w:rPr>
          <w:color w:val="231F20"/>
          <w:spacing w:val="31"/>
        </w:rPr>
        <w:t> </w:t>
      </w:r>
      <w:r>
        <w:rPr>
          <w:color w:val="231F20"/>
        </w:rPr>
        <w:t>valutare</w:t>
      </w:r>
      <w:r>
        <w:rPr>
          <w:color w:val="231F20"/>
          <w:spacing w:val="31"/>
        </w:rPr>
        <w:t> </w:t>
      </w:r>
      <w:r>
        <w:rPr>
          <w:color w:val="231F20"/>
        </w:rPr>
        <w:t>la</w:t>
      </w:r>
      <w:r>
        <w:rPr>
          <w:color w:val="231F20"/>
          <w:spacing w:val="31"/>
        </w:rPr>
        <w:t> </w:t>
      </w:r>
      <w:r>
        <w:rPr>
          <w:color w:val="231F20"/>
        </w:rPr>
        <w:t>«manifesta</w:t>
      </w:r>
      <w:r>
        <w:rPr>
          <w:color w:val="231F20"/>
          <w:spacing w:val="31"/>
        </w:rPr>
        <w:t> </w:t>
      </w:r>
      <w:r>
        <w:rPr>
          <w:color w:val="231F20"/>
        </w:rPr>
        <w:t>carenza</w:t>
      </w:r>
      <w:r>
        <w:rPr>
          <w:color w:val="231F20"/>
          <w:spacing w:val="31"/>
        </w:rPr>
        <w:t> </w:t>
      </w:r>
      <w:r>
        <w:rPr>
          <w:color w:val="231F20"/>
        </w:rPr>
        <w:t>di</w:t>
      </w:r>
      <w:r>
        <w:rPr>
          <w:color w:val="231F20"/>
          <w:spacing w:val="31"/>
        </w:rPr>
        <w:t> </w:t>
      </w:r>
      <w:r>
        <w:rPr>
          <w:color w:val="231F20"/>
          <w:spacing w:val="-2"/>
        </w:rPr>
        <w:t>perti-</w:t>
      </w:r>
    </w:p>
    <w:p>
      <w:pPr>
        <w:pStyle w:val="BodyText"/>
        <w:spacing w:before="57"/>
        <w:rPr>
          <w:sz w:val="20"/>
        </w:rPr>
      </w:pPr>
      <w:r>
        <w:rPr/>
        <mc:AlternateContent>
          <mc:Choice Requires="wps">
            <w:drawing>
              <wp:anchor distT="0" distB="0" distL="0" distR="0" allowOverlap="1" layoutInCell="1" locked="0" behindDoc="1" simplePos="0" relativeHeight="487620608">
                <wp:simplePos x="0" y="0"/>
                <wp:positionH relativeFrom="page">
                  <wp:posOffset>899999</wp:posOffset>
                </wp:positionH>
                <wp:positionV relativeFrom="paragraph">
                  <wp:posOffset>213030</wp:posOffset>
                </wp:positionV>
                <wp:extent cx="792480" cy="1270"/>
                <wp:effectExtent l="0" t="0" r="0" b="0"/>
                <wp:wrapTopAndBottom/>
                <wp:docPr id="115" name="Graphic 115"/>
                <wp:cNvGraphicFramePr>
                  <a:graphicFrameLocks/>
                </wp:cNvGraphicFramePr>
                <a:graphic>
                  <a:graphicData uri="http://schemas.microsoft.com/office/word/2010/wordprocessingShape">
                    <wps:wsp>
                      <wps:cNvPr id="115" name="Graphic 115"/>
                      <wps:cNvSpPr/>
                      <wps:spPr>
                        <a:xfrm>
                          <a:off x="0" y="0"/>
                          <a:ext cx="792480" cy="1270"/>
                        </a:xfrm>
                        <a:custGeom>
                          <a:avLst/>
                          <a:gdLst/>
                          <a:ahLst/>
                          <a:cxnLst/>
                          <a:rect l="l" t="t" r="r" b="b"/>
                          <a:pathLst>
                            <a:path w="792480" h="0">
                              <a:moveTo>
                                <a:pt x="0" y="0"/>
                              </a:moveTo>
                              <a:lnTo>
                                <a:pt x="791997"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shape style="position:absolute;margin-left:70.866096pt;margin-top:16.774059pt;width:62.4pt;height:.1pt;mso-position-horizontal-relative:page;mso-position-vertical-relative:paragraph;z-index:-15695872;mso-wrap-distance-left:0;mso-wrap-distance-right:0" id="docshape95" coordorigin="1417,335" coordsize="1248,0" path="m1417,335l2665,335e" filled="false" stroked="true" strokeweight=".5pt" strokecolor="#231f20">
                <v:path arrowok="t"/>
                <v:stroke dashstyle="solid"/>
                <w10:wrap type="topAndBottom"/>
              </v:shape>
            </w:pict>
          </mc:Fallback>
        </mc:AlternateContent>
      </w:r>
    </w:p>
    <w:p>
      <w:pPr>
        <w:spacing w:line="225" w:lineRule="auto" w:before="201"/>
        <w:ind w:left="157" w:right="118" w:firstLine="0"/>
        <w:jc w:val="both"/>
        <w:rPr>
          <w:sz w:val="19"/>
        </w:rPr>
      </w:pPr>
      <w:r>
        <w:rPr>
          <w:color w:val="231F20"/>
          <w:position w:val="6"/>
          <w:sz w:val="11"/>
        </w:rPr>
        <w:t>84</w:t>
      </w:r>
      <w:r>
        <w:rPr>
          <w:color w:val="231F20"/>
          <w:spacing w:val="80"/>
          <w:position w:val="6"/>
          <w:sz w:val="11"/>
        </w:rPr>
        <w:t> </w:t>
      </w:r>
      <w:r>
        <w:rPr>
          <w:color w:val="231F20"/>
          <w:sz w:val="19"/>
        </w:rPr>
        <w:t>Corte</w:t>
      </w:r>
      <w:r>
        <w:rPr>
          <w:color w:val="231F20"/>
          <w:spacing w:val="-2"/>
          <w:sz w:val="19"/>
        </w:rPr>
        <w:t> </w:t>
      </w:r>
      <w:r>
        <w:rPr>
          <w:color w:val="231F20"/>
          <w:sz w:val="19"/>
        </w:rPr>
        <w:t>giust.</w:t>
      </w:r>
      <w:r>
        <w:rPr>
          <w:color w:val="231F20"/>
          <w:spacing w:val="-2"/>
          <w:sz w:val="19"/>
        </w:rPr>
        <w:t> </w:t>
      </w:r>
      <w:r>
        <w:rPr>
          <w:color w:val="231F20"/>
          <w:sz w:val="19"/>
        </w:rPr>
        <w:t>UE,</w:t>
      </w:r>
      <w:r>
        <w:rPr>
          <w:color w:val="231F20"/>
          <w:spacing w:val="-2"/>
          <w:sz w:val="19"/>
        </w:rPr>
        <w:t> </w:t>
      </w:r>
      <w:r>
        <w:rPr>
          <w:color w:val="231F20"/>
          <w:sz w:val="19"/>
        </w:rPr>
        <w:t>sent.</w:t>
      </w:r>
      <w:r>
        <w:rPr>
          <w:color w:val="231F20"/>
          <w:spacing w:val="-2"/>
          <w:sz w:val="19"/>
        </w:rPr>
        <w:t> </w:t>
      </w:r>
      <w:r>
        <w:rPr>
          <w:color w:val="231F20"/>
          <w:sz w:val="19"/>
        </w:rPr>
        <w:t>del</w:t>
      </w:r>
      <w:r>
        <w:rPr>
          <w:color w:val="231F20"/>
          <w:spacing w:val="-2"/>
          <w:sz w:val="19"/>
        </w:rPr>
        <w:t> </w:t>
      </w:r>
      <w:r>
        <w:rPr>
          <w:color w:val="231F20"/>
          <w:sz w:val="19"/>
        </w:rPr>
        <w:t>16</w:t>
      </w:r>
      <w:r>
        <w:rPr>
          <w:color w:val="231F20"/>
          <w:spacing w:val="-2"/>
          <w:sz w:val="19"/>
        </w:rPr>
        <w:t> </w:t>
      </w:r>
      <w:r>
        <w:rPr>
          <w:color w:val="231F20"/>
          <w:sz w:val="19"/>
        </w:rPr>
        <w:t>maggio</w:t>
      </w:r>
      <w:r>
        <w:rPr>
          <w:color w:val="231F20"/>
          <w:spacing w:val="-2"/>
          <w:sz w:val="19"/>
        </w:rPr>
        <w:t> </w:t>
      </w:r>
      <w:r>
        <w:rPr>
          <w:color w:val="231F20"/>
          <w:sz w:val="19"/>
        </w:rPr>
        <w:t>2017,</w:t>
      </w:r>
      <w:r>
        <w:rPr>
          <w:color w:val="231F20"/>
          <w:spacing w:val="-2"/>
          <w:sz w:val="19"/>
        </w:rPr>
        <w:t> </w:t>
      </w:r>
      <w:r>
        <w:rPr>
          <w:color w:val="231F20"/>
          <w:sz w:val="19"/>
        </w:rPr>
        <w:t>causa</w:t>
      </w:r>
      <w:r>
        <w:rPr>
          <w:color w:val="231F20"/>
          <w:spacing w:val="-2"/>
          <w:sz w:val="19"/>
        </w:rPr>
        <w:t> </w:t>
      </w:r>
      <w:r>
        <w:rPr>
          <w:color w:val="231F20"/>
          <w:sz w:val="19"/>
        </w:rPr>
        <w:t>C-682/15,</w:t>
      </w:r>
      <w:r>
        <w:rPr>
          <w:color w:val="231F20"/>
          <w:spacing w:val="-2"/>
          <w:sz w:val="19"/>
        </w:rPr>
        <w:t> </w:t>
      </w:r>
      <w:r>
        <w:rPr>
          <w:color w:val="231F20"/>
          <w:sz w:val="19"/>
        </w:rPr>
        <w:t>cit.,</w:t>
      </w:r>
      <w:r>
        <w:rPr>
          <w:color w:val="231F20"/>
          <w:spacing w:val="-2"/>
          <w:sz w:val="19"/>
        </w:rPr>
        <w:t> </w:t>
      </w:r>
      <w:r>
        <w:rPr>
          <w:color w:val="231F20"/>
          <w:sz w:val="19"/>
        </w:rPr>
        <w:t>punti</w:t>
      </w:r>
      <w:r>
        <w:rPr>
          <w:color w:val="231F20"/>
          <w:spacing w:val="-2"/>
          <w:sz w:val="19"/>
        </w:rPr>
        <w:t> </w:t>
      </w:r>
      <w:r>
        <w:rPr>
          <w:color w:val="231F20"/>
          <w:sz w:val="19"/>
        </w:rPr>
        <w:t>da</w:t>
      </w:r>
      <w:r>
        <w:rPr>
          <w:color w:val="231F20"/>
          <w:spacing w:val="-2"/>
          <w:sz w:val="19"/>
        </w:rPr>
        <w:t> </w:t>
      </w:r>
      <w:r>
        <w:rPr>
          <w:color w:val="231F20"/>
          <w:sz w:val="19"/>
        </w:rPr>
        <w:t>83</w:t>
      </w:r>
      <w:r>
        <w:rPr>
          <w:color w:val="231F20"/>
          <w:spacing w:val="-2"/>
          <w:sz w:val="19"/>
        </w:rPr>
        <w:t> </w:t>
      </w:r>
      <w:r>
        <w:rPr>
          <w:color w:val="231F20"/>
          <w:sz w:val="19"/>
        </w:rPr>
        <w:t>a</w:t>
      </w:r>
      <w:r>
        <w:rPr>
          <w:color w:val="231F20"/>
          <w:spacing w:val="-2"/>
          <w:sz w:val="19"/>
        </w:rPr>
        <w:t> </w:t>
      </w:r>
      <w:r>
        <w:rPr>
          <w:color w:val="231F20"/>
          <w:sz w:val="19"/>
        </w:rPr>
        <w:t>86.</w:t>
      </w:r>
      <w:r>
        <w:rPr>
          <w:color w:val="231F20"/>
          <w:spacing w:val="-2"/>
          <w:sz w:val="19"/>
        </w:rPr>
        <w:t> </w:t>
      </w:r>
      <w:r>
        <w:rPr>
          <w:color w:val="231F20"/>
          <w:sz w:val="19"/>
        </w:rPr>
        <w:t>Anche </w:t>
      </w:r>
      <w:r>
        <w:rPr>
          <w:color w:val="231F20"/>
          <w:spacing w:val="-2"/>
          <w:sz w:val="19"/>
        </w:rPr>
        <w:t>questo principio interpretativo della direttiva è stato ripreso nelle successive sentenze C-245/19, </w:t>
      </w:r>
      <w:r>
        <w:rPr>
          <w:color w:val="231F20"/>
          <w:sz w:val="19"/>
        </w:rPr>
        <w:t>punto</w:t>
      </w:r>
      <w:r>
        <w:rPr>
          <w:color w:val="231F20"/>
          <w:spacing w:val="-2"/>
          <w:sz w:val="19"/>
        </w:rPr>
        <w:t> </w:t>
      </w:r>
      <w:r>
        <w:rPr>
          <w:color w:val="231F20"/>
          <w:sz w:val="19"/>
        </w:rPr>
        <w:t>116</w:t>
      </w:r>
      <w:r>
        <w:rPr>
          <w:color w:val="231F20"/>
          <w:spacing w:val="-2"/>
          <w:sz w:val="19"/>
        </w:rPr>
        <w:t> </w:t>
      </w:r>
      <w:r>
        <w:rPr>
          <w:color w:val="231F20"/>
          <w:sz w:val="19"/>
        </w:rPr>
        <w:t>e</w:t>
      </w:r>
      <w:r>
        <w:rPr>
          <w:color w:val="231F20"/>
          <w:spacing w:val="-2"/>
          <w:sz w:val="19"/>
        </w:rPr>
        <w:t> </w:t>
      </w:r>
      <w:r>
        <w:rPr>
          <w:color w:val="231F20"/>
          <w:sz w:val="19"/>
        </w:rPr>
        <w:t>C-437/19,</w:t>
      </w:r>
      <w:r>
        <w:rPr>
          <w:color w:val="231F20"/>
          <w:spacing w:val="-2"/>
          <w:sz w:val="19"/>
        </w:rPr>
        <w:t> </w:t>
      </w:r>
      <w:r>
        <w:rPr>
          <w:color w:val="231F20"/>
          <w:sz w:val="19"/>
        </w:rPr>
        <w:t>punto</w:t>
      </w:r>
      <w:r>
        <w:rPr>
          <w:color w:val="231F20"/>
          <w:spacing w:val="-2"/>
          <w:sz w:val="19"/>
        </w:rPr>
        <w:t> </w:t>
      </w:r>
      <w:r>
        <w:rPr>
          <w:color w:val="231F20"/>
          <w:sz w:val="19"/>
        </w:rPr>
        <w:t>90.</w:t>
      </w:r>
      <w:r>
        <w:rPr>
          <w:color w:val="231F20"/>
          <w:spacing w:val="-2"/>
          <w:sz w:val="19"/>
        </w:rPr>
        <w:t> </w:t>
      </w:r>
      <w:r>
        <w:rPr>
          <w:color w:val="231F20"/>
          <w:sz w:val="19"/>
        </w:rPr>
        <w:t>Su</w:t>
      </w:r>
      <w:r>
        <w:rPr>
          <w:color w:val="231F20"/>
          <w:spacing w:val="-2"/>
          <w:sz w:val="19"/>
        </w:rPr>
        <w:t> </w:t>
      </w:r>
      <w:r>
        <w:rPr>
          <w:color w:val="231F20"/>
          <w:sz w:val="19"/>
        </w:rPr>
        <w:t>queste</w:t>
      </w:r>
      <w:r>
        <w:rPr>
          <w:color w:val="231F20"/>
          <w:spacing w:val="-2"/>
          <w:sz w:val="19"/>
        </w:rPr>
        <w:t> </w:t>
      </w:r>
      <w:r>
        <w:rPr>
          <w:color w:val="231F20"/>
          <w:sz w:val="19"/>
        </w:rPr>
        <w:t>ulteriori</w:t>
      </w:r>
      <w:r>
        <w:rPr>
          <w:color w:val="231F20"/>
          <w:spacing w:val="-2"/>
          <w:sz w:val="19"/>
        </w:rPr>
        <w:t> </w:t>
      </w:r>
      <w:r>
        <w:rPr>
          <w:color w:val="231F20"/>
          <w:sz w:val="19"/>
        </w:rPr>
        <w:t>motivazioni</w:t>
      </w:r>
      <w:r>
        <w:rPr>
          <w:color w:val="231F20"/>
          <w:spacing w:val="-2"/>
          <w:sz w:val="19"/>
        </w:rPr>
        <w:t> </w:t>
      </w:r>
      <w:r>
        <w:rPr>
          <w:color w:val="231F20"/>
          <w:sz w:val="19"/>
        </w:rPr>
        <w:t>della</w:t>
      </w:r>
      <w:r>
        <w:rPr>
          <w:color w:val="231F20"/>
          <w:spacing w:val="-2"/>
          <w:sz w:val="19"/>
        </w:rPr>
        <w:t> </w:t>
      </w:r>
      <w:r>
        <w:rPr>
          <w:color w:val="231F20"/>
          <w:sz w:val="19"/>
        </w:rPr>
        <w:t>sentenza</w:t>
      </w:r>
      <w:r>
        <w:rPr>
          <w:color w:val="231F20"/>
          <w:spacing w:val="-2"/>
          <w:sz w:val="19"/>
        </w:rPr>
        <w:t> </w:t>
      </w:r>
      <w:r>
        <w:rPr>
          <w:i/>
          <w:color w:val="231F20"/>
          <w:sz w:val="19"/>
        </w:rPr>
        <w:t>Berlioz,</w:t>
      </w:r>
      <w:r>
        <w:rPr>
          <w:i/>
          <w:color w:val="231F20"/>
          <w:spacing w:val="-2"/>
          <w:sz w:val="19"/>
        </w:rPr>
        <w:t> </w:t>
      </w:r>
      <w:r>
        <w:rPr>
          <w:color w:val="231F20"/>
          <w:sz w:val="19"/>
        </w:rPr>
        <w:t>v.</w:t>
      </w:r>
      <w:r>
        <w:rPr>
          <w:color w:val="231F20"/>
          <w:spacing w:val="-2"/>
          <w:sz w:val="19"/>
        </w:rPr>
        <w:t> </w:t>
      </w:r>
      <w:r>
        <w:rPr>
          <w:color w:val="231F20"/>
          <w:sz w:val="19"/>
        </w:rPr>
        <w:t>R. Alfano, </w:t>
      </w:r>
      <w:r>
        <w:rPr>
          <w:i/>
          <w:color w:val="231F20"/>
          <w:sz w:val="19"/>
        </w:rPr>
        <w:t>Sanzioni amministrative tributarie, </w:t>
      </w:r>
      <w:r>
        <w:rPr>
          <w:color w:val="231F20"/>
          <w:sz w:val="19"/>
        </w:rPr>
        <w:t>cit, pp. 194-197.</w:t>
      </w:r>
    </w:p>
    <w:p>
      <w:pPr>
        <w:spacing w:line="225" w:lineRule="auto" w:before="4"/>
        <w:ind w:left="157" w:right="117" w:firstLine="0"/>
        <w:jc w:val="both"/>
        <w:rPr>
          <w:sz w:val="19"/>
        </w:rPr>
      </w:pPr>
      <w:r>
        <w:rPr>
          <w:color w:val="231F20"/>
          <w:position w:val="6"/>
          <w:sz w:val="11"/>
        </w:rPr>
        <w:t>85</w:t>
      </w:r>
      <w:r>
        <w:rPr>
          <w:color w:val="231F20"/>
          <w:spacing w:val="80"/>
          <w:position w:val="6"/>
          <w:sz w:val="11"/>
        </w:rPr>
        <w:t> </w:t>
      </w:r>
      <w:r>
        <w:rPr>
          <w:color w:val="231F20"/>
          <w:sz w:val="19"/>
        </w:rPr>
        <w:t>«Ogni persona ha diritto a che la sua causa sia esaminata equamente, pubblicamente </w:t>
      </w:r>
      <w:r>
        <w:rPr>
          <w:color w:val="231F20"/>
          <w:sz w:val="19"/>
        </w:rPr>
        <w:t>ed entro</w:t>
      </w:r>
      <w:r>
        <w:rPr>
          <w:color w:val="231F20"/>
          <w:spacing w:val="-11"/>
          <w:sz w:val="19"/>
        </w:rPr>
        <w:t> </w:t>
      </w:r>
      <w:r>
        <w:rPr>
          <w:color w:val="231F20"/>
          <w:sz w:val="19"/>
        </w:rPr>
        <w:t>un</w:t>
      </w:r>
      <w:r>
        <w:rPr>
          <w:color w:val="231F20"/>
          <w:spacing w:val="-8"/>
          <w:sz w:val="19"/>
        </w:rPr>
        <w:t> </w:t>
      </w:r>
      <w:r>
        <w:rPr>
          <w:color w:val="231F20"/>
          <w:sz w:val="19"/>
        </w:rPr>
        <w:t>termine</w:t>
      </w:r>
      <w:r>
        <w:rPr>
          <w:color w:val="231F20"/>
          <w:spacing w:val="-9"/>
          <w:sz w:val="19"/>
        </w:rPr>
        <w:t> </w:t>
      </w:r>
      <w:r>
        <w:rPr>
          <w:color w:val="231F20"/>
          <w:sz w:val="19"/>
        </w:rPr>
        <w:t>ragionevole</w:t>
      </w:r>
      <w:r>
        <w:rPr>
          <w:color w:val="231F20"/>
          <w:spacing w:val="-8"/>
          <w:sz w:val="19"/>
        </w:rPr>
        <w:t> </w:t>
      </w:r>
      <w:r>
        <w:rPr>
          <w:color w:val="231F20"/>
          <w:sz w:val="19"/>
        </w:rPr>
        <w:t>da</w:t>
      </w:r>
      <w:r>
        <w:rPr>
          <w:color w:val="231F20"/>
          <w:spacing w:val="-9"/>
          <w:sz w:val="19"/>
        </w:rPr>
        <w:t> </w:t>
      </w:r>
      <w:r>
        <w:rPr>
          <w:color w:val="231F20"/>
          <w:sz w:val="19"/>
        </w:rPr>
        <w:t>un</w:t>
      </w:r>
      <w:r>
        <w:rPr>
          <w:color w:val="231F20"/>
          <w:spacing w:val="-8"/>
          <w:sz w:val="19"/>
        </w:rPr>
        <w:t> </w:t>
      </w:r>
      <w:r>
        <w:rPr>
          <w:color w:val="231F20"/>
          <w:sz w:val="19"/>
        </w:rPr>
        <w:t>giudice</w:t>
      </w:r>
      <w:r>
        <w:rPr>
          <w:color w:val="231F20"/>
          <w:spacing w:val="-8"/>
          <w:sz w:val="19"/>
        </w:rPr>
        <w:t> </w:t>
      </w:r>
      <w:r>
        <w:rPr>
          <w:color w:val="231F20"/>
          <w:sz w:val="19"/>
        </w:rPr>
        <w:t>indipendente</w:t>
      </w:r>
      <w:r>
        <w:rPr>
          <w:color w:val="231F20"/>
          <w:spacing w:val="-9"/>
          <w:sz w:val="19"/>
        </w:rPr>
        <w:t> </w:t>
      </w:r>
      <w:r>
        <w:rPr>
          <w:color w:val="231F20"/>
          <w:sz w:val="19"/>
        </w:rPr>
        <w:t>e</w:t>
      </w:r>
      <w:r>
        <w:rPr>
          <w:color w:val="231F20"/>
          <w:spacing w:val="-8"/>
          <w:sz w:val="19"/>
        </w:rPr>
        <w:t> </w:t>
      </w:r>
      <w:r>
        <w:rPr>
          <w:color w:val="231F20"/>
          <w:sz w:val="19"/>
        </w:rPr>
        <w:t>imparziale,</w:t>
      </w:r>
      <w:r>
        <w:rPr>
          <w:color w:val="231F20"/>
          <w:spacing w:val="-9"/>
          <w:sz w:val="19"/>
        </w:rPr>
        <w:t> </w:t>
      </w:r>
      <w:r>
        <w:rPr>
          <w:color w:val="231F20"/>
          <w:sz w:val="19"/>
        </w:rPr>
        <w:t>precostituito</w:t>
      </w:r>
      <w:r>
        <w:rPr>
          <w:color w:val="231F20"/>
          <w:spacing w:val="-8"/>
          <w:sz w:val="19"/>
        </w:rPr>
        <w:t> </w:t>
      </w:r>
      <w:r>
        <w:rPr>
          <w:color w:val="231F20"/>
          <w:sz w:val="19"/>
        </w:rPr>
        <w:t>per</w:t>
      </w:r>
      <w:r>
        <w:rPr>
          <w:color w:val="231F20"/>
          <w:spacing w:val="-8"/>
          <w:sz w:val="19"/>
        </w:rPr>
        <w:t> </w:t>
      </w:r>
      <w:r>
        <w:rPr>
          <w:color w:val="231F20"/>
          <w:spacing w:val="-2"/>
          <w:sz w:val="19"/>
        </w:rPr>
        <w:t>legge».</w:t>
      </w:r>
    </w:p>
    <w:p>
      <w:pPr>
        <w:spacing w:after="0" w:line="225" w:lineRule="auto"/>
        <w:jc w:val="both"/>
        <w:rPr>
          <w:sz w:val="19"/>
        </w:rPr>
        <w:sectPr>
          <w:pgSz w:w="9640" w:h="13610"/>
          <w:pgMar w:header="0" w:footer="625" w:top="1260" w:bottom="820" w:left="1260" w:right="1240"/>
        </w:sectPr>
      </w:pPr>
    </w:p>
    <w:p>
      <w:pPr>
        <w:pStyle w:val="BodyText"/>
        <w:spacing w:line="225" w:lineRule="auto" w:before="117"/>
        <w:ind w:left="100" w:right="174"/>
        <w:jc w:val="both"/>
      </w:pPr>
      <w:r>
        <w:rPr>
          <w:color w:val="231F20"/>
        </w:rPr>
        <w:t>nenza prevedibile» delle informazioni richieste, detto giudice potrà </w:t>
      </w:r>
      <w:r>
        <w:rPr>
          <w:color w:val="231F20"/>
        </w:rPr>
        <w:t>esigere dall’autorità interpellata anche le eventuali «informazioni complementari» che</w:t>
      </w:r>
      <w:r>
        <w:rPr>
          <w:color w:val="231F20"/>
          <w:spacing w:val="-2"/>
        </w:rPr>
        <w:t> </w:t>
      </w:r>
      <w:r>
        <w:rPr>
          <w:color w:val="231F20"/>
        </w:rPr>
        <w:t>quest’ultima</w:t>
      </w:r>
      <w:r>
        <w:rPr>
          <w:color w:val="231F20"/>
          <w:spacing w:val="-2"/>
        </w:rPr>
        <w:t> </w:t>
      </w:r>
      <w:r>
        <w:rPr>
          <w:color w:val="231F20"/>
        </w:rPr>
        <w:t>avesse</w:t>
      </w:r>
      <w:r>
        <w:rPr>
          <w:color w:val="231F20"/>
          <w:spacing w:val="-2"/>
        </w:rPr>
        <w:t> </w:t>
      </w:r>
      <w:r>
        <w:rPr>
          <w:color w:val="231F20"/>
        </w:rPr>
        <w:t>richiesto</w:t>
      </w:r>
      <w:r>
        <w:rPr>
          <w:color w:val="231F20"/>
          <w:spacing w:val="-2"/>
        </w:rPr>
        <w:t> </w:t>
      </w:r>
      <w:r>
        <w:rPr>
          <w:color w:val="231F20"/>
        </w:rPr>
        <w:t>e</w:t>
      </w:r>
      <w:r>
        <w:rPr>
          <w:color w:val="231F20"/>
          <w:spacing w:val="-2"/>
        </w:rPr>
        <w:t> </w:t>
      </w:r>
      <w:r>
        <w:rPr>
          <w:color w:val="231F20"/>
        </w:rPr>
        <w:t>ottenuto</w:t>
      </w:r>
      <w:r>
        <w:rPr>
          <w:color w:val="231F20"/>
          <w:spacing w:val="-2"/>
        </w:rPr>
        <w:t> </w:t>
      </w:r>
      <w:r>
        <w:rPr>
          <w:color w:val="231F20"/>
        </w:rPr>
        <w:t>dall’autorità</w:t>
      </w:r>
      <w:r>
        <w:rPr>
          <w:color w:val="231F20"/>
          <w:spacing w:val="-2"/>
        </w:rPr>
        <w:t> </w:t>
      </w:r>
      <w:r>
        <w:rPr>
          <w:color w:val="231F20"/>
        </w:rPr>
        <w:t>richiedente</w:t>
      </w:r>
      <w:r>
        <w:rPr>
          <w:rFonts w:ascii="Times New Roman" w:hAnsi="Times New Roman"/>
          <w:color w:val="231F20"/>
          <w:position w:val="8"/>
          <w:sz w:val="14"/>
        </w:rPr>
        <w:t>86</w:t>
      </w:r>
      <w:r>
        <w:rPr>
          <w:color w:val="231F20"/>
        </w:rPr>
        <w:t>.</w:t>
      </w:r>
      <w:r>
        <w:rPr>
          <w:color w:val="231F20"/>
          <w:spacing w:val="-2"/>
        </w:rPr>
        <w:t> </w:t>
      </w:r>
      <w:r>
        <w:rPr>
          <w:color w:val="231F20"/>
        </w:rPr>
        <w:t>Di- versa è la posizione del detentore delle informazioni richieste e ricorrente nel processo </w:t>
      </w:r>
      <w:r>
        <w:rPr>
          <w:i/>
          <w:color w:val="231F20"/>
        </w:rPr>
        <w:t>a quo. </w:t>
      </w:r>
      <w:r>
        <w:rPr>
          <w:color w:val="231F20"/>
        </w:rPr>
        <w:t>In ordine al diritto di accesso di quest’ultimo soggetto alla</w:t>
      </w:r>
      <w:r>
        <w:rPr>
          <w:color w:val="231F20"/>
          <w:spacing w:val="-4"/>
        </w:rPr>
        <w:t> </w:t>
      </w:r>
      <w:r>
        <w:rPr>
          <w:color w:val="231F20"/>
        </w:rPr>
        <w:t>richiesta</w:t>
      </w:r>
      <w:r>
        <w:rPr>
          <w:color w:val="231F20"/>
          <w:spacing w:val="-4"/>
        </w:rPr>
        <w:t> </w:t>
      </w:r>
      <w:r>
        <w:rPr>
          <w:color w:val="231F20"/>
        </w:rPr>
        <w:t>di</w:t>
      </w:r>
      <w:r>
        <w:rPr>
          <w:color w:val="231F20"/>
          <w:spacing w:val="-4"/>
        </w:rPr>
        <w:t> </w:t>
      </w:r>
      <w:r>
        <w:rPr>
          <w:color w:val="231F20"/>
        </w:rPr>
        <w:t>informazioni,</w:t>
      </w:r>
      <w:r>
        <w:rPr>
          <w:color w:val="231F20"/>
          <w:spacing w:val="-4"/>
        </w:rPr>
        <w:t> </w:t>
      </w:r>
      <w:r>
        <w:rPr>
          <w:color w:val="231F20"/>
        </w:rPr>
        <w:t>la</w:t>
      </w:r>
      <w:r>
        <w:rPr>
          <w:color w:val="231F20"/>
          <w:spacing w:val="-4"/>
        </w:rPr>
        <w:t> </w:t>
      </w:r>
      <w:r>
        <w:rPr>
          <w:color w:val="231F20"/>
        </w:rPr>
        <w:t>Corte</w:t>
      </w:r>
      <w:r>
        <w:rPr>
          <w:color w:val="231F20"/>
          <w:spacing w:val="-4"/>
        </w:rPr>
        <w:t> </w:t>
      </w:r>
      <w:r>
        <w:rPr>
          <w:color w:val="231F20"/>
        </w:rPr>
        <w:t>ha</w:t>
      </w:r>
      <w:r>
        <w:rPr>
          <w:color w:val="231F20"/>
          <w:spacing w:val="-4"/>
        </w:rPr>
        <w:t> </w:t>
      </w:r>
      <w:r>
        <w:rPr>
          <w:color w:val="231F20"/>
        </w:rPr>
        <w:t>dovuto</w:t>
      </w:r>
      <w:r>
        <w:rPr>
          <w:color w:val="231F20"/>
          <w:spacing w:val="-4"/>
        </w:rPr>
        <w:t> </w:t>
      </w:r>
      <w:r>
        <w:rPr>
          <w:color w:val="231F20"/>
        </w:rPr>
        <w:t>conciliare</w:t>
      </w:r>
      <w:r>
        <w:rPr>
          <w:color w:val="231F20"/>
          <w:spacing w:val="-4"/>
        </w:rPr>
        <w:t> </w:t>
      </w:r>
      <w:r>
        <w:rPr>
          <w:color w:val="231F20"/>
        </w:rPr>
        <w:t>il</w:t>
      </w:r>
      <w:r>
        <w:rPr>
          <w:color w:val="231F20"/>
          <w:spacing w:val="-4"/>
        </w:rPr>
        <w:t> </w:t>
      </w:r>
      <w:r>
        <w:rPr>
          <w:color w:val="231F20"/>
        </w:rPr>
        <w:t>diritto</w:t>
      </w:r>
      <w:r>
        <w:rPr>
          <w:color w:val="231F20"/>
          <w:spacing w:val="-4"/>
        </w:rPr>
        <w:t> </w:t>
      </w:r>
      <w:r>
        <w:rPr>
          <w:color w:val="231F20"/>
        </w:rPr>
        <w:t>ad</w:t>
      </w:r>
      <w:r>
        <w:rPr>
          <w:color w:val="231F20"/>
          <w:spacing w:val="-4"/>
        </w:rPr>
        <w:t> </w:t>
      </w:r>
      <w:r>
        <w:rPr>
          <w:color w:val="231F20"/>
        </w:rPr>
        <w:t>un </w:t>
      </w:r>
      <w:r>
        <w:rPr>
          <w:color w:val="231F20"/>
          <w:spacing w:val="-2"/>
        </w:rPr>
        <w:t>equo</w:t>
      </w:r>
      <w:r>
        <w:rPr>
          <w:color w:val="231F20"/>
          <w:spacing w:val="-8"/>
        </w:rPr>
        <w:t> </w:t>
      </w:r>
      <w:r>
        <w:rPr>
          <w:color w:val="231F20"/>
          <w:spacing w:val="-2"/>
        </w:rPr>
        <w:t>processo</w:t>
      </w:r>
      <w:r>
        <w:rPr>
          <w:color w:val="231F20"/>
          <w:spacing w:val="-8"/>
        </w:rPr>
        <w:t> </w:t>
      </w:r>
      <w:r>
        <w:rPr>
          <w:color w:val="231F20"/>
          <w:spacing w:val="-2"/>
        </w:rPr>
        <w:t>garantito</w:t>
      </w:r>
      <w:r>
        <w:rPr>
          <w:color w:val="231F20"/>
          <w:spacing w:val="-8"/>
        </w:rPr>
        <w:t> </w:t>
      </w:r>
      <w:r>
        <w:rPr>
          <w:color w:val="231F20"/>
          <w:spacing w:val="-2"/>
        </w:rPr>
        <w:t>dall’art.</w:t>
      </w:r>
      <w:r>
        <w:rPr>
          <w:color w:val="231F20"/>
          <w:spacing w:val="-8"/>
        </w:rPr>
        <w:t> </w:t>
      </w:r>
      <w:r>
        <w:rPr>
          <w:color w:val="231F20"/>
          <w:spacing w:val="-2"/>
        </w:rPr>
        <w:t>47,</w:t>
      </w:r>
      <w:r>
        <w:rPr>
          <w:color w:val="231F20"/>
          <w:spacing w:val="-8"/>
        </w:rPr>
        <w:t> </w:t>
      </w:r>
      <w:r>
        <w:rPr>
          <w:color w:val="231F20"/>
          <w:spacing w:val="-2"/>
        </w:rPr>
        <w:t>par.</w:t>
      </w:r>
      <w:r>
        <w:rPr>
          <w:color w:val="231F20"/>
          <w:spacing w:val="-8"/>
        </w:rPr>
        <w:t> </w:t>
      </w:r>
      <w:r>
        <w:rPr>
          <w:color w:val="231F20"/>
          <w:spacing w:val="-2"/>
        </w:rPr>
        <w:t>2,</w:t>
      </w:r>
      <w:r>
        <w:rPr>
          <w:color w:val="231F20"/>
          <w:spacing w:val="-8"/>
        </w:rPr>
        <w:t> </w:t>
      </w:r>
      <w:r>
        <w:rPr>
          <w:color w:val="231F20"/>
          <w:spacing w:val="-2"/>
        </w:rPr>
        <w:t>della</w:t>
      </w:r>
      <w:r>
        <w:rPr>
          <w:color w:val="231F20"/>
          <w:spacing w:val="-8"/>
        </w:rPr>
        <w:t> </w:t>
      </w:r>
      <w:r>
        <w:rPr>
          <w:color w:val="231F20"/>
          <w:spacing w:val="-2"/>
        </w:rPr>
        <w:t>Carta</w:t>
      </w:r>
      <w:r>
        <w:rPr>
          <w:color w:val="231F20"/>
          <w:spacing w:val="-8"/>
        </w:rPr>
        <w:t> </w:t>
      </w:r>
      <w:r>
        <w:rPr>
          <w:color w:val="231F20"/>
          <w:spacing w:val="-2"/>
        </w:rPr>
        <w:t>dei</w:t>
      </w:r>
      <w:r>
        <w:rPr>
          <w:color w:val="231F20"/>
          <w:spacing w:val="-8"/>
        </w:rPr>
        <w:t> </w:t>
      </w:r>
      <w:r>
        <w:rPr>
          <w:color w:val="231F20"/>
          <w:spacing w:val="-2"/>
        </w:rPr>
        <w:t>diritti</w:t>
      </w:r>
      <w:r>
        <w:rPr>
          <w:color w:val="231F20"/>
          <w:spacing w:val="-8"/>
        </w:rPr>
        <w:t> </w:t>
      </w:r>
      <w:r>
        <w:rPr>
          <w:color w:val="231F20"/>
          <w:spacing w:val="-2"/>
        </w:rPr>
        <w:t>fondamen- </w:t>
      </w:r>
      <w:r>
        <w:rPr>
          <w:color w:val="231F20"/>
        </w:rPr>
        <w:t>tali</w:t>
      </w:r>
      <w:r>
        <w:rPr>
          <w:color w:val="231F20"/>
          <w:spacing w:val="-12"/>
        </w:rPr>
        <w:t> </w:t>
      </w:r>
      <w:r>
        <w:rPr>
          <w:color w:val="231F20"/>
        </w:rPr>
        <w:t>con</w:t>
      </w:r>
      <w:r>
        <w:rPr>
          <w:color w:val="231F20"/>
          <w:spacing w:val="-12"/>
        </w:rPr>
        <w:t> </w:t>
      </w:r>
      <w:r>
        <w:rPr>
          <w:color w:val="231F20"/>
        </w:rPr>
        <w:t>il</w:t>
      </w:r>
      <w:r>
        <w:rPr>
          <w:color w:val="231F20"/>
          <w:spacing w:val="-12"/>
        </w:rPr>
        <w:t> </w:t>
      </w:r>
      <w:r>
        <w:rPr>
          <w:color w:val="231F20"/>
        </w:rPr>
        <w:t>carattere</w:t>
      </w:r>
      <w:r>
        <w:rPr>
          <w:color w:val="231F20"/>
          <w:spacing w:val="-12"/>
        </w:rPr>
        <w:t> </w:t>
      </w:r>
      <w:r>
        <w:rPr>
          <w:color w:val="231F20"/>
        </w:rPr>
        <w:t>riservato</w:t>
      </w:r>
      <w:r>
        <w:rPr>
          <w:color w:val="231F20"/>
          <w:spacing w:val="-12"/>
        </w:rPr>
        <w:t> </w:t>
      </w:r>
      <w:r>
        <w:rPr>
          <w:color w:val="231F20"/>
        </w:rPr>
        <w:t>di</w:t>
      </w:r>
      <w:r>
        <w:rPr>
          <w:color w:val="231F20"/>
          <w:spacing w:val="-12"/>
        </w:rPr>
        <w:t> </w:t>
      </w:r>
      <w:r>
        <w:rPr>
          <w:color w:val="231F20"/>
        </w:rPr>
        <w:t>tale</w:t>
      </w:r>
      <w:r>
        <w:rPr>
          <w:color w:val="231F20"/>
          <w:spacing w:val="-12"/>
        </w:rPr>
        <w:t> </w:t>
      </w:r>
      <w:r>
        <w:rPr>
          <w:color w:val="231F20"/>
        </w:rPr>
        <w:t>documento,</w:t>
      </w:r>
      <w:r>
        <w:rPr>
          <w:color w:val="231F20"/>
          <w:spacing w:val="-12"/>
        </w:rPr>
        <w:t> </w:t>
      </w:r>
      <w:r>
        <w:rPr>
          <w:color w:val="231F20"/>
        </w:rPr>
        <w:t>coperto</w:t>
      </w:r>
      <w:r>
        <w:rPr>
          <w:color w:val="231F20"/>
          <w:spacing w:val="-12"/>
        </w:rPr>
        <w:t> </w:t>
      </w:r>
      <w:r>
        <w:rPr>
          <w:color w:val="231F20"/>
        </w:rPr>
        <w:t>da</w:t>
      </w:r>
      <w:r>
        <w:rPr>
          <w:color w:val="231F20"/>
          <w:spacing w:val="-12"/>
        </w:rPr>
        <w:t> </w:t>
      </w:r>
      <w:r>
        <w:rPr>
          <w:color w:val="231F20"/>
        </w:rPr>
        <w:t>segreto</w:t>
      </w:r>
      <w:r>
        <w:rPr>
          <w:color w:val="231F20"/>
          <w:spacing w:val="-12"/>
        </w:rPr>
        <w:t> </w:t>
      </w:r>
      <w:r>
        <w:rPr>
          <w:color w:val="231F20"/>
        </w:rPr>
        <w:t>d’ufficio ex art. 16 della direttiva 2011/16/UE</w:t>
      </w:r>
      <w:r>
        <w:rPr>
          <w:rFonts w:ascii="Times New Roman" w:hAnsi="Times New Roman"/>
          <w:color w:val="231F20"/>
          <w:position w:val="8"/>
          <w:sz w:val="14"/>
        </w:rPr>
        <w:t>87</w:t>
      </w:r>
      <w:r>
        <w:rPr>
          <w:rFonts w:ascii="Times New Roman" w:hAnsi="Times New Roman"/>
          <w:color w:val="231F20"/>
          <w:spacing w:val="26"/>
          <w:position w:val="8"/>
          <w:sz w:val="14"/>
        </w:rPr>
        <w:t> </w:t>
      </w:r>
      <w:r>
        <w:rPr>
          <w:color w:val="231F20"/>
        </w:rPr>
        <w:t>al fine di non pregiudicare il buon esito dell’accertamento tributario avviato dall’amministrazione finanziaria dello</w:t>
      </w:r>
      <w:r>
        <w:rPr>
          <w:color w:val="231F20"/>
          <w:spacing w:val="-15"/>
        </w:rPr>
        <w:t> </w:t>
      </w:r>
      <w:r>
        <w:rPr>
          <w:color w:val="231F20"/>
        </w:rPr>
        <w:t>Stato</w:t>
      </w:r>
      <w:r>
        <w:rPr>
          <w:color w:val="231F20"/>
          <w:spacing w:val="-15"/>
        </w:rPr>
        <w:t> </w:t>
      </w:r>
      <w:r>
        <w:rPr>
          <w:color w:val="231F20"/>
        </w:rPr>
        <w:t>membro</w:t>
      </w:r>
      <w:r>
        <w:rPr>
          <w:color w:val="231F20"/>
          <w:spacing w:val="-15"/>
        </w:rPr>
        <w:t> </w:t>
      </w:r>
      <w:r>
        <w:rPr>
          <w:color w:val="231F20"/>
        </w:rPr>
        <w:t>di</w:t>
      </w:r>
      <w:r>
        <w:rPr>
          <w:color w:val="231F20"/>
          <w:spacing w:val="-15"/>
        </w:rPr>
        <w:t> </w:t>
      </w:r>
      <w:r>
        <w:rPr>
          <w:color w:val="231F20"/>
        </w:rPr>
        <w:t>domicilio</w:t>
      </w:r>
      <w:r>
        <w:rPr>
          <w:color w:val="231F20"/>
          <w:spacing w:val="-15"/>
        </w:rPr>
        <w:t> </w:t>
      </w:r>
      <w:r>
        <w:rPr>
          <w:color w:val="231F20"/>
        </w:rPr>
        <w:t>fiscale</w:t>
      </w:r>
      <w:r>
        <w:rPr>
          <w:color w:val="231F20"/>
          <w:spacing w:val="-15"/>
        </w:rPr>
        <w:t> </w:t>
      </w:r>
      <w:r>
        <w:rPr>
          <w:color w:val="231F20"/>
        </w:rPr>
        <w:t>del</w:t>
      </w:r>
      <w:r>
        <w:rPr>
          <w:color w:val="231F20"/>
          <w:spacing w:val="-15"/>
        </w:rPr>
        <w:t> </w:t>
      </w:r>
      <w:r>
        <w:rPr>
          <w:color w:val="231F20"/>
        </w:rPr>
        <w:t>contribuente</w:t>
      </w:r>
      <w:r>
        <w:rPr>
          <w:color w:val="231F20"/>
          <w:spacing w:val="-15"/>
        </w:rPr>
        <w:t> </w:t>
      </w:r>
      <w:r>
        <w:rPr>
          <w:color w:val="231F20"/>
        </w:rPr>
        <w:t>indagato.</w:t>
      </w:r>
      <w:r>
        <w:rPr>
          <w:color w:val="231F20"/>
          <w:spacing w:val="-15"/>
        </w:rPr>
        <w:t> </w:t>
      </w:r>
      <w:r>
        <w:rPr>
          <w:color w:val="231F20"/>
        </w:rPr>
        <w:t>I</w:t>
      </w:r>
      <w:r>
        <w:rPr>
          <w:color w:val="231F20"/>
          <w:spacing w:val="-15"/>
        </w:rPr>
        <w:t> </w:t>
      </w:r>
      <w:r>
        <w:rPr>
          <w:color w:val="231F20"/>
        </w:rPr>
        <w:t>giudici dell’Unione</w:t>
      </w:r>
      <w:r>
        <w:rPr>
          <w:color w:val="231F20"/>
          <w:spacing w:val="-5"/>
        </w:rPr>
        <w:t> </w:t>
      </w:r>
      <w:r>
        <w:rPr>
          <w:color w:val="231F20"/>
        </w:rPr>
        <w:t>hanno</w:t>
      </w:r>
      <w:r>
        <w:rPr>
          <w:color w:val="231F20"/>
          <w:spacing w:val="-5"/>
        </w:rPr>
        <w:t> </w:t>
      </w:r>
      <w:r>
        <w:rPr>
          <w:color w:val="231F20"/>
        </w:rPr>
        <w:t>quindi,</w:t>
      </w:r>
      <w:r>
        <w:rPr>
          <w:color w:val="231F20"/>
          <w:spacing w:val="-5"/>
        </w:rPr>
        <w:t> </w:t>
      </w:r>
      <w:r>
        <w:rPr>
          <w:color w:val="231F20"/>
        </w:rPr>
        <w:t>da</w:t>
      </w:r>
      <w:r>
        <w:rPr>
          <w:color w:val="231F20"/>
          <w:spacing w:val="-5"/>
        </w:rPr>
        <w:t> </w:t>
      </w:r>
      <w:r>
        <w:rPr>
          <w:color w:val="231F20"/>
        </w:rPr>
        <w:t>un</w:t>
      </w:r>
      <w:r>
        <w:rPr>
          <w:color w:val="231F20"/>
          <w:spacing w:val="-5"/>
        </w:rPr>
        <w:t> </w:t>
      </w:r>
      <w:r>
        <w:rPr>
          <w:color w:val="231F20"/>
        </w:rPr>
        <w:t>lato,</w:t>
      </w:r>
      <w:r>
        <w:rPr>
          <w:color w:val="231F20"/>
          <w:spacing w:val="-5"/>
        </w:rPr>
        <w:t> </w:t>
      </w:r>
      <w:r>
        <w:rPr>
          <w:color w:val="231F20"/>
        </w:rPr>
        <w:t>rifiutato</w:t>
      </w:r>
      <w:r>
        <w:rPr>
          <w:color w:val="231F20"/>
          <w:spacing w:val="-5"/>
        </w:rPr>
        <w:t> </w:t>
      </w:r>
      <w:r>
        <w:rPr>
          <w:color w:val="231F20"/>
        </w:rPr>
        <w:t>al</w:t>
      </w:r>
      <w:r>
        <w:rPr>
          <w:color w:val="231F20"/>
          <w:spacing w:val="-5"/>
        </w:rPr>
        <w:t> </w:t>
      </w:r>
      <w:r>
        <w:rPr>
          <w:color w:val="231F20"/>
        </w:rPr>
        <w:t>detentore</w:t>
      </w:r>
      <w:r>
        <w:rPr>
          <w:color w:val="231F20"/>
          <w:spacing w:val="-5"/>
        </w:rPr>
        <w:t> </w:t>
      </w:r>
      <w:r>
        <w:rPr>
          <w:color w:val="231F20"/>
        </w:rPr>
        <w:t>delle</w:t>
      </w:r>
      <w:r>
        <w:rPr>
          <w:color w:val="231F20"/>
          <w:spacing w:val="-5"/>
        </w:rPr>
        <w:t> </w:t>
      </w:r>
      <w:r>
        <w:rPr>
          <w:color w:val="231F20"/>
        </w:rPr>
        <w:t>informa- zioni l’accesso alla richiesta di informazioni «nella sua interezza» e invece concesso,</w:t>
      </w:r>
      <w:r>
        <w:rPr>
          <w:color w:val="231F20"/>
          <w:spacing w:val="-11"/>
        </w:rPr>
        <w:t> </w:t>
      </w:r>
      <w:r>
        <w:rPr>
          <w:color w:val="231F20"/>
        </w:rPr>
        <w:t>dall’altro,</w:t>
      </w:r>
      <w:r>
        <w:rPr>
          <w:color w:val="231F20"/>
          <w:spacing w:val="-11"/>
        </w:rPr>
        <w:t> </w:t>
      </w:r>
      <w:r>
        <w:rPr>
          <w:color w:val="231F20"/>
        </w:rPr>
        <w:t>l’accesso</w:t>
      </w:r>
      <w:r>
        <w:rPr>
          <w:color w:val="231F20"/>
          <w:spacing w:val="-11"/>
        </w:rPr>
        <w:t> </w:t>
      </w:r>
      <w:r>
        <w:rPr>
          <w:color w:val="231F20"/>
        </w:rPr>
        <w:t>del</w:t>
      </w:r>
      <w:r>
        <w:rPr>
          <w:color w:val="231F20"/>
          <w:spacing w:val="-11"/>
        </w:rPr>
        <w:t> </w:t>
      </w:r>
      <w:r>
        <w:rPr>
          <w:color w:val="231F20"/>
        </w:rPr>
        <w:t>medesimo</w:t>
      </w:r>
      <w:r>
        <w:rPr>
          <w:color w:val="231F20"/>
          <w:spacing w:val="-11"/>
        </w:rPr>
        <w:t> </w:t>
      </w:r>
      <w:r>
        <w:rPr>
          <w:color w:val="231F20"/>
        </w:rPr>
        <w:t>soggetto</w:t>
      </w:r>
      <w:r>
        <w:rPr>
          <w:color w:val="231F20"/>
          <w:spacing w:val="-11"/>
        </w:rPr>
        <w:t> </w:t>
      </w:r>
      <w:r>
        <w:rPr>
          <w:color w:val="231F20"/>
        </w:rPr>
        <w:t>alle</w:t>
      </w:r>
      <w:r>
        <w:rPr>
          <w:color w:val="231F20"/>
          <w:spacing w:val="-11"/>
        </w:rPr>
        <w:t> </w:t>
      </w:r>
      <w:r>
        <w:rPr>
          <w:color w:val="231F20"/>
        </w:rPr>
        <w:t>«informazioni</w:t>
      </w:r>
      <w:r>
        <w:rPr>
          <w:color w:val="231F20"/>
          <w:spacing w:val="-11"/>
        </w:rPr>
        <w:t> </w:t>
      </w:r>
      <w:r>
        <w:rPr>
          <w:color w:val="231F20"/>
        </w:rPr>
        <w:t>mi- nime» contenute nel formulario di richiesta che sono tenute ad utilizzare le</w:t>
      </w:r>
      <w:r>
        <w:rPr>
          <w:color w:val="231F20"/>
          <w:spacing w:val="-8"/>
        </w:rPr>
        <w:t> </w:t>
      </w:r>
      <w:r>
        <w:rPr>
          <w:color w:val="231F20"/>
        </w:rPr>
        <w:t>amministrazioni</w:t>
      </w:r>
      <w:r>
        <w:rPr>
          <w:color w:val="231F20"/>
          <w:spacing w:val="-8"/>
        </w:rPr>
        <w:t> </w:t>
      </w:r>
      <w:r>
        <w:rPr>
          <w:color w:val="231F20"/>
        </w:rPr>
        <w:t>finanziarie</w:t>
      </w:r>
      <w:r>
        <w:rPr>
          <w:color w:val="231F20"/>
          <w:spacing w:val="-8"/>
        </w:rPr>
        <w:t> </w:t>
      </w:r>
      <w:r>
        <w:rPr>
          <w:color w:val="231F20"/>
        </w:rPr>
        <w:t>degli</w:t>
      </w:r>
      <w:r>
        <w:rPr>
          <w:color w:val="231F20"/>
          <w:spacing w:val="-8"/>
        </w:rPr>
        <w:t> </w:t>
      </w:r>
      <w:r>
        <w:rPr>
          <w:color w:val="231F20"/>
        </w:rPr>
        <w:t>Stati</w:t>
      </w:r>
      <w:r>
        <w:rPr>
          <w:color w:val="231F20"/>
          <w:spacing w:val="-8"/>
        </w:rPr>
        <w:t> </w:t>
      </w:r>
      <w:r>
        <w:rPr>
          <w:color w:val="231F20"/>
        </w:rPr>
        <w:t>membri</w:t>
      </w:r>
      <w:r>
        <w:rPr>
          <w:color w:val="231F20"/>
          <w:spacing w:val="-8"/>
        </w:rPr>
        <w:t> </w:t>
      </w:r>
      <w:r>
        <w:rPr>
          <w:color w:val="231F20"/>
        </w:rPr>
        <w:t>secondo</w:t>
      </w:r>
      <w:r>
        <w:rPr>
          <w:color w:val="231F20"/>
          <w:spacing w:val="-8"/>
        </w:rPr>
        <w:t> </w:t>
      </w:r>
      <w:r>
        <w:rPr>
          <w:color w:val="231F20"/>
        </w:rPr>
        <w:t>quanto</w:t>
      </w:r>
      <w:r>
        <w:rPr>
          <w:color w:val="231F20"/>
          <w:spacing w:val="-8"/>
        </w:rPr>
        <w:t> </w:t>
      </w:r>
      <w:r>
        <w:rPr>
          <w:color w:val="231F20"/>
        </w:rPr>
        <w:t>disposto </w:t>
      </w:r>
      <w:r>
        <w:rPr>
          <w:color w:val="231F20"/>
          <w:spacing w:val="-2"/>
        </w:rPr>
        <w:t>dall’art.</w:t>
      </w:r>
      <w:r>
        <w:rPr>
          <w:color w:val="231F20"/>
          <w:spacing w:val="-6"/>
        </w:rPr>
        <w:t> </w:t>
      </w:r>
      <w:r>
        <w:rPr>
          <w:color w:val="231F20"/>
          <w:spacing w:val="-2"/>
        </w:rPr>
        <w:t>20,</w:t>
      </w:r>
      <w:r>
        <w:rPr>
          <w:color w:val="231F20"/>
          <w:spacing w:val="-4"/>
        </w:rPr>
        <w:t> </w:t>
      </w:r>
      <w:r>
        <w:rPr>
          <w:color w:val="231F20"/>
          <w:spacing w:val="-2"/>
        </w:rPr>
        <w:t>par.</w:t>
      </w:r>
      <w:r>
        <w:rPr>
          <w:color w:val="231F20"/>
          <w:spacing w:val="-4"/>
        </w:rPr>
        <w:t> </w:t>
      </w:r>
      <w:r>
        <w:rPr>
          <w:color w:val="231F20"/>
          <w:spacing w:val="-2"/>
        </w:rPr>
        <w:t>2,</w:t>
      </w:r>
      <w:r>
        <w:rPr>
          <w:color w:val="231F20"/>
          <w:spacing w:val="-4"/>
        </w:rPr>
        <w:t> </w:t>
      </w:r>
      <w:r>
        <w:rPr>
          <w:color w:val="231F20"/>
          <w:spacing w:val="-2"/>
        </w:rPr>
        <w:t>della</w:t>
      </w:r>
      <w:r>
        <w:rPr>
          <w:color w:val="231F20"/>
          <w:spacing w:val="-4"/>
        </w:rPr>
        <w:t> </w:t>
      </w:r>
      <w:r>
        <w:rPr>
          <w:color w:val="231F20"/>
          <w:spacing w:val="-2"/>
        </w:rPr>
        <w:t>direttiva.</w:t>
      </w:r>
      <w:r>
        <w:rPr>
          <w:color w:val="231F20"/>
          <w:spacing w:val="-13"/>
        </w:rPr>
        <w:t> </w:t>
      </w:r>
      <w:r>
        <w:rPr>
          <w:color w:val="231F20"/>
          <w:spacing w:val="-2"/>
        </w:rPr>
        <w:t>Tali</w:t>
      </w:r>
      <w:r>
        <w:rPr>
          <w:color w:val="231F20"/>
          <w:spacing w:val="-4"/>
        </w:rPr>
        <w:t> </w:t>
      </w:r>
      <w:r>
        <w:rPr>
          <w:color w:val="231F20"/>
          <w:spacing w:val="-2"/>
        </w:rPr>
        <w:t>informazioni</w:t>
      </w:r>
      <w:r>
        <w:rPr>
          <w:color w:val="231F20"/>
          <w:spacing w:val="-4"/>
        </w:rPr>
        <w:t> </w:t>
      </w:r>
      <w:r>
        <w:rPr>
          <w:color w:val="231F20"/>
          <w:spacing w:val="-2"/>
        </w:rPr>
        <w:t>consistono</w:t>
      </w:r>
      <w:r>
        <w:rPr>
          <w:color w:val="231F20"/>
          <w:spacing w:val="-4"/>
        </w:rPr>
        <w:t> </w:t>
      </w:r>
      <w:r>
        <w:rPr>
          <w:color w:val="231F20"/>
          <w:spacing w:val="-2"/>
        </w:rPr>
        <w:t>nell’identità </w:t>
      </w:r>
      <w:r>
        <w:rPr>
          <w:color w:val="231F20"/>
        </w:rPr>
        <w:t>del contribuente oggetto dell’accertamento tributario e nella finalità della richiesta di informazioni. Qualora il giudice dello Stato membro interpel- lato abbia richiesto all’amministrazione finanziaria di tale medesimo Stato informazioni</w:t>
      </w:r>
      <w:r>
        <w:rPr>
          <w:color w:val="231F20"/>
          <w:spacing w:val="-4"/>
        </w:rPr>
        <w:t> </w:t>
      </w:r>
      <w:r>
        <w:rPr>
          <w:color w:val="231F20"/>
        </w:rPr>
        <w:t>complementari,</w:t>
      </w:r>
      <w:r>
        <w:rPr>
          <w:color w:val="231F20"/>
          <w:spacing w:val="-4"/>
        </w:rPr>
        <w:t> </w:t>
      </w:r>
      <w:r>
        <w:rPr>
          <w:color w:val="231F20"/>
        </w:rPr>
        <w:t>la</w:t>
      </w:r>
      <w:r>
        <w:rPr>
          <w:color w:val="231F20"/>
          <w:spacing w:val="-4"/>
        </w:rPr>
        <w:t> </w:t>
      </w:r>
      <w:r>
        <w:rPr>
          <w:color w:val="231F20"/>
        </w:rPr>
        <w:t>Corte</w:t>
      </w:r>
      <w:r>
        <w:rPr>
          <w:color w:val="231F20"/>
          <w:spacing w:val="-4"/>
        </w:rPr>
        <w:t> </w:t>
      </w:r>
      <w:r>
        <w:rPr>
          <w:color w:val="231F20"/>
        </w:rPr>
        <w:t>di</w:t>
      </w:r>
      <w:r>
        <w:rPr>
          <w:color w:val="231F20"/>
          <w:spacing w:val="-4"/>
        </w:rPr>
        <w:t> </w:t>
      </w:r>
      <w:r>
        <w:rPr>
          <w:color w:val="231F20"/>
        </w:rPr>
        <w:t>giustizia</w:t>
      </w:r>
      <w:r>
        <w:rPr>
          <w:color w:val="231F20"/>
          <w:spacing w:val="-4"/>
        </w:rPr>
        <w:t> </w:t>
      </w:r>
      <w:r>
        <w:rPr>
          <w:color w:val="231F20"/>
        </w:rPr>
        <w:t>ha</w:t>
      </w:r>
      <w:r>
        <w:rPr>
          <w:color w:val="231F20"/>
          <w:spacing w:val="-4"/>
        </w:rPr>
        <w:t> </w:t>
      </w:r>
      <w:r>
        <w:rPr>
          <w:color w:val="231F20"/>
        </w:rPr>
        <w:t>creato</w:t>
      </w:r>
      <w:r>
        <w:rPr>
          <w:color w:val="231F20"/>
          <w:spacing w:val="-4"/>
        </w:rPr>
        <w:t> </w:t>
      </w:r>
      <w:r>
        <w:rPr>
          <w:color w:val="231F20"/>
        </w:rPr>
        <w:t>un</w:t>
      </w:r>
      <w:r>
        <w:rPr>
          <w:color w:val="231F20"/>
          <w:spacing w:val="-4"/>
        </w:rPr>
        <w:t> </w:t>
      </w:r>
      <w:r>
        <w:rPr>
          <w:color w:val="231F20"/>
        </w:rPr>
        <w:t>obbligo,</w:t>
      </w:r>
      <w:r>
        <w:rPr>
          <w:color w:val="231F20"/>
          <w:spacing w:val="-4"/>
        </w:rPr>
        <w:t> </w:t>
      </w:r>
      <w:r>
        <w:rPr>
          <w:color w:val="231F20"/>
        </w:rPr>
        <w:t>in capo a tale medesimo giudice, di comunicare al ricorrente/detentore del- le</w:t>
      </w:r>
      <w:r>
        <w:rPr>
          <w:color w:val="231F20"/>
          <w:spacing w:val="19"/>
        </w:rPr>
        <w:t> </w:t>
      </w:r>
      <w:r>
        <w:rPr>
          <w:color w:val="231F20"/>
        </w:rPr>
        <w:t>informazioni</w:t>
      </w:r>
      <w:r>
        <w:rPr>
          <w:color w:val="231F20"/>
          <w:spacing w:val="19"/>
        </w:rPr>
        <w:t> </w:t>
      </w:r>
      <w:r>
        <w:rPr>
          <w:color w:val="231F20"/>
        </w:rPr>
        <w:t>richieste,</w:t>
      </w:r>
      <w:r>
        <w:rPr>
          <w:color w:val="231F20"/>
          <w:spacing w:val="19"/>
        </w:rPr>
        <w:t> </w:t>
      </w:r>
      <w:r>
        <w:rPr>
          <w:color w:val="231F20"/>
        </w:rPr>
        <w:t>anche</w:t>
      </w:r>
      <w:r>
        <w:rPr>
          <w:color w:val="231F20"/>
          <w:spacing w:val="19"/>
        </w:rPr>
        <w:t> </w:t>
      </w:r>
      <w:r>
        <w:rPr>
          <w:color w:val="231F20"/>
        </w:rPr>
        <w:t>le</w:t>
      </w:r>
      <w:r>
        <w:rPr>
          <w:color w:val="231F20"/>
          <w:spacing w:val="19"/>
        </w:rPr>
        <w:t> </w:t>
      </w:r>
      <w:r>
        <w:rPr>
          <w:color w:val="231F20"/>
        </w:rPr>
        <w:t>suddette</w:t>
      </w:r>
      <w:r>
        <w:rPr>
          <w:color w:val="231F20"/>
          <w:spacing w:val="19"/>
        </w:rPr>
        <w:t> </w:t>
      </w:r>
      <w:r>
        <w:rPr>
          <w:color w:val="231F20"/>
        </w:rPr>
        <w:t>informazioni</w:t>
      </w:r>
      <w:r>
        <w:rPr>
          <w:color w:val="231F20"/>
          <w:spacing w:val="19"/>
        </w:rPr>
        <w:t> </w:t>
      </w:r>
      <w:r>
        <w:rPr>
          <w:color w:val="231F20"/>
          <w:spacing w:val="-2"/>
        </w:rPr>
        <w:t>complementari,</w:t>
      </w:r>
    </w:p>
    <w:p>
      <w:pPr>
        <w:pStyle w:val="BodyText"/>
        <w:spacing w:before="16"/>
        <w:ind w:left="100"/>
        <w:jc w:val="both"/>
      </w:pPr>
      <w:r>
        <w:rPr>
          <w:color w:val="231F20"/>
        </w:rPr>
        <w:t>«tenendo</w:t>
      </w:r>
      <w:r>
        <w:rPr>
          <w:color w:val="231F20"/>
          <w:spacing w:val="-6"/>
        </w:rPr>
        <w:t> </w:t>
      </w:r>
      <w:r>
        <w:rPr>
          <w:color w:val="231F20"/>
        </w:rPr>
        <w:t>debitamente</w:t>
      </w:r>
      <w:r>
        <w:rPr>
          <w:color w:val="231F20"/>
          <w:spacing w:val="-3"/>
        </w:rPr>
        <w:t> </w:t>
      </w:r>
      <w:r>
        <w:rPr>
          <w:color w:val="231F20"/>
        </w:rPr>
        <w:t>conto</w:t>
      </w:r>
      <w:r>
        <w:rPr>
          <w:color w:val="231F20"/>
          <w:spacing w:val="-4"/>
        </w:rPr>
        <w:t> </w:t>
      </w:r>
      <w:r>
        <w:rPr>
          <w:color w:val="231F20"/>
        </w:rPr>
        <w:t>dell’eventuale</w:t>
      </w:r>
      <w:r>
        <w:rPr>
          <w:color w:val="231F20"/>
          <w:spacing w:val="-3"/>
        </w:rPr>
        <w:t> </w:t>
      </w:r>
      <w:r>
        <w:rPr>
          <w:color w:val="231F20"/>
        </w:rPr>
        <w:t>riservatezza»</w:t>
      </w:r>
      <w:r>
        <w:rPr>
          <w:color w:val="231F20"/>
          <w:spacing w:val="-3"/>
        </w:rPr>
        <w:t> </w:t>
      </w:r>
      <w:r>
        <w:rPr>
          <w:color w:val="231F20"/>
        </w:rPr>
        <w:t>di</w:t>
      </w:r>
      <w:r>
        <w:rPr>
          <w:color w:val="231F20"/>
          <w:spacing w:val="-4"/>
        </w:rPr>
        <w:t> </w:t>
      </w:r>
      <w:r>
        <w:rPr>
          <w:color w:val="231F20"/>
        </w:rPr>
        <w:t>talune</w:t>
      </w:r>
      <w:r>
        <w:rPr>
          <w:color w:val="231F20"/>
          <w:spacing w:val="-3"/>
        </w:rPr>
        <w:t> </w:t>
      </w:r>
      <w:r>
        <w:rPr>
          <w:color w:val="231F20"/>
        </w:rPr>
        <w:t>di</w:t>
      </w:r>
      <w:r>
        <w:rPr>
          <w:color w:val="231F20"/>
          <w:spacing w:val="-3"/>
        </w:rPr>
        <w:t> </w:t>
      </w:r>
      <w:r>
        <w:rPr>
          <w:color w:val="231F20"/>
          <w:spacing w:val="-2"/>
        </w:rPr>
        <w:t>esse</w:t>
      </w:r>
      <w:r>
        <w:rPr>
          <w:rFonts w:ascii="Times New Roman" w:hAnsi="Times New Roman"/>
          <w:color w:val="231F20"/>
          <w:spacing w:val="-2"/>
          <w:position w:val="8"/>
          <w:sz w:val="14"/>
        </w:rPr>
        <w:t>88</w:t>
      </w:r>
      <w:r>
        <w:rPr>
          <w:color w:val="231F20"/>
          <w:spacing w:val="-2"/>
        </w:rPr>
        <w:t>.</w:t>
      </w:r>
    </w:p>
    <w:p>
      <w:pPr>
        <w:pStyle w:val="BodyText"/>
        <w:spacing w:before="137"/>
      </w:pPr>
    </w:p>
    <w:p>
      <w:pPr>
        <w:pStyle w:val="ListParagraph"/>
        <w:numPr>
          <w:ilvl w:val="1"/>
          <w:numId w:val="4"/>
        </w:numPr>
        <w:tabs>
          <w:tab w:pos="526" w:val="left" w:leader="none"/>
        </w:tabs>
        <w:spacing w:line="244" w:lineRule="auto" w:before="0" w:after="0"/>
        <w:ind w:left="100" w:right="1076" w:firstLine="0"/>
        <w:jc w:val="left"/>
        <w:rPr>
          <w:b/>
          <w:sz w:val="24"/>
        </w:rPr>
      </w:pPr>
      <w:r>
        <w:rPr>
          <w:b/>
          <w:color w:val="231F20"/>
          <w:sz w:val="24"/>
        </w:rPr>
        <w:t>La</w:t>
      </w:r>
      <w:r>
        <w:rPr>
          <w:b/>
          <w:color w:val="231F20"/>
          <w:spacing w:val="-5"/>
          <w:sz w:val="24"/>
        </w:rPr>
        <w:t> </w:t>
      </w:r>
      <w:r>
        <w:rPr>
          <w:b/>
          <w:color w:val="231F20"/>
          <w:sz w:val="24"/>
        </w:rPr>
        <w:t>sentenza</w:t>
      </w:r>
      <w:r>
        <w:rPr>
          <w:b/>
          <w:color w:val="231F20"/>
          <w:spacing w:val="-5"/>
          <w:sz w:val="24"/>
        </w:rPr>
        <w:t> </w:t>
      </w:r>
      <w:r>
        <w:rPr>
          <w:b/>
          <w:color w:val="231F20"/>
          <w:sz w:val="24"/>
        </w:rPr>
        <w:t>nelle</w:t>
      </w:r>
      <w:r>
        <w:rPr>
          <w:b/>
          <w:color w:val="231F20"/>
          <w:spacing w:val="-5"/>
          <w:sz w:val="24"/>
        </w:rPr>
        <w:t> </w:t>
      </w:r>
      <w:r>
        <w:rPr>
          <w:b/>
          <w:color w:val="231F20"/>
          <w:sz w:val="24"/>
        </w:rPr>
        <w:t>cause</w:t>
      </w:r>
      <w:r>
        <w:rPr>
          <w:b/>
          <w:color w:val="231F20"/>
          <w:spacing w:val="-5"/>
          <w:sz w:val="24"/>
        </w:rPr>
        <w:t> </w:t>
      </w:r>
      <w:r>
        <w:rPr>
          <w:b/>
          <w:color w:val="231F20"/>
          <w:sz w:val="24"/>
        </w:rPr>
        <w:t>riunite</w:t>
      </w:r>
      <w:r>
        <w:rPr>
          <w:b/>
          <w:color w:val="231F20"/>
          <w:spacing w:val="-5"/>
          <w:sz w:val="24"/>
        </w:rPr>
        <w:t> </w:t>
      </w:r>
      <w:r>
        <w:rPr>
          <w:b/>
          <w:color w:val="231F20"/>
          <w:sz w:val="24"/>
        </w:rPr>
        <w:t>C-245/19</w:t>
      </w:r>
      <w:r>
        <w:rPr>
          <w:b/>
          <w:color w:val="231F20"/>
          <w:spacing w:val="-5"/>
          <w:sz w:val="24"/>
        </w:rPr>
        <w:t> </w:t>
      </w:r>
      <w:r>
        <w:rPr>
          <w:b/>
          <w:color w:val="231F20"/>
          <w:sz w:val="24"/>
        </w:rPr>
        <w:t>e</w:t>
      </w:r>
      <w:r>
        <w:rPr>
          <w:b/>
          <w:color w:val="231F20"/>
          <w:spacing w:val="-5"/>
          <w:sz w:val="24"/>
        </w:rPr>
        <w:t> </w:t>
      </w:r>
      <w:r>
        <w:rPr>
          <w:b/>
          <w:color w:val="231F20"/>
          <w:sz w:val="24"/>
        </w:rPr>
        <w:t>C-246/19,</w:t>
      </w:r>
      <w:r>
        <w:rPr>
          <w:b/>
          <w:color w:val="231F20"/>
          <w:spacing w:val="-5"/>
          <w:sz w:val="24"/>
        </w:rPr>
        <w:t> </w:t>
      </w:r>
      <w:r>
        <w:rPr>
          <w:b/>
          <w:color w:val="231F20"/>
          <w:sz w:val="24"/>
        </w:rPr>
        <w:t>État luxembourgeois contro B e contro B, C, D e F.C.</w:t>
      </w:r>
    </w:p>
    <w:p>
      <w:pPr>
        <w:pStyle w:val="BodyText"/>
        <w:spacing w:line="225" w:lineRule="auto" w:before="264"/>
        <w:ind w:left="100" w:right="174"/>
        <w:jc w:val="both"/>
      </w:pPr>
      <w:r>
        <w:rPr>
          <w:color w:val="231F20"/>
        </w:rPr>
        <w:t>Quattro</w:t>
      </w:r>
      <w:r>
        <w:rPr>
          <w:color w:val="231F20"/>
          <w:spacing w:val="-15"/>
        </w:rPr>
        <w:t> </w:t>
      </w:r>
      <w:r>
        <w:rPr>
          <w:color w:val="231F20"/>
        </w:rPr>
        <w:t>anni</w:t>
      </w:r>
      <w:r>
        <w:rPr>
          <w:color w:val="231F20"/>
          <w:spacing w:val="-14"/>
        </w:rPr>
        <w:t> </w:t>
      </w:r>
      <w:r>
        <w:rPr>
          <w:color w:val="231F20"/>
        </w:rPr>
        <w:t>dopo</w:t>
      </w:r>
      <w:r>
        <w:rPr>
          <w:color w:val="231F20"/>
          <w:spacing w:val="-15"/>
        </w:rPr>
        <w:t> </w:t>
      </w:r>
      <w:r>
        <w:rPr>
          <w:color w:val="231F20"/>
        </w:rPr>
        <w:t>l’ordinanza</w:t>
      </w:r>
      <w:r>
        <w:rPr>
          <w:color w:val="231F20"/>
          <w:spacing w:val="-14"/>
        </w:rPr>
        <w:t> </w:t>
      </w:r>
      <w:r>
        <w:rPr>
          <w:color w:val="231F20"/>
        </w:rPr>
        <w:t>di</w:t>
      </w:r>
      <w:r>
        <w:rPr>
          <w:color w:val="231F20"/>
          <w:spacing w:val="-15"/>
        </w:rPr>
        <w:t> </w:t>
      </w:r>
      <w:r>
        <w:rPr>
          <w:color w:val="231F20"/>
        </w:rPr>
        <w:t>rinvio</w:t>
      </w:r>
      <w:r>
        <w:rPr>
          <w:color w:val="231F20"/>
          <w:spacing w:val="-14"/>
        </w:rPr>
        <w:t> </w:t>
      </w:r>
      <w:r>
        <w:rPr>
          <w:color w:val="231F20"/>
        </w:rPr>
        <w:t>nella</w:t>
      </w:r>
      <w:r>
        <w:rPr>
          <w:color w:val="231F20"/>
          <w:spacing w:val="-15"/>
        </w:rPr>
        <w:t> </w:t>
      </w:r>
      <w:r>
        <w:rPr>
          <w:color w:val="231F20"/>
        </w:rPr>
        <w:t>causa</w:t>
      </w:r>
      <w:r>
        <w:rPr>
          <w:color w:val="231F20"/>
          <w:spacing w:val="-15"/>
        </w:rPr>
        <w:t> </w:t>
      </w:r>
      <w:r>
        <w:rPr>
          <w:i/>
          <w:color w:val="231F20"/>
        </w:rPr>
        <w:t>Berlioz</w:t>
      </w:r>
      <w:r>
        <w:rPr>
          <w:color w:val="231F20"/>
        </w:rPr>
        <w:t>,</w:t>
      </w:r>
      <w:r>
        <w:rPr>
          <w:color w:val="231F20"/>
          <w:spacing w:val="-14"/>
        </w:rPr>
        <w:t> </w:t>
      </w:r>
      <w:r>
        <w:rPr>
          <w:color w:val="231F20"/>
        </w:rPr>
        <w:t>la</w:t>
      </w:r>
      <w:r>
        <w:rPr>
          <w:color w:val="231F20"/>
          <w:spacing w:val="-15"/>
        </w:rPr>
        <w:t> </w:t>
      </w:r>
      <w:r>
        <w:rPr>
          <w:color w:val="231F20"/>
        </w:rPr>
        <w:t>Corte</w:t>
      </w:r>
      <w:r>
        <w:rPr>
          <w:color w:val="231F20"/>
          <w:spacing w:val="-14"/>
        </w:rPr>
        <w:t> </w:t>
      </w:r>
      <w:r>
        <w:rPr>
          <w:color w:val="231F20"/>
        </w:rPr>
        <w:t>ammi- nistrativa</w:t>
      </w:r>
      <w:r>
        <w:rPr>
          <w:color w:val="231F20"/>
          <w:spacing w:val="-14"/>
        </w:rPr>
        <w:t> </w:t>
      </w:r>
      <w:r>
        <w:rPr>
          <w:color w:val="231F20"/>
        </w:rPr>
        <w:t>d’appello</w:t>
      </w:r>
      <w:r>
        <w:rPr>
          <w:color w:val="231F20"/>
          <w:spacing w:val="-14"/>
        </w:rPr>
        <w:t> </w:t>
      </w:r>
      <w:r>
        <w:rPr>
          <w:color w:val="231F20"/>
        </w:rPr>
        <w:t>del</w:t>
      </w:r>
      <w:r>
        <w:rPr>
          <w:color w:val="231F20"/>
          <w:spacing w:val="-14"/>
        </w:rPr>
        <w:t> </w:t>
      </w:r>
      <w:r>
        <w:rPr>
          <w:color w:val="231F20"/>
        </w:rPr>
        <w:t>Granducato</w:t>
      </w:r>
      <w:r>
        <w:rPr>
          <w:color w:val="231F20"/>
          <w:spacing w:val="-14"/>
        </w:rPr>
        <w:t> </w:t>
      </w:r>
      <w:r>
        <w:rPr>
          <w:color w:val="231F20"/>
        </w:rPr>
        <w:t>del</w:t>
      </w:r>
      <w:r>
        <w:rPr>
          <w:color w:val="231F20"/>
          <w:spacing w:val="-14"/>
        </w:rPr>
        <w:t> </w:t>
      </w:r>
      <w:r>
        <w:rPr>
          <w:color w:val="231F20"/>
        </w:rPr>
        <w:t>Lussemburgo</w:t>
      </w:r>
      <w:r>
        <w:rPr>
          <w:color w:val="231F20"/>
          <w:spacing w:val="-14"/>
        </w:rPr>
        <w:t> </w:t>
      </w:r>
      <w:r>
        <w:rPr>
          <w:color w:val="231F20"/>
        </w:rPr>
        <w:t>ha</w:t>
      </w:r>
      <w:r>
        <w:rPr>
          <w:color w:val="231F20"/>
          <w:spacing w:val="-14"/>
        </w:rPr>
        <w:t> </w:t>
      </w:r>
      <w:r>
        <w:rPr>
          <w:color w:val="231F20"/>
        </w:rPr>
        <w:t>posto</w:t>
      </w:r>
      <w:r>
        <w:rPr>
          <w:color w:val="231F20"/>
          <w:spacing w:val="-14"/>
        </w:rPr>
        <w:t> </w:t>
      </w:r>
      <w:r>
        <w:rPr>
          <w:color w:val="231F20"/>
        </w:rPr>
        <w:t>alla</w:t>
      </w:r>
      <w:r>
        <w:rPr>
          <w:color w:val="231F20"/>
          <w:spacing w:val="-14"/>
        </w:rPr>
        <w:t> </w:t>
      </w:r>
      <w:r>
        <w:rPr>
          <w:color w:val="231F20"/>
        </w:rPr>
        <w:t>Corte</w:t>
      </w:r>
      <w:r>
        <w:rPr>
          <w:color w:val="231F20"/>
          <w:spacing w:val="-14"/>
        </w:rPr>
        <w:t> </w:t>
      </w:r>
      <w:r>
        <w:rPr>
          <w:color w:val="231F20"/>
        </w:rPr>
        <w:t>di giustizia</w:t>
      </w:r>
      <w:r>
        <w:rPr>
          <w:color w:val="231F20"/>
          <w:spacing w:val="5"/>
        </w:rPr>
        <w:t> </w:t>
      </w:r>
      <w:r>
        <w:rPr>
          <w:color w:val="231F20"/>
        </w:rPr>
        <w:t>altri</w:t>
      </w:r>
      <w:r>
        <w:rPr>
          <w:color w:val="231F20"/>
          <w:spacing w:val="7"/>
        </w:rPr>
        <w:t> </w:t>
      </w:r>
      <w:r>
        <w:rPr>
          <w:color w:val="231F20"/>
        </w:rPr>
        <w:t>due</w:t>
      </w:r>
      <w:r>
        <w:rPr>
          <w:color w:val="231F20"/>
          <w:spacing w:val="7"/>
        </w:rPr>
        <w:t> </w:t>
      </w:r>
      <w:r>
        <w:rPr>
          <w:color w:val="231F20"/>
        </w:rPr>
        <w:t>quesiti</w:t>
      </w:r>
      <w:r>
        <w:rPr>
          <w:color w:val="231F20"/>
          <w:spacing w:val="7"/>
        </w:rPr>
        <w:t> </w:t>
      </w:r>
      <w:r>
        <w:rPr>
          <w:color w:val="231F20"/>
        </w:rPr>
        <w:t>interpretativi</w:t>
      </w:r>
      <w:r>
        <w:rPr>
          <w:color w:val="231F20"/>
          <w:spacing w:val="8"/>
        </w:rPr>
        <w:t> </w:t>
      </w:r>
      <w:r>
        <w:rPr>
          <w:color w:val="231F20"/>
        </w:rPr>
        <w:t>riguardanti,</w:t>
      </w:r>
      <w:r>
        <w:rPr>
          <w:color w:val="231F20"/>
          <w:spacing w:val="7"/>
        </w:rPr>
        <w:t> </w:t>
      </w:r>
      <w:r>
        <w:rPr>
          <w:color w:val="231F20"/>
        </w:rPr>
        <w:t>nelle</w:t>
      </w:r>
      <w:r>
        <w:rPr>
          <w:color w:val="231F20"/>
          <w:spacing w:val="7"/>
        </w:rPr>
        <w:t> </w:t>
      </w:r>
      <w:r>
        <w:rPr>
          <w:color w:val="231F20"/>
        </w:rPr>
        <w:t>due</w:t>
      </w:r>
      <w:r>
        <w:rPr>
          <w:color w:val="231F20"/>
          <w:spacing w:val="7"/>
        </w:rPr>
        <w:t> </w:t>
      </w:r>
      <w:r>
        <w:rPr>
          <w:color w:val="231F20"/>
        </w:rPr>
        <w:t>cause</w:t>
      </w:r>
      <w:r>
        <w:rPr>
          <w:color w:val="231F20"/>
          <w:spacing w:val="8"/>
        </w:rPr>
        <w:t> </w:t>
      </w:r>
      <w:r>
        <w:rPr>
          <w:color w:val="231F20"/>
          <w:spacing w:val="-2"/>
        </w:rPr>
        <w:t>riunite</w:t>
      </w:r>
    </w:p>
    <w:p>
      <w:pPr>
        <w:pStyle w:val="BodyText"/>
        <w:spacing w:before="3"/>
        <w:rPr>
          <w:sz w:val="12"/>
        </w:rPr>
      </w:pPr>
      <w:r>
        <w:rPr/>
        <mc:AlternateContent>
          <mc:Choice Requires="wps">
            <w:drawing>
              <wp:anchor distT="0" distB="0" distL="0" distR="0" allowOverlap="1" layoutInCell="1" locked="0" behindDoc="1" simplePos="0" relativeHeight="487622144">
                <wp:simplePos x="0" y="0"/>
                <wp:positionH relativeFrom="page">
                  <wp:posOffset>864000</wp:posOffset>
                </wp:positionH>
                <wp:positionV relativeFrom="paragraph">
                  <wp:posOffset>114262</wp:posOffset>
                </wp:positionV>
                <wp:extent cx="792480" cy="1270"/>
                <wp:effectExtent l="0" t="0" r="0" b="0"/>
                <wp:wrapTopAndBottom/>
                <wp:docPr id="116" name="Graphic 116"/>
                <wp:cNvGraphicFramePr>
                  <a:graphicFrameLocks/>
                </wp:cNvGraphicFramePr>
                <a:graphic>
                  <a:graphicData uri="http://schemas.microsoft.com/office/word/2010/wordprocessingShape">
                    <wps:wsp>
                      <wps:cNvPr id="116" name="Graphic 116"/>
                      <wps:cNvSpPr/>
                      <wps:spPr>
                        <a:xfrm>
                          <a:off x="0" y="0"/>
                          <a:ext cx="792480" cy="1270"/>
                        </a:xfrm>
                        <a:custGeom>
                          <a:avLst/>
                          <a:gdLst/>
                          <a:ahLst/>
                          <a:cxnLst/>
                          <a:rect l="l" t="t" r="r" b="b"/>
                          <a:pathLst>
                            <a:path w="792480" h="0">
                              <a:moveTo>
                                <a:pt x="0" y="0"/>
                              </a:moveTo>
                              <a:lnTo>
                                <a:pt x="791997"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shape style="position:absolute;margin-left:68.031502pt;margin-top:8.997020pt;width:62.4pt;height:.1pt;mso-position-horizontal-relative:page;mso-position-vertical-relative:paragraph;z-index:-15694336;mso-wrap-distance-left:0;mso-wrap-distance-right:0" id="docshape96" coordorigin="1361,180" coordsize="1248,0" path="m1361,180l2608,180e" filled="false" stroked="true" strokeweight=".5pt" strokecolor="#231f20">
                <v:path arrowok="t"/>
                <v:stroke dashstyle="solid"/>
                <w10:wrap type="topAndBottom"/>
              </v:shape>
            </w:pict>
          </mc:Fallback>
        </mc:AlternateContent>
      </w:r>
    </w:p>
    <w:p>
      <w:pPr>
        <w:spacing w:line="238" w:lineRule="exact" w:before="187"/>
        <w:ind w:left="100" w:right="0" w:firstLine="0"/>
        <w:jc w:val="both"/>
        <w:rPr>
          <w:rFonts w:ascii="Times New Roman"/>
          <w:sz w:val="19"/>
        </w:rPr>
      </w:pPr>
      <w:r>
        <w:rPr>
          <w:color w:val="231F20"/>
          <w:sz w:val="19"/>
          <w:vertAlign w:val="superscript"/>
        </w:rPr>
        <w:t>86</w:t>
      </w:r>
      <w:r>
        <w:rPr>
          <w:color w:val="231F20"/>
          <w:spacing w:val="34"/>
          <w:sz w:val="19"/>
          <w:vertAlign w:val="baseline"/>
        </w:rPr>
        <w:t>  </w:t>
      </w:r>
      <w:r>
        <w:rPr>
          <w:rFonts w:ascii="Times New Roman"/>
          <w:color w:val="231F20"/>
          <w:sz w:val="19"/>
          <w:vertAlign w:val="baseline"/>
        </w:rPr>
        <w:t>Corte giust. UE, sent. del 16 maggio 2017, causa C-682/15, cit.,</w:t>
      </w:r>
      <w:r>
        <w:rPr>
          <w:rFonts w:ascii="Times New Roman"/>
          <w:color w:val="231F20"/>
          <w:spacing w:val="-1"/>
          <w:sz w:val="19"/>
          <w:vertAlign w:val="baseline"/>
        </w:rPr>
        <w:t> </w:t>
      </w:r>
      <w:r>
        <w:rPr>
          <w:rFonts w:ascii="Times New Roman"/>
          <w:color w:val="231F20"/>
          <w:sz w:val="19"/>
          <w:vertAlign w:val="baseline"/>
        </w:rPr>
        <w:t>punto </w:t>
      </w:r>
      <w:r>
        <w:rPr>
          <w:rFonts w:ascii="Times New Roman"/>
          <w:color w:val="231F20"/>
          <w:spacing w:val="-5"/>
          <w:sz w:val="19"/>
          <w:vertAlign w:val="baseline"/>
        </w:rPr>
        <w:t>92.</w:t>
      </w:r>
    </w:p>
    <w:p>
      <w:pPr>
        <w:spacing w:line="225" w:lineRule="auto" w:before="4"/>
        <w:ind w:left="100" w:right="174" w:firstLine="0"/>
        <w:jc w:val="both"/>
        <w:rPr>
          <w:sz w:val="19"/>
        </w:rPr>
      </w:pPr>
      <w:r>
        <w:rPr>
          <w:color w:val="231F20"/>
          <w:position w:val="6"/>
          <w:sz w:val="11"/>
        </w:rPr>
        <w:t>87</w:t>
      </w:r>
      <w:r>
        <w:rPr>
          <w:color w:val="231F20"/>
          <w:spacing w:val="80"/>
          <w:position w:val="6"/>
          <w:sz w:val="11"/>
        </w:rPr>
        <w:t> </w:t>
      </w:r>
      <w:r>
        <w:rPr>
          <w:color w:val="231F20"/>
          <w:sz w:val="19"/>
        </w:rPr>
        <w:t>Art.</w:t>
      </w:r>
      <w:r>
        <w:rPr>
          <w:color w:val="231F20"/>
          <w:spacing w:val="-6"/>
          <w:sz w:val="19"/>
        </w:rPr>
        <w:t> </w:t>
      </w:r>
      <w:r>
        <w:rPr>
          <w:color w:val="231F20"/>
          <w:sz w:val="19"/>
        </w:rPr>
        <w:t>16,</w:t>
      </w:r>
      <w:r>
        <w:rPr>
          <w:color w:val="231F20"/>
          <w:spacing w:val="-6"/>
          <w:sz w:val="19"/>
        </w:rPr>
        <w:t> </w:t>
      </w:r>
      <w:r>
        <w:rPr>
          <w:color w:val="231F20"/>
          <w:sz w:val="19"/>
        </w:rPr>
        <w:t>par.</w:t>
      </w:r>
      <w:r>
        <w:rPr>
          <w:color w:val="231F20"/>
          <w:spacing w:val="-6"/>
          <w:sz w:val="19"/>
        </w:rPr>
        <w:t> </w:t>
      </w:r>
      <w:r>
        <w:rPr>
          <w:color w:val="231F20"/>
          <w:sz w:val="19"/>
        </w:rPr>
        <w:t>1,</w:t>
      </w:r>
      <w:r>
        <w:rPr>
          <w:color w:val="231F20"/>
          <w:spacing w:val="-6"/>
          <w:sz w:val="19"/>
        </w:rPr>
        <w:t> </w:t>
      </w:r>
      <w:r>
        <w:rPr>
          <w:color w:val="231F20"/>
          <w:sz w:val="19"/>
        </w:rPr>
        <w:t>della</w:t>
      </w:r>
      <w:r>
        <w:rPr>
          <w:color w:val="231F20"/>
          <w:spacing w:val="-6"/>
          <w:sz w:val="19"/>
        </w:rPr>
        <w:t> </w:t>
      </w:r>
      <w:r>
        <w:rPr>
          <w:color w:val="231F20"/>
          <w:sz w:val="19"/>
        </w:rPr>
        <w:t>direttiva</w:t>
      </w:r>
      <w:r>
        <w:rPr>
          <w:color w:val="231F20"/>
          <w:spacing w:val="-6"/>
          <w:sz w:val="19"/>
        </w:rPr>
        <w:t> </w:t>
      </w:r>
      <w:r>
        <w:rPr>
          <w:color w:val="231F20"/>
          <w:sz w:val="19"/>
        </w:rPr>
        <w:t>2011/16/UE:</w:t>
      </w:r>
      <w:r>
        <w:rPr>
          <w:color w:val="231F20"/>
          <w:spacing w:val="-6"/>
          <w:sz w:val="19"/>
        </w:rPr>
        <w:t> </w:t>
      </w:r>
      <w:r>
        <w:rPr>
          <w:color w:val="231F20"/>
          <w:sz w:val="19"/>
        </w:rPr>
        <w:t>«Le</w:t>
      </w:r>
      <w:r>
        <w:rPr>
          <w:color w:val="231F20"/>
          <w:spacing w:val="-6"/>
          <w:sz w:val="19"/>
        </w:rPr>
        <w:t> </w:t>
      </w:r>
      <w:r>
        <w:rPr>
          <w:color w:val="231F20"/>
          <w:sz w:val="19"/>
        </w:rPr>
        <w:t>informazioni</w:t>
      </w:r>
      <w:r>
        <w:rPr>
          <w:color w:val="231F20"/>
          <w:spacing w:val="-6"/>
          <w:sz w:val="19"/>
        </w:rPr>
        <w:t> </w:t>
      </w:r>
      <w:r>
        <w:rPr>
          <w:color w:val="231F20"/>
          <w:sz w:val="19"/>
        </w:rPr>
        <w:t>comunicate</w:t>
      </w:r>
      <w:r>
        <w:rPr>
          <w:color w:val="231F20"/>
          <w:spacing w:val="-6"/>
          <w:sz w:val="19"/>
        </w:rPr>
        <w:t> </w:t>
      </w:r>
      <w:r>
        <w:rPr>
          <w:color w:val="231F20"/>
          <w:sz w:val="19"/>
        </w:rPr>
        <w:t>tra</w:t>
      </w:r>
      <w:r>
        <w:rPr>
          <w:color w:val="231F20"/>
          <w:spacing w:val="-6"/>
          <w:sz w:val="19"/>
        </w:rPr>
        <w:t> </w:t>
      </w:r>
      <w:r>
        <w:rPr>
          <w:color w:val="231F20"/>
          <w:sz w:val="19"/>
        </w:rPr>
        <w:t>Stati</w:t>
      </w:r>
      <w:r>
        <w:rPr>
          <w:color w:val="231F20"/>
          <w:spacing w:val="-6"/>
          <w:sz w:val="19"/>
        </w:rPr>
        <w:t> </w:t>
      </w:r>
      <w:r>
        <w:rPr>
          <w:color w:val="231F20"/>
          <w:sz w:val="19"/>
        </w:rPr>
        <w:t>membri in qualsiasi forma ai sensi della presente direttiva sono coperte dal segreto d’ufficio e godono della</w:t>
      </w:r>
      <w:r>
        <w:rPr>
          <w:color w:val="231F20"/>
          <w:spacing w:val="-9"/>
          <w:sz w:val="19"/>
        </w:rPr>
        <w:t> </w:t>
      </w:r>
      <w:r>
        <w:rPr>
          <w:color w:val="231F20"/>
          <w:sz w:val="19"/>
        </w:rPr>
        <w:t>protezione</w:t>
      </w:r>
      <w:r>
        <w:rPr>
          <w:color w:val="231F20"/>
          <w:spacing w:val="-9"/>
          <w:sz w:val="19"/>
        </w:rPr>
        <w:t> </w:t>
      </w:r>
      <w:r>
        <w:rPr>
          <w:color w:val="231F20"/>
          <w:sz w:val="19"/>
        </w:rPr>
        <w:t>accordata</w:t>
      </w:r>
      <w:r>
        <w:rPr>
          <w:color w:val="231F20"/>
          <w:spacing w:val="-9"/>
          <w:sz w:val="19"/>
        </w:rPr>
        <w:t> </w:t>
      </w:r>
      <w:r>
        <w:rPr>
          <w:color w:val="231F20"/>
          <w:sz w:val="19"/>
        </w:rPr>
        <w:t>alle</w:t>
      </w:r>
      <w:r>
        <w:rPr>
          <w:color w:val="231F20"/>
          <w:spacing w:val="-9"/>
          <w:sz w:val="19"/>
        </w:rPr>
        <w:t> </w:t>
      </w:r>
      <w:r>
        <w:rPr>
          <w:color w:val="231F20"/>
          <w:sz w:val="19"/>
        </w:rPr>
        <w:t>informazioni</w:t>
      </w:r>
      <w:r>
        <w:rPr>
          <w:color w:val="231F20"/>
          <w:spacing w:val="-9"/>
          <w:sz w:val="19"/>
        </w:rPr>
        <w:t> </w:t>
      </w:r>
      <w:r>
        <w:rPr>
          <w:color w:val="231F20"/>
          <w:sz w:val="19"/>
        </w:rPr>
        <w:t>di</w:t>
      </w:r>
      <w:r>
        <w:rPr>
          <w:color w:val="231F20"/>
          <w:spacing w:val="-9"/>
          <w:sz w:val="19"/>
        </w:rPr>
        <w:t> </w:t>
      </w:r>
      <w:r>
        <w:rPr>
          <w:color w:val="231F20"/>
          <w:sz w:val="19"/>
        </w:rPr>
        <w:t>analoga</w:t>
      </w:r>
      <w:r>
        <w:rPr>
          <w:color w:val="231F20"/>
          <w:spacing w:val="-9"/>
          <w:sz w:val="19"/>
        </w:rPr>
        <w:t> </w:t>
      </w:r>
      <w:r>
        <w:rPr>
          <w:color w:val="231F20"/>
          <w:sz w:val="19"/>
        </w:rPr>
        <w:t>natura</w:t>
      </w:r>
      <w:r>
        <w:rPr>
          <w:color w:val="231F20"/>
          <w:spacing w:val="-9"/>
          <w:sz w:val="19"/>
        </w:rPr>
        <w:t> </w:t>
      </w:r>
      <w:r>
        <w:rPr>
          <w:color w:val="231F20"/>
          <w:sz w:val="19"/>
        </w:rPr>
        <w:t>dalla</w:t>
      </w:r>
      <w:r>
        <w:rPr>
          <w:color w:val="231F20"/>
          <w:spacing w:val="-9"/>
          <w:sz w:val="19"/>
        </w:rPr>
        <w:t> </w:t>
      </w:r>
      <w:r>
        <w:rPr>
          <w:color w:val="231F20"/>
          <w:sz w:val="19"/>
        </w:rPr>
        <w:t>legislazione</w:t>
      </w:r>
      <w:r>
        <w:rPr>
          <w:color w:val="231F20"/>
          <w:spacing w:val="-9"/>
          <w:sz w:val="19"/>
        </w:rPr>
        <w:t> </w:t>
      </w:r>
      <w:r>
        <w:rPr>
          <w:color w:val="231F20"/>
          <w:sz w:val="19"/>
        </w:rPr>
        <w:t>nazionale</w:t>
      </w:r>
      <w:r>
        <w:rPr>
          <w:color w:val="231F20"/>
          <w:spacing w:val="-9"/>
          <w:sz w:val="19"/>
        </w:rPr>
        <w:t> </w:t>
      </w:r>
      <w:r>
        <w:rPr>
          <w:color w:val="231F20"/>
          <w:sz w:val="19"/>
        </w:rPr>
        <w:t>dello Stato membro che le riceve».</w:t>
      </w:r>
    </w:p>
    <w:p>
      <w:pPr>
        <w:spacing w:line="225" w:lineRule="auto" w:before="4"/>
        <w:ind w:left="100" w:right="175" w:firstLine="0"/>
        <w:jc w:val="both"/>
        <w:rPr>
          <w:sz w:val="19"/>
        </w:rPr>
      </w:pPr>
      <w:r>
        <w:rPr>
          <w:color w:val="231F20"/>
          <w:position w:val="6"/>
          <w:sz w:val="11"/>
        </w:rPr>
        <w:t>88</w:t>
      </w:r>
      <w:r>
        <w:rPr>
          <w:color w:val="231F20"/>
          <w:spacing w:val="80"/>
          <w:position w:val="6"/>
          <w:sz w:val="11"/>
        </w:rPr>
        <w:t> </w:t>
      </w:r>
      <w:r>
        <w:rPr>
          <w:color w:val="231F20"/>
          <w:sz w:val="19"/>
        </w:rPr>
        <w:t>Corte giust. UE, ult. cit., punti 95, 99 e 100, integralmente ripresi nella successiva Corte giust. UE, sent. del 25 novembre 2021, C-437/19, cit., punto 91.</w:t>
      </w:r>
    </w:p>
    <w:p>
      <w:pPr>
        <w:spacing w:after="0" w:line="225" w:lineRule="auto"/>
        <w:jc w:val="both"/>
        <w:rPr>
          <w:sz w:val="19"/>
        </w:rPr>
        <w:sectPr>
          <w:pgSz w:w="9640" w:h="13610"/>
          <w:pgMar w:header="0" w:footer="625" w:top="1260" w:bottom="820" w:left="1260" w:right="1240"/>
        </w:sectPr>
      </w:pPr>
    </w:p>
    <w:p>
      <w:pPr>
        <w:pStyle w:val="BodyText"/>
        <w:spacing w:line="225" w:lineRule="auto" w:before="117"/>
        <w:ind w:left="157" w:right="117"/>
        <w:jc w:val="both"/>
      </w:pPr>
      <w:r>
        <w:rPr/>
        <mc:AlternateContent>
          <mc:Choice Requires="wps">
            <w:drawing>
              <wp:anchor distT="0" distB="0" distL="0" distR="0" allowOverlap="1" layoutInCell="1" locked="0" behindDoc="0" simplePos="0" relativeHeight="15763968">
                <wp:simplePos x="0" y="0"/>
                <wp:positionH relativeFrom="page">
                  <wp:posOffset>5608609</wp:posOffset>
                </wp:positionH>
                <wp:positionV relativeFrom="page">
                  <wp:posOffset>2376001</wp:posOffset>
                </wp:positionV>
                <wp:extent cx="511809" cy="2412365"/>
                <wp:effectExtent l="0" t="0" r="0" b="0"/>
                <wp:wrapNone/>
                <wp:docPr id="117" name="Group 117"/>
                <wp:cNvGraphicFramePr>
                  <a:graphicFrameLocks/>
                </wp:cNvGraphicFramePr>
                <a:graphic>
                  <a:graphicData uri="http://schemas.microsoft.com/office/word/2010/wordprocessingGroup">
                    <wpg:wgp>
                      <wpg:cNvPr id="117" name="Group 117"/>
                      <wpg:cNvGrpSpPr/>
                      <wpg:grpSpPr>
                        <a:xfrm>
                          <a:off x="0" y="0"/>
                          <a:ext cx="511809" cy="2412365"/>
                          <a:chExt cx="511809" cy="2412365"/>
                        </a:xfrm>
                      </wpg:grpSpPr>
                      <wps:wsp>
                        <wps:cNvPr id="118" name="Graphic 118"/>
                        <wps:cNvSpPr/>
                        <wps:spPr>
                          <a:xfrm>
                            <a:off x="7393" y="3"/>
                            <a:ext cx="504190" cy="360045"/>
                          </a:xfrm>
                          <a:custGeom>
                            <a:avLst/>
                            <a:gdLst/>
                            <a:ahLst/>
                            <a:cxnLst/>
                            <a:rect l="l" t="t" r="r" b="b"/>
                            <a:pathLst>
                              <a:path w="504190" h="360045">
                                <a:moveTo>
                                  <a:pt x="503999" y="0"/>
                                </a:moveTo>
                                <a:lnTo>
                                  <a:pt x="0" y="0"/>
                                </a:lnTo>
                                <a:lnTo>
                                  <a:pt x="0" y="359994"/>
                                </a:lnTo>
                                <a:lnTo>
                                  <a:pt x="503999" y="359994"/>
                                </a:lnTo>
                                <a:lnTo>
                                  <a:pt x="503999" y="0"/>
                                </a:lnTo>
                                <a:close/>
                              </a:path>
                            </a:pathLst>
                          </a:custGeom>
                          <a:solidFill>
                            <a:srgbClr val="939598"/>
                          </a:solidFill>
                        </wps:spPr>
                        <wps:bodyPr wrap="square" lIns="0" tIns="0" rIns="0" bIns="0" rtlCol="0">
                          <a:prstTxWarp prst="textNoShape">
                            <a:avLst/>
                          </a:prstTxWarp>
                          <a:noAutofit/>
                        </wps:bodyPr>
                      </wps:wsp>
                      <wps:wsp>
                        <wps:cNvPr id="119" name="Graphic 119"/>
                        <wps:cNvSpPr/>
                        <wps:spPr>
                          <a:xfrm>
                            <a:off x="6350" y="0"/>
                            <a:ext cx="1270" cy="2412365"/>
                          </a:xfrm>
                          <a:custGeom>
                            <a:avLst/>
                            <a:gdLst/>
                            <a:ahLst/>
                            <a:cxnLst/>
                            <a:rect l="l" t="t" r="r" b="b"/>
                            <a:pathLst>
                              <a:path w="0" h="2412365">
                                <a:moveTo>
                                  <a:pt x="0" y="0"/>
                                </a:moveTo>
                                <a:lnTo>
                                  <a:pt x="0" y="2411996"/>
                                </a:lnTo>
                              </a:path>
                            </a:pathLst>
                          </a:custGeom>
                          <a:ln w="12700">
                            <a:solidFill>
                              <a:srgbClr val="939598"/>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441.622803pt;margin-top:187.0867pt;width:40.3pt;height:189.95pt;mso-position-horizontal-relative:page;mso-position-vertical-relative:page;z-index:15763968" id="docshapegroup97" coordorigin="8832,3742" coordsize="806,3799">
                <v:rect style="position:absolute;left:8844;top:3741;width:794;height:567" id="docshape98" filled="true" fillcolor="#939598" stroked="false">
                  <v:fill type="solid"/>
                </v:rect>
                <v:line style="position:absolute" from="8842,3742" to="8842,7540" stroked="true" strokeweight="1pt" strokecolor="#939598">
                  <v:stroke dashstyle="solid"/>
                </v:line>
                <w10:wrap type="none"/>
              </v:group>
            </w:pict>
          </mc:Fallback>
        </mc:AlternateContent>
      </w:r>
      <w:r>
        <w:rPr/>
        <mc:AlternateContent>
          <mc:Choice Requires="wps">
            <w:drawing>
              <wp:anchor distT="0" distB="0" distL="0" distR="0" allowOverlap="1" layoutInCell="1" locked="0" behindDoc="0" simplePos="0" relativeHeight="15764480">
                <wp:simplePos x="0" y="0"/>
                <wp:positionH relativeFrom="page">
                  <wp:posOffset>5635147</wp:posOffset>
                </wp:positionH>
                <wp:positionV relativeFrom="page">
                  <wp:posOffset>2795300</wp:posOffset>
                </wp:positionV>
                <wp:extent cx="299720" cy="1995805"/>
                <wp:effectExtent l="0" t="0" r="0" b="0"/>
                <wp:wrapNone/>
                <wp:docPr id="120" name="Textbox 120"/>
                <wp:cNvGraphicFramePr>
                  <a:graphicFrameLocks/>
                </wp:cNvGraphicFramePr>
                <a:graphic>
                  <a:graphicData uri="http://schemas.microsoft.com/office/word/2010/wordprocessingShape">
                    <wps:wsp>
                      <wps:cNvPr id="120" name="Textbox 120"/>
                      <wps:cNvSpPr txBox="1"/>
                      <wps:spPr>
                        <a:xfrm>
                          <a:off x="0" y="0"/>
                          <a:ext cx="299720" cy="1995805"/>
                        </a:xfrm>
                        <a:prstGeom prst="rect">
                          <a:avLst/>
                        </a:prstGeom>
                      </wps:spPr>
                      <wps:txbx>
                        <w:txbxContent>
                          <w:p>
                            <w:pPr>
                              <w:spacing w:before="20"/>
                              <w:ind w:left="20" w:right="0" w:firstLine="0"/>
                              <w:jc w:val="left"/>
                              <w:rPr>
                                <w:rFonts w:ascii="Minion Pro"/>
                                <w:sz w:val="32"/>
                              </w:rPr>
                            </w:pPr>
                            <w:r>
                              <w:rPr>
                                <w:rFonts w:ascii="Minion Pro"/>
                                <w:color w:val="231F20"/>
                                <w:sz w:val="32"/>
                              </w:rPr>
                              <w:t>Commented</w:t>
                            </w:r>
                            <w:r>
                              <w:rPr>
                                <w:rFonts w:ascii="Minion Pro"/>
                                <w:color w:val="231F20"/>
                                <w:spacing w:val="-10"/>
                                <w:sz w:val="32"/>
                              </w:rPr>
                              <w:t> </w:t>
                            </w:r>
                            <w:r>
                              <w:rPr>
                                <w:rFonts w:ascii="Minion Pro"/>
                                <w:color w:val="231F20"/>
                                <w:spacing w:val="-2"/>
                                <w:sz w:val="32"/>
                              </w:rPr>
                              <w:t>documents</w:t>
                            </w:r>
                          </w:p>
                        </w:txbxContent>
                      </wps:txbx>
                      <wps:bodyPr wrap="square" lIns="0" tIns="0" rIns="0" bIns="0" rtlCol="0" vert="vert">
                        <a:noAutofit/>
                      </wps:bodyPr>
                    </wps:wsp>
                  </a:graphicData>
                </a:graphic>
              </wp:anchor>
            </w:drawing>
          </mc:Choice>
          <mc:Fallback>
            <w:pict>
              <v:shape style="position:absolute;margin-left:443.712402pt;margin-top:220.102402pt;width:23.6pt;height:157.15pt;mso-position-horizontal-relative:page;mso-position-vertical-relative:page;z-index:15764480" type="#_x0000_t202" id="docshape99" filled="false" stroked="false">
                <v:textbox inset="0,0,0,0" style="layout-flow:vertical">
                  <w:txbxContent>
                    <w:p>
                      <w:pPr>
                        <w:spacing w:before="20"/>
                        <w:ind w:left="20" w:right="0" w:firstLine="0"/>
                        <w:jc w:val="left"/>
                        <w:rPr>
                          <w:rFonts w:ascii="Minion Pro"/>
                          <w:sz w:val="32"/>
                        </w:rPr>
                      </w:pPr>
                      <w:r>
                        <w:rPr>
                          <w:rFonts w:ascii="Minion Pro"/>
                          <w:color w:val="231F20"/>
                          <w:sz w:val="32"/>
                        </w:rPr>
                        <w:t>Commented</w:t>
                      </w:r>
                      <w:r>
                        <w:rPr>
                          <w:rFonts w:ascii="Minion Pro"/>
                          <w:color w:val="231F20"/>
                          <w:spacing w:val="-10"/>
                          <w:sz w:val="32"/>
                        </w:rPr>
                        <w:t> </w:t>
                      </w:r>
                      <w:r>
                        <w:rPr>
                          <w:rFonts w:ascii="Minion Pro"/>
                          <w:color w:val="231F20"/>
                          <w:spacing w:val="-2"/>
                          <w:sz w:val="32"/>
                        </w:rPr>
                        <w:t>documents</w:t>
                      </w:r>
                    </w:p>
                  </w:txbxContent>
                </v:textbox>
                <w10:wrap type="none"/>
              </v:shape>
            </w:pict>
          </mc:Fallback>
        </mc:AlternateContent>
      </w:r>
      <w:r>
        <w:rPr>
          <w:color w:val="231F20"/>
        </w:rPr>
        <w:t>C-245/19 e C-246/19</w:t>
      </w:r>
      <w:r>
        <w:rPr>
          <w:rFonts w:ascii="Times New Roman" w:hAnsi="Times New Roman"/>
          <w:color w:val="231F20"/>
          <w:position w:val="8"/>
          <w:sz w:val="14"/>
        </w:rPr>
        <w:t>89</w:t>
      </w:r>
      <w:r>
        <w:rPr>
          <w:color w:val="231F20"/>
        </w:rPr>
        <w:t>, la tutela giurisdizionale di tutti i soggetti </w:t>
      </w:r>
      <w:r>
        <w:rPr>
          <w:color w:val="231F20"/>
        </w:rPr>
        <w:t>coin- volti nella procedura di scambio di informazioni regolata dalla direttiva 2011/16/UE. I due processi </w:t>
      </w:r>
      <w:r>
        <w:rPr>
          <w:i/>
          <w:color w:val="231F20"/>
        </w:rPr>
        <w:t>a quo </w:t>
      </w:r>
      <w:r>
        <w:rPr>
          <w:color w:val="231F20"/>
        </w:rPr>
        <w:t>avevano tratto origine da una richiesta di</w:t>
      </w:r>
      <w:r>
        <w:rPr>
          <w:color w:val="231F20"/>
          <w:spacing w:val="-15"/>
        </w:rPr>
        <w:t> </w:t>
      </w:r>
      <w:r>
        <w:rPr>
          <w:color w:val="231F20"/>
        </w:rPr>
        <w:t>informazioni</w:t>
      </w:r>
      <w:r>
        <w:rPr>
          <w:color w:val="231F20"/>
          <w:spacing w:val="-15"/>
        </w:rPr>
        <w:t> </w:t>
      </w:r>
      <w:r>
        <w:rPr>
          <w:color w:val="231F20"/>
        </w:rPr>
        <w:t>trasmessa</w:t>
      </w:r>
      <w:r>
        <w:rPr>
          <w:color w:val="231F20"/>
          <w:spacing w:val="-15"/>
        </w:rPr>
        <w:t> </w:t>
      </w:r>
      <w:r>
        <w:rPr>
          <w:color w:val="231F20"/>
        </w:rPr>
        <w:t>dall’amministrazione</w:t>
      </w:r>
      <w:r>
        <w:rPr>
          <w:color w:val="231F20"/>
          <w:spacing w:val="-15"/>
        </w:rPr>
        <w:t> </w:t>
      </w:r>
      <w:r>
        <w:rPr>
          <w:color w:val="231F20"/>
        </w:rPr>
        <w:t>finanziaria</w:t>
      </w:r>
      <w:r>
        <w:rPr>
          <w:color w:val="231F20"/>
          <w:spacing w:val="-15"/>
        </w:rPr>
        <w:t> </w:t>
      </w:r>
      <w:r>
        <w:rPr>
          <w:color w:val="231F20"/>
        </w:rPr>
        <w:t>spagnola</w:t>
      </w:r>
      <w:r>
        <w:rPr>
          <w:color w:val="231F20"/>
          <w:spacing w:val="-15"/>
        </w:rPr>
        <w:t> </w:t>
      </w:r>
      <w:r>
        <w:rPr>
          <w:color w:val="231F20"/>
        </w:rPr>
        <w:t>all’am- ministrazione finanziaria lussemburghese ed avente ad oggetto i rapporti d’affari</w:t>
      </w:r>
      <w:r>
        <w:rPr>
          <w:color w:val="231F20"/>
          <w:spacing w:val="-3"/>
        </w:rPr>
        <w:t> </w:t>
      </w:r>
      <w:r>
        <w:rPr>
          <w:color w:val="231F20"/>
        </w:rPr>
        <w:t>che</w:t>
      </w:r>
      <w:r>
        <w:rPr>
          <w:color w:val="231F20"/>
          <w:spacing w:val="-3"/>
        </w:rPr>
        <w:t> </w:t>
      </w:r>
      <w:r>
        <w:rPr>
          <w:color w:val="231F20"/>
        </w:rPr>
        <w:t>il</w:t>
      </w:r>
      <w:r>
        <w:rPr>
          <w:color w:val="231F20"/>
          <w:spacing w:val="-3"/>
        </w:rPr>
        <w:t> </w:t>
      </w:r>
      <w:r>
        <w:rPr>
          <w:color w:val="231F20"/>
        </w:rPr>
        <w:t>contribuente</w:t>
      </w:r>
      <w:r>
        <w:rPr>
          <w:color w:val="231F20"/>
          <w:spacing w:val="-3"/>
        </w:rPr>
        <w:t> </w:t>
      </w:r>
      <w:r>
        <w:rPr>
          <w:i/>
          <w:color w:val="231F20"/>
        </w:rPr>
        <w:t>F.C</w:t>
      </w:r>
      <w:r>
        <w:rPr>
          <w:color w:val="231F20"/>
        </w:rPr>
        <w:t>.,</w:t>
      </w:r>
      <w:r>
        <w:rPr>
          <w:color w:val="231F20"/>
          <w:spacing w:val="-3"/>
        </w:rPr>
        <w:t> </w:t>
      </w:r>
      <w:r>
        <w:rPr>
          <w:color w:val="231F20"/>
        </w:rPr>
        <w:t>con</w:t>
      </w:r>
      <w:r>
        <w:rPr>
          <w:color w:val="231F20"/>
          <w:spacing w:val="-3"/>
        </w:rPr>
        <w:t> </w:t>
      </w:r>
      <w:r>
        <w:rPr>
          <w:color w:val="231F20"/>
        </w:rPr>
        <w:t>domicilio</w:t>
      </w:r>
      <w:r>
        <w:rPr>
          <w:color w:val="231F20"/>
          <w:spacing w:val="-3"/>
        </w:rPr>
        <w:t> </w:t>
      </w:r>
      <w:r>
        <w:rPr>
          <w:color w:val="231F20"/>
        </w:rPr>
        <w:t>fiscale</w:t>
      </w:r>
      <w:r>
        <w:rPr>
          <w:color w:val="231F20"/>
          <w:spacing w:val="-3"/>
        </w:rPr>
        <w:t> </w:t>
      </w:r>
      <w:r>
        <w:rPr>
          <w:color w:val="231F20"/>
        </w:rPr>
        <w:t>in</w:t>
      </w:r>
      <w:r>
        <w:rPr>
          <w:color w:val="231F20"/>
          <w:spacing w:val="-3"/>
        </w:rPr>
        <w:t> </w:t>
      </w:r>
      <w:r>
        <w:rPr>
          <w:color w:val="231F20"/>
        </w:rPr>
        <w:t>Spagna,</w:t>
      </w:r>
      <w:r>
        <w:rPr>
          <w:color w:val="231F20"/>
          <w:spacing w:val="-3"/>
        </w:rPr>
        <w:t> </w:t>
      </w:r>
      <w:r>
        <w:rPr>
          <w:color w:val="231F20"/>
        </w:rPr>
        <w:t>aveva</w:t>
      </w:r>
      <w:r>
        <w:rPr>
          <w:color w:val="231F20"/>
          <w:spacing w:val="-3"/>
        </w:rPr>
        <w:t> </w:t>
      </w:r>
      <w:r>
        <w:rPr>
          <w:color w:val="231F20"/>
        </w:rPr>
        <w:t>in- trattenuto con la società </w:t>
      </w:r>
      <w:r>
        <w:rPr>
          <w:i/>
          <w:color w:val="231F20"/>
        </w:rPr>
        <w:t>B </w:t>
      </w:r>
      <w:r>
        <w:rPr>
          <w:color w:val="231F20"/>
        </w:rPr>
        <w:t>e con la banca </w:t>
      </w:r>
      <w:r>
        <w:rPr>
          <w:i/>
          <w:color w:val="231F20"/>
        </w:rPr>
        <w:t>A </w:t>
      </w:r>
      <w:r>
        <w:rPr>
          <w:color w:val="231F20"/>
        </w:rPr>
        <w:t>entrambe aventi la loro sede sociale</w:t>
      </w:r>
      <w:r>
        <w:rPr>
          <w:color w:val="231F20"/>
          <w:spacing w:val="-1"/>
        </w:rPr>
        <w:t> </w:t>
      </w:r>
      <w:r>
        <w:rPr>
          <w:color w:val="231F20"/>
        </w:rPr>
        <w:t>in</w:t>
      </w:r>
      <w:r>
        <w:rPr>
          <w:color w:val="231F20"/>
          <w:spacing w:val="-1"/>
        </w:rPr>
        <w:t> </w:t>
      </w:r>
      <w:r>
        <w:rPr>
          <w:color w:val="231F20"/>
        </w:rPr>
        <w:t>Lussemburgo.</w:t>
      </w:r>
      <w:r>
        <w:rPr>
          <w:color w:val="231F20"/>
          <w:spacing w:val="-1"/>
        </w:rPr>
        <w:t> </w:t>
      </w:r>
      <w:r>
        <w:rPr>
          <w:color w:val="231F20"/>
        </w:rPr>
        <w:t>La</w:t>
      </w:r>
      <w:r>
        <w:rPr>
          <w:color w:val="231F20"/>
          <w:spacing w:val="-1"/>
        </w:rPr>
        <w:t> </w:t>
      </w:r>
      <w:r>
        <w:rPr>
          <w:color w:val="231F20"/>
        </w:rPr>
        <w:t>novità</w:t>
      </w:r>
      <w:r>
        <w:rPr>
          <w:color w:val="231F20"/>
          <w:spacing w:val="-1"/>
        </w:rPr>
        <w:t> </w:t>
      </w:r>
      <w:r>
        <w:rPr>
          <w:color w:val="231F20"/>
        </w:rPr>
        <w:t>di</w:t>
      </w:r>
      <w:r>
        <w:rPr>
          <w:color w:val="231F20"/>
          <w:spacing w:val="-1"/>
        </w:rPr>
        <w:t> </w:t>
      </w:r>
      <w:r>
        <w:rPr>
          <w:color w:val="231F20"/>
        </w:rPr>
        <w:t>tali</w:t>
      </w:r>
      <w:r>
        <w:rPr>
          <w:color w:val="231F20"/>
          <w:spacing w:val="-1"/>
        </w:rPr>
        <w:t> </w:t>
      </w:r>
      <w:r>
        <w:rPr>
          <w:color w:val="231F20"/>
        </w:rPr>
        <w:t>cause</w:t>
      </w:r>
      <w:r>
        <w:rPr>
          <w:color w:val="231F20"/>
          <w:spacing w:val="-1"/>
        </w:rPr>
        <w:t> </w:t>
      </w:r>
      <w:r>
        <w:rPr>
          <w:color w:val="231F20"/>
        </w:rPr>
        <w:t>pregiudiziali</w:t>
      </w:r>
      <w:r>
        <w:rPr>
          <w:color w:val="231F20"/>
          <w:spacing w:val="-1"/>
        </w:rPr>
        <w:t> </w:t>
      </w:r>
      <w:r>
        <w:rPr>
          <w:color w:val="231F20"/>
        </w:rPr>
        <w:t>risiedeva</w:t>
      </w:r>
      <w:r>
        <w:rPr>
          <w:color w:val="231F20"/>
          <w:spacing w:val="-1"/>
        </w:rPr>
        <w:t> </w:t>
      </w:r>
      <w:r>
        <w:rPr>
          <w:color w:val="231F20"/>
        </w:rPr>
        <w:t>nella circostanza che i ricorsi contro gli atti amministrativi di richiesta di in- formazioni erano stati presentati non soltanto dai soggetti detentori delle informazioni, destinatari diretti dei suddetti atti di ingiunzione dell’am- ministrazione finanziaria lussemburghese, ma anche dal contribuente con domicilio fiscale in Spagna ed oggetto del procedimento di accertamento avviato dall’amministrazione finanziaria di quello Stato membro, nonché da</w:t>
      </w:r>
      <w:r>
        <w:rPr>
          <w:color w:val="231F20"/>
          <w:spacing w:val="-15"/>
        </w:rPr>
        <w:t> </w:t>
      </w:r>
      <w:r>
        <w:rPr>
          <w:color w:val="231F20"/>
        </w:rPr>
        <w:t>soggetti</w:t>
      </w:r>
      <w:r>
        <w:rPr>
          <w:color w:val="231F20"/>
          <w:spacing w:val="-15"/>
        </w:rPr>
        <w:t> </w:t>
      </w:r>
      <w:r>
        <w:rPr>
          <w:color w:val="231F20"/>
        </w:rPr>
        <w:t>terzi</w:t>
      </w:r>
      <w:r>
        <w:rPr>
          <w:color w:val="231F20"/>
          <w:spacing w:val="-15"/>
        </w:rPr>
        <w:t> </w:t>
      </w:r>
      <w:r>
        <w:rPr>
          <w:color w:val="231F20"/>
        </w:rPr>
        <w:t>rispetto</w:t>
      </w:r>
      <w:r>
        <w:rPr>
          <w:color w:val="231F20"/>
          <w:spacing w:val="-15"/>
        </w:rPr>
        <w:t> </w:t>
      </w:r>
      <w:r>
        <w:rPr>
          <w:color w:val="231F20"/>
        </w:rPr>
        <w:t>al</w:t>
      </w:r>
      <w:r>
        <w:rPr>
          <w:color w:val="231F20"/>
          <w:spacing w:val="-15"/>
        </w:rPr>
        <w:t> </w:t>
      </w:r>
      <w:r>
        <w:rPr>
          <w:color w:val="231F20"/>
        </w:rPr>
        <w:t>contribuente</w:t>
      </w:r>
      <w:r>
        <w:rPr>
          <w:color w:val="231F20"/>
          <w:spacing w:val="-15"/>
        </w:rPr>
        <w:t> </w:t>
      </w:r>
      <w:r>
        <w:rPr>
          <w:color w:val="231F20"/>
        </w:rPr>
        <w:t>e</w:t>
      </w:r>
      <w:r>
        <w:rPr>
          <w:color w:val="231F20"/>
          <w:spacing w:val="-15"/>
        </w:rPr>
        <w:t> </w:t>
      </w:r>
      <w:r>
        <w:rPr>
          <w:color w:val="231F20"/>
        </w:rPr>
        <w:t>ai</w:t>
      </w:r>
      <w:r>
        <w:rPr>
          <w:color w:val="231F20"/>
          <w:spacing w:val="-15"/>
        </w:rPr>
        <w:t> </w:t>
      </w:r>
      <w:r>
        <w:rPr>
          <w:color w:val="231F20"/>
        </w:rPr>
        <w:t>due</w:t>
      </w:r>
      <w:r>
        <w:rPr>
          <w:color w:val="231F20"/>
          <w:spacing w:val="-15"/>
        </w:rPr>
        <w:t> </w:t>
      </w:r>
      <w:r>
        <w:rPr>
          <w:color w:val="231F20"/>
        </w:rPr>
        <w:t>detentori</w:t>
      </w:r>
      <w:r>
        <w:rPr>
          <w:color w:val="231F20"/>
          <w:spacing w:val="-15"/>
        </w:rPr>
        <w:t> </w:t>
      </w:r>
      <w:r>
        <w:rPr>
          <w:color w:val="231F20"/>
        </w:rPr>
        <w:t>delle</w:t>
      </w:r>
      <w:r>
        <w:rPr>
          <w:color w:val="231F20"/>
          <w:spacing w:val="-15"/>
        </w:rPr>
        <w:t> </w:t>
      </w:r>
      <w:r>
        <w:rPr>
          <w:color w:val="231F20"/>
        </w:rPr>
        <w:t>informazio- ni richieste, vale a dire le società </w:t>
      </w:r>
      <w:r>
        <w:rPr>
          <w:i/>
          <w:color w:val="231F20"/>
        </w:rPr>
        <w:t>C </w:t>
      </w:r>
      <w:r>
        <w:rPr>
          <w:color w:val="231F20"/>
        </w:rPr>
        <w:t>e </w:t>
      </w:r>
      <w:r>
        <w:rPr>
          <w:i/>
          <w:color w:val="231F20"/>
        </w:rPr>
        <w:t>D </w:t>
      </w:r>
      <w:r>
        <w:rPr>
          <w:color w:val="231F20"/>
        </w:rPr>
        <w:t>che avevano intrattenuto «rapporti giuridici, bancari e finanziari» con il suddetto contribuente spagnolo. Va precisato al riguardo che all’epoca dei fatti dei due processi </w:t>
      </w:r>
      <w:r>
        <w:rPr>
          <w:i/>
          <w:color w:val="231F20"/>
        </w:rPr>
        <w:t>a quo</w:t>
      </w:r>
      <w:r>
        <w:rPr>
          <w:color w:val="231F20"/>
        </w:rPr>
        <w:t>, la legge lussemburghese</w:t>
      </w:r>
      <w:r>
        <w:rPr>
          <w:color w:val="231F20"/>
          <w:spacing w:val="-7"/>
        </w:rPr>
        <w:t> </w:t>
      </w:r>
      <w:r>
        <w:rPr>
          <w:color w:val="231F20"/>
        </w:rPr>
        <w:t>sulla</w:t>
      </w:r>
      <w:r>
        <w:rPr>
          <w:color w:val="231F20"/>
          <w:spacing w:val="-7"/>
        </w:rPr>
        <w:t> </w:t>
      </w:r>
      <w:r>
        <w:rPr>
          <w:color w:val="231F20"/>
        </w:rPr>
        <w:t>procedura</w:t>
      </w:r>
      <w:r>
        <w:rPr>
          <w:color w:val="231F20"/>
          <w:spacing w:val="-7"/>
        </w:rPr>
        <w:t> </w:t>
      </w:r>
      <w:r>
        <w:rPr>
          <w:color w:val="231F20"/>
        </w:rPr>
        <w:t>di</w:t>
      </w:r>
      <w:r>
        <w:rPr>
          <w:color w:val="231F20"/>
          <w:spacing w:val="-7"/>
        </w:rPr>
        <w:t> </w:t>
      </w:r>
      <w:r>
        <w:rPr>
          <w:color w:val="231F20"/>
        </w:rPr>
        <w:t>scambio</w:t>
      </w:r>
      <w:r>
        <w:rPr>
          <w:color w:val="231F20"/>
          <w:spacing w:val="-7"/>
        </w:rPr>
        <w:t> </w:t>
      </w:r>
      <w:r>
        <w:rPr>
          <w:color w:val="231F20"/>
        </w:rPr>
        <w:t>di</w:t>
      </w:r>
      <w:r>
        <w:rPr>
          <w:color w:val="231F20"/>
          <w:spacing w:val="-7"/>
        </w:rPr>
        <w:t> </w:t>
      </w:r>
      <w:r>
        <w:rPr>
          <w:color w:val="231F20"/>
        </w:rPr>
        <w:t>informazioni</w:t>
      </w:r>
      <w:r>
        <w:rPr>
          <w:color w:val="231F20"/>
          <w:spacing w:val="-7"/>
        </w:rPr>
        <w:t> </w:t>
      </w:r>
      <w:r>
        <w:rPr>
          <w:color w:val="231F20"/>
        </w:rPr>
        <w:t>prevedeva</w:t>
      </w:r>
      <w:r>
        <w:rPr>
          <w:color w:val="231F20"/>
          <w:spacing w:val="-7"/>
        </w:rPr>
        <w:t> </w:t>
      </w:r>
      <w:r>
        <w:rPr>
          <w:color w:val="231F20"/>
        </w:rPr>
        <w:t>che, né la richiesta di informazioni dell’autorità richiedente, né la decisione di ingiunzione</w:t>
      </w:r>
      <w:r>
        <w:rPr>
          <w:color w:val="231F20"/>
          <w:spacing w:val="-9"/>
        </w:rPr>
        <w:t> </w:t>
      </w:r>
      <w:r>
        <w:rPr>
          <w:color w:val="231F20"/>
        </w:rPr>
        <w:t>dell’autorità</w:t>
      </w:r>
      <w:r>
        <w:rPr>
          <w:color w:val="231F20"/>
          <w:spacing w:val="-9"/>
        </w:rPr>
        <w:t> </w:t>
      </w:r>
      <w:r>
        <w:rPr>
          <w:color w:val="231F20"/>
        </w:rPr>
        <w:t>interpellata</w:t>
      </w:r>
      <w:r>
        <w:rPr>
          <w:color w:val="231F20"/>
          <w:spacing w:val="-9"/>
        </w:rPr>
        <w:t> </w:t>
      </w:r>
      <w:r>
        <w:rPr>
          <w:color w:val="231F20"/>
        </w:rPr>
        <w:t>potessero</w:t>
      </w:r>
      <w:r>
        <w:rPr>
          <w:color w:val="231F20"/>
          <w:spacing w:val="-9"/>
        </w:rPr>
        <w:t> </w:t>
      </w:r>
      <w:r>
        <w:rPr>
          <w:color w:val="231F20"/>
        </w:rPr>
        <w:t>essere</w:t>
      </w:r>
      <w:r>
        <w:rPr>
          <w:color w:val="231F20"/>
          <w:spacing w:val="-9"/>
        </w:rPr>
        <w:t> </w:t>
      </w:r>
      <w:r>
        <w:rPr>
          <w:color w:val="231F20"/>
        </w:rPr>
        <w:t>impugnate</w:t>
      </w:r>
      <w:r>
        <w:rPr>
          <w:color w:val="231F20"/>
          <w:spacing w:val="-9"/>
        </w:rPr>
        <w:t> </w:t>
      </w:r>
      <w:r>
        <w:rPr>
          <w:color w:val="231F20"/>
        </w:rPr>
        <w:t>con</w:t>
      </w:r>
      <w:r>
        <w:rPr>
          <w:color w:val="231F20"/>
          <w:spacing w:val="-9"/>
        </w:rPr>
        <w:t> </w:t>
      </w:r>
      <w:r>
        <w:rPr>
          <w:color w:val="231F20"/>
        </w:rPr>
        <w:t>ricor- so dinanzi alle giurisdizioni amministrative del Granducato.</w:t>
      </w:r>
    </w:p>
    <w:p>
      <w:pPr>
        <w:pStyle w:val="BodyText"/>
        <w:spacing w:line="225" w:lineRule="auto" w:before="28"/>
        <w:ind w:left="157" w:right="117" w:firstLine="340"/>
        <w:jc w:val="both"/>
      </w:pPr>
      <w:r>
        <w:rPr>
          <w:color w:val="231F20"/>
        </w:rPr>
        <w:t>Dato che la Corte amministrativa d’appello del Lussemburgo aveva posto quesiti interpretativi riguardanti non soltanto la direttiva </w:t>
      </w:r>
      <w:r>
        <w:rPr>
          <w:color w:val="231F20"/>
        </w:rPr>
        <w:t>2011/16/ UE,</w:t>
      </w:r>
      <w:r>
        <w:rPr>
          <w:color w:val="231F20"/>
          <w:spacing w:val="-9"/>
        </w:rPr>
        <w:t> </w:t>
      </w:r>
      <w:r>
        <w:rPr>
          <w:color w:val="231F20"/>
        </w:rPr>
        <w:t>ma</w:t>
      </w:r>
      <w:r>
        <w:rPr>
          <w:color w:val="231F20"/>
          <w:spacing w:val="-9"/>
        </w:rPr>
        <w:t> </w:t>
      </w:r>
      <w:r>
        <w:rPr>
          <w:color w:val="231F20"/>
        </w:rPr>
        <w:t>anche</w:t>
      </w:r>
      <w:r>
        <w:rPr>
          <w:color w:val="231F20"/>
          <w:spacing w:val="-9"/>
        </w:rPr>
        <w:t> </w:t>
      </w:r>
      <w:r>
        <w:rPr>
          <w:color w:val="231F20"/>
        </w:rPr>
        <w:t>ben</w:t>
      </w:r>
      <w:r>
        <w:rPr>
          <w:color w:val="231F20"/>
          <w:spacing w:val="-9"/>
        </w:rPr>
        <w:t> </w:t>
      </w:r>
      <w:r>
        <w:rPr>
          <w:color w:val="231F20"/>
        </w:rPr>
        <w:t>quattro</w:t>
      </w:r>
      <w:r>
        <w:rPr>
          <w:color w:val="231F20"/>
          <w:spacing w:val="-9"/>
        </w:rPr>
        <w:t> </w:t>
      </w:r>
      <w:r>
        <w:rPr>
          <w:color w:val="231F20"/>
        </w:rPr>
        <w:t>disposizioni</w:t>
      </w:r>
      <w:r>
        <w:rPr>
          <w:color w:val="231F20"/>
          <w:spacing w:val="-9"/>
        </w:rPr>
        <w:t> </w:t>
      </w:r>
      <w:r>
        <w:rPr>
          <w:color w:val="231F20"/>
        </w:rPr>
        <w:t>della</w:t>
      </w:r>
      <w:r>
        <w:rPr>
          <w:color w:val="231F20"/>
          <w:spacing w:val="-9"/>
        </w:rPr>
        <w:t> </w:t>
      </w:r>
      <w:r>
        <w:rPr>
          <w:color w:val="231F20"/>
        </w:rPr>
        <w:t>Carta</w:t>
      </w:r>
      <w:r>
        <w:rPr>
          <w:color w:val="231F20"/>
          <w:spacing w:val="-9"/>
        </w:rPr>
        <w:t> </w:t>
      </w:r>
      <w:r>
        <w:rPr>
          <w:color w:val="231F20"/>
        </w:rPr>
        <w:t>dei</w:t>
      </w:r>
      <w:r>
        <w:rPr>
          <w:color w:val="231F20"/>
          <w:spacing w:val="-9"/>
        </w:rPr>
        <w:t> </w:t>
      </w:r>
      <w:r>
        <w:rPr>
          <w:color w:val="231F20"/>
        </w:rPr>
        <w:t>diritti</w:t>
      </w:r>
      <w:r>
        <w:rPr>
          <w:color w:val="231F20"/>
          <w:spacing w:val="-9"/>
        </w:rPr>
        <w:t> </w:t>
      </w:r>
      <w:r>
        <w:rPr>
          <w:color w:val="231F20"/>
        </w:rPr>
        <w:t>fondamentali dell’Unione</w:t>
      </w:r>
      <w:r>
        <w:rPr>
          <w:color w:val="231F20"/>
          <w:spacing w:val="-1"/>
        </w:rPr>
        <w:t> </w:t>
      </w:r>
      <w:r>
        <w:rPr>
          <w:color w:val="231F20"/>
        </w:rPr>
        <w:t>(gli</w:t>
      </w:r>
      <w:r>
        <w:rPr>
          <w:color w:val="231F20"/>
          <w:spacing w:val="-1"/>
        </w:rPr>
        <w:t> </w:t>
      </w:r>
      <w:r>
        <w:rPr>
          <w:color w:val="231F20"/>
        </w:rPr>
        <w:t>artt.</w:t>
      </w:r>
      <w:r>
        <w:rPr>
          <w:color w:val="231F20"/>
          <w:spacing w:val="-1"/>
        </w:rPr>
        <w:t> </w:t>
      </w:r>
      <w:r>
        <w:rPr>
          <w:color w:val="231F20"/>
        </w:rPr>
        <w:t>7,</w:t>
      </w:r>
      <w:r>
        <w:rPr>
          <w:color w:val="231F20"/>
          <w:spacing w:val="-1"/>
        </w:rPr>
        <w:t> </w:t>
      </w:r>
      <w:r>
        <w:rPr>
          <w:color w:val="231F20"/>
        </w:rPr>
        <w:t>8,</w:t>
      </w:r>
      <w:r>
        <w:rPr>
          <w:color w:val="231F20"/>
          <w:spacing w:val="-1"/>
        </w:rPr>
        <w:t> </w:t>
      </w:r>
      <w:r>
        <w:rPr>
          <w:color w:val="231F20"/>
        </w:rPr>
        <w:t>47</w:t>
      </w:r>
      <w:r>
        <w:rPr>
          <w:color w:val="231F20"/>
          <w:spacing w:val="-1"/>
        </w:rPr>
        <w:t> </w:t>
      </w:r>
      <w:r>
        <w:rPr>
          <w:color w:val="231F20"/>
        </w:rPr>
        <w:t>e</w:t>
      </w:r>
      <w:r>
        <w:rPr>
          <w:color w:val="231F20"/>
          <w:spacing w:val="-1"/>
        </w:rPr>
        <w:t> </w:t>
      </w:r>
      <w:r>
        <w:rPr>
          <w:color w:val="231F20"/>
        </w:rPr>
        <w:t>52),</w:t>
      </w:r>
      <w:r>
        <w:rPr>
          <w:color w:val="231F20"/>
          <w:spacing w:val="-1"/>
        </w:rPr>
        <w:t> </w:t>
      </w:r>
      <w:r>
        <w:rPr>
          <w:color w:val="231F20"/>
        </w:rPr>
        <w:t>la</w:t>
      </w:r>
      <w:r>
        <w:rPr>
          <w:color w:val="231F20"/>
          <w:spacing w:val="-1"/>
        </w:rPr>
        <w:t> </w:t>
      </w:r>
      <w:r>
        <w:rPr>
          <w:color w:val="231F20"/>
        </w:rPr>
        <w:t>Corte</w:t>
      </w:r>
      <w:r>
        <w:rPr>
          <w:color w:val="231F20"/>
          <w:spacing w:val="-1"/>
        </w:rPr>
        <w:t> </w:t>
      </w:r>
      <w:r>
        <w:rPr>
          <w:color w:val="231F20"/>
        </w:rPr>
        <w:t>di</w:t>
      </w:r>
      <w:r>
        <w:rPr>
          <w:color w:val="231F20"/>
          <w:spacing w:val="-1"/>
        </w:rPr>
        <w:t> </w:t>
      </w:r>
      <w:r>
        <w:rPr>
          <w:color w:val="231F20"/>
        </w:rPr>
        <w:t>giustizia</w:t>
      </w:r>
      <w:r>
        <w:rPr>
          <w:color w:val="231F20"/>
          <w:spacing w:val="-1"/>
        </w:rPr>
        <w:t> </w:t>
      </w:r>
      <w:r>
        <w:rPr>
          <w:color w:val="231F20"/>
        </w:rPr>
        <w:t>ha</w:t>
      </w:r>
      <w:r>
        <w:rPr>
          <w:color w:val="231F20"/>
          <w:spacing w:val="-1"/>
        </w:rPr>
        <w:t> </w:t>
      </w:r>
      <w:r>
        <w:rPr>
          <w:color w:val="231F20"/>
        </w:rPr>
        <w:t>trattato</w:t>
      </w:r>
      <w:r>
        <w:rPr>
          <w:color w:val="231F20"/>
          <w:spacing w:val="-1"/>
        </w:rPr>
        <w:t> </w:t>
      </w:r>
      <w:r>
        <w:rPr>
          <w:color w:val="231F20"/>
        </w:rPr>
        <w:t>e</w:t>
      </w:r>
      <w:r>
        <w:rPr>
          <w:color w:val="231F20"/>
          <w:spacing w:val="-1"/>
        </w:rPr>
        <w:t> </w:t>
      </w:r>
      <w:r>
        <w:rPr>
          <w:color w:val="231F20"/>
        </w:rPr>
        <w:t>deci- so le due suddette cause pregiudiziali nella sua formazione a sezioni unite («Grande</w:t>
      </w:r>
      <w:r>
        <w:rPr>
          <w:color w:val="231F20"/>
          <w:spacing w:val="-7"/>
        </w:rPr>
        <w:t> </w:t>
      </w:r>
      <w:r>
        <w:rPr>
          <w:color w:val="231F20"/>
        </w:rPr>
        <w:t>sezione»)</w:t>
      </w:r>
      <w:r>
        <w:rPr>
          <w:color w:val="231F20"/>
          <w:spacing w:val="-7"/>
        </w:rPr>
        <w:t> </w:t>
      </w:r>
      <w:r>
        <w:rPr>
          <w:color w:val="231F20"/>
        </w:rPr>
        <w:t>analogamente</w:t>
      </w:r>
      <w:r>
        <w:rPr>
          <w:color w:val="231F20"/>
          <w:spacing w:val="-6"/>
        </w:rPr>
        <w:t> </w:t>
      </w:r>
      <w:r>
        <w:rPr>
          <w:color w:val="231F20"/>
        </w:rPr>
        <w:t>alla</w:t>
      </w:r>
      <w:r>
        <w:rPr>
          <w:color w:val="231F20"/>
          <w:spacing w:val="-7"/>
        </w:rPr>
        <w:t> </w:t>
      </w:r>
      <w:r>
        <w:rPr>
          <w:color w:val="231F20"/>
        </w:rPr>
        <w:t>precedente</w:t>
      </w:r>
      <w:r>
        <w:rPr>
          <w:color w:val="231F20"/>
          <w:spacing w:val="-6"/>
        </w:rPr>
        <w:t> </w:t>
      </w:r>
      <w:r>
        <w:rPr>
          <w:color w:val="231F20"/>
        </w:rPr>
        <w:t>sentenza</w:t>
      </w:r>
      <w:r>
        <w:rPr>
          <w:color w:val="231F20"/>
          <w:spacing w:val="-7"/>
        </w:rPr>
        <w:t> </w:t>
      </w:r>
      <w:r>
        <w:rPr>
          <w:i/>
          <w:color w:val="231F20"/>
        </w:rPr>
        <w:t>Berlioz,</w:t>
      </w:r>
      <w:r>
        <w:rPr>
          <w:i/>
          <w:color w:val="231F20"/>
          <w:spacing w:val="-6"/>
        </w:rPr>
        <w:t> </w:t>
      </w:r>
      <w:r>
        <w:rPr>
          <w:color w:val="231F20"/>
        </w:rPr>
        <w:t>di</w:t>
      </w:r>
      <w:r>
        <w:rPr>
          <w:color w:val="231F20"/>
          <w:spacing w:val="-7"/>
        </w:rPr>
        <w:t> </w:t>
      </w:r>
      <w:r>
        <w:rPr>
          <w:color w:val="231F20"/>
        </w:rPr>
        <w:t>cui</w:t>
      </w:r>
      <w:r>
        <w:rPr>
          <w:color w:val="231F20"/>
          <w:spacing w:val="-6"/>
        </w:rPr>
        <w:t> </w:t>
      </w:r>
      <w:r>
        <w:rPr>
          <w:color w:val="231F20"/>
          <w:spacing w:val="-5"/>
        </w:rPr>
        <w:t>la</w:t>
      </w:r>
    </w:p>
    <w:p>
      <w:pPr>
        <w:pStyle w:val="BodyText"/>
        <w:spacing w:before="218"/>
        <w:rPr>
          <w:sz w:val="20"/>
        </w:rPr>
      </w:pPr>
      <w:r>
        <w:rPr/>
        <mc:AlternateContent>
          <mc:Choice Requires="wps">
            <w:drawing>
              <wp:anchor distT="0" distB="0" distL="0" distR="0" allowOverlap="1" layoutInCell="1" locked="0" behindDoc="1" simplePos="0" relativeHeight="487622656">
                <wp:simplePos x="0" y="0"/>
                <wp:positionH relativeFrom="page">
                  <wp:posOffset>899999</wp:posOffset>
                </wp:positionH>
                <wp:positionV relativeFrom="paragraph">
                  <wp:posOffset>315486</wp:posOffset>
                </wp:positionV>
                <wp:extent cx="792480" cy="1270"/>
                <wp:effectExtent l="0" t="0" r="0" b="0"/>
                <wp:wrapTopAndBottom/>
                <wp:docPr id="121" name="Graphic 121"/>
                <wp:cNvGraphicFramePr>
                  <a:graphicFrameLocks/>
                </wp:cNvGraphicFramePr>
                <a:graphic>
                  <a:graphicData uri="http://schemas.microsoft.com/office/word/2010/wordprocessingShape">
                    <wps:wsp>
                      <wps:cNvPr id="121" name="Graphic 121"/>
                      <wps:cNvSpPr/>
                      <wps:spPr>
                        <a:xfrm>
                          <a:off x="0" y="0"/>
                          <a:ext cx="792480" cy="1270"/>
                        </a:xfrm>
                        <a:custGeom>
                          <a:avLst/>
                          <a:gdLst/>
                          <a:ahLst/>
                          <a:cxnLst/>
                          <a:rect l="l" t="t" r="r" b="b"/>
                          <a:pathLst>
                            <a:path w="792480" h="0">
                              <a:moveTo>
                                <a:pt x="0" y="0"/>
                              </a:moveTo>
                              <a:lnTo>
                                <a:pt x="791997"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shape style="position:absolute;margin-left:70.866096pt;margin-top:24.841459pt;width:62.4pt;height:.1pt;mso-position-horizontal-relative:page;mso-position-vertical-relative:paragraph;z-index:-15693824;mso-wrap-distance-left:0;mso-wrap-distance-right:0" id="docshape100" coordorigin="1417,497" coordsize="1248,0" path="m1417,497l2665,497e" filled="false" stroked="true" strokeweight=".5pt" strokecolor="#231f20">
                <v:path arrowok="t"/>
                <v:stroke dashstyle="solid"/>
                <w10:wrap type="topAndBottom"/>
              </v:shape>
            </w:pict>
          </mc:Fallback>
        </mc:AlternateContent>
      </w:r>
    </w:p>
    <w:p>
      <w:pPr>
        <w:spacing w:line="228" w:lineRule="auto" w:before="199"/>
        <w:ind w:left="157" w:right="117" w:hanging="1"/>
        <w:jc w:val="both"/>
        <w:rPr>
          <w:sz w:val="19"/>
        </w:rPr>
      </w:pPr>
      <w:r>
        <w:rPr>
          <w:color w:val="231F20"/>
          <w:position w:val="6"/>
          <w:sz w:val="11"/>
        </w:rPr>
        <w:t>89</w:t>
      </w:r>
      <w:r>
        <w:rPr>
          <w:color w:val="231F20"/>
          <w:spacing w:val="80"/>
          <w:position w:val="6"/>
          <w:sz w:val="11"/>
        </w:rPr>
        <w:t> </w:t>
      </w:r>
      <w:r>
        <w:rPr>
          <w:color w:val="231F20"/>
          <w:sz w:val="19"/>
        </w:rPr>
        <w:t>Corte giust. UE, sent. del 6 ottobre 2020, cause riunite C-245/19 e C-246/19</w:t>
      </w:r>
      <w:r>
        <w:rPr>
          <w:i/>
          <w:color w:val="231F20"/>
          <w:sz w:val="19"/>
        </w:rPr>
        <w:t>, </w:t>
      </w:r>
      <w:r>
        <w:rPr>
          <w:color w:val="231F20"/>
          <w:sz w:val="19"/>
        </w:rPr>
        <w:t>État </w:t>
      </w:r>
      <w:r>
        <w:rPr>
          <w:i/>
          <w:color w:val="231F20"/>
          <w:sz w:val="19"/>
        </w:rPr>
        <w:t>luxembourgois</w:t>
      </w:r>
      <w:r>
        <w:rPr>
          <w:i/>
          <w:color w:val="231F20"/>
          <w:spacing w:val="-11"/>
          <w:sz w:val="19"/>
        </w:rPr>
        <w:t> </w:t>
      </w:r>
      <w:r>
        <w:rPr>
          <w:color w:val="231F20"/>
          <w:sz w:val="19"/>
        </w:rPr>
        <w:t>contro</w:t>
      </w:r>
      <w:r>
        <w:rPr>
          <w:color w:val="231F20"/>
          <w:spacing w:val="-11"/>
          <w:sz w:val="19"/>
        </w:rPr>
        <w:t> </w:t>
      </w:r>
      <w:r>
        <w:rPr>
          <w:color w:val="231F20"/>
          <w:sz w:val="19"/>
        </w:rPr>
        <w:t>B</w:t>
      </w:r>
      <w:r>
        <w:rPr>
          <w:color w:val="231F20"/>
          <w:spacing w:val="-11"/>
          <w:sz w:val="19"/>
        </w:rPr>
        <w:t> </w:t>
      </w:r>
      <w:r>
        <w:rPr>
          <w:color w:val="231F20"/>
          <w:sz w:val="19"/>
        </w:rPr>
        <w:t>e</w:t>
      </w:r>
      <w:r>
        <w:rPr>
          <w:color w:val="231F20"/>
          <w:spacing w:val="-11"/>
          <w:sz w:val="19"/>
        </w:rPr>
        <w:t> </w:t>
      </w:r>
      <w:r>
        <w:rPr>
          <w:color w:val="231F20"/>
          <w:sz w:val="19"/>
        </w:rPr>
        <w:t>État</w:t>
      </w:r>
      <w:r>
        <w:rPr>
          <w:color w:val="231F20"/>
          <w:spacing w:val="-11"/>
          <w:sz w:val="19"/>
        </w:rPr>
        <w:t> </w:t>
      </w:r>
      <w:r>
        <w:rPr>
          <w:i/>
          <w:color w:val="231F20"/>
          <w:sz w:val="19"/>
        </w:rPr>
        <w:t>luxembourgois</w:t>
      </w:r>
      <w:r>
        <w:rPr>
          <w:i/>
          <w:color w:val="231F20"/>
          <w:spacing w:val="-11"/>
          <w:sz w:val="19"/>
        </w:rPr>
        <w:t> </w:t>
      </w:r>
      <w:r>
        <w:rPr>
          <w:color w:val="231F20"/>
          <w:sz w:val="19"/>
        </w:rPr>
        <w:t>contro</w:t>
      </w:r>
      <w:r>
        <w:rPr>
          <w:color w:val="231F20"/>
          <w:spacing w:val="-11"/>
          <w:sz w:val="19"/>
        </w:rPr>
        <w:t> </w:t>
      </w:r>
      <w:r>
        <w:rPr>
          <w:i/>
          <w:color w:val="231F20"/>
          <w:sz w:val="19"/>
        </w:rPr>
        <w:t>B,</w:t>
      </w:r>
      <w:r>
        <w:rPr>
          <w:i/>
          <w:color w:val="231F20"/>
          <w:spacing w:val="-11"/>
          <w:sz w:val="19"/>
        </w:rPr>
        <w:t> </w:t>
      </w:r>
      <w:r>
        <w:rPr>
          <w:i/>
          <w:color w:val="231F20"/>
          <w:sz w:val="19"/>
        </w:rPr>
        <w:t>C,</w:t>
      </w:r>
      <w:r>
        <w:rPr>
          <w:i/>
          <w:color w:val="231F20"/>
          <w:spacing w:val="-11"/>
          <w:sz w:val="19"/>
        </w:rPr>
        <w:t> </w:t>
      </w:r>
      <w:r>
        <w:rPr>
          <w:i/>
          <w:color w:val="231F20"/>
          <w:sz w:val="19"/>
        </w:rPr>
        <w:t>D</w:t>
      </w:r>
      <w:r>
        <w:rPr>
          <w:i/>
          <w:color w:val="231F20"/>
          <w:spacing w:val="-11"/>
          <w:sz w:val="19"/>
        </w:rPr>
        <w:t> </w:t>
      </w:r>
      <w:r>
        <w:rPr>
          <w:color w:val="231F20"/>
          <w:sz w:val="19"/>
        </w:rPr>
        <w:t>e</w:t>
      </w:r>
      <w:r>
        <w:rPr>
          <w:color w:val="231F20"/>
          <w:spacing w:val="-11"/>
          <w:sz w:val="19"/>
        </w:rPr>
        <w:t> </w:t>
      </w:r>
      <w:r>
        <w:rPr>
          <w:i/>
          <w:color w:val="231F20"/>
          <w:sz w:val="19"/>
        </w:rPr>
        <w:t>F.C.</w:t>
      </w:r>
      <w:r>
        <w:rPr>
          <w:i/>
          <w:color w:val="231F20"/>
          <w:spacing w:val="-12"/>
          <w:sz w:val="19"/>
        </w:rPr>
        <w:t> </w:t>
      </w:r>
      <w:r>
        <w:rPr>
          <w:color w:val="231F20"/>
          <w:sz w:val="19"/>
        </w:rPr>
        <w:t>Vista</w:t>
      </w:r>
      <w:r>
        <w:rPr>
          <w:color w:val="231F20"/>
          <w:spacing w:val="-11"/>
          <w:sz w:val="19"/>
        </w:rPr>
        <w:t> </w:t>
      </w:r>
      <w:r>
        <w:rPr>
          <w:color w:val="231F20"/>
          <w:sz w:val="19"/>
        </w:rPr>
        <w:t>l’impossibilità</w:t>
      </w:r>
      <w:r>
        <w:rPr>
          <w:color w:val="231F20"/>
          <w:spacing w:val="-11"/>
          <w:sz w:val="19"/>
        </w:rPr>
        <w:t> </w:t>
      </w:r>
      <w:r>
        <w:rPr>
          <w:color w:val="231F20"/>
          <w:sz w:val="19"/>
        </w:rPr>
        <w:t>di</w:t>
      </w:r>
      <w:r>
        <w:rPr>
          <w:color w:val="231F20"/>
          <w:spacing w:val="-11"/>
          <w:sz w:val="19"/>
        </w:rPr>
        <w:t> </w:t>
      </w:r>
      <w:r>
        <w:rPr>
          <w:color w:val="231F20"/>
          <w:sz w:val="19"/>
        </w:rPr>
        <w:t>citare tale</w:t>
      </w:r>
      <w:r>
        <w:rPr>
          <w:color w:val="231F20"/>
          <w:spacing w:val="-9"/>
          <w:sz w:val="19"/>
        </w:rPr>
        <w:t> </w:t>
      </w:r>
      <w:r>
        <w:rPr>
          <w:color w:val="231F20"/>
          <w:sz w:val="19"/>
        </w:rPr>
        <w:t>sentenza</w:t>
      </w:r>
      <w:r>
        <w:rPr>
          <w:color w:val="231F20"/>
          <w:spacing w:val="-9"/>
          <w:sz w:val="19"/>
        </w:rPr>
        <w:t> </w:t>
      </w:r>
      <w:r>
        <w:rPr>
          <w:color w:val="231F20"/>
          <w:sz w:val="19"/>
        </w:rPr>
        <w:t>con</w:t>
      </w:r>
      <w:r>
        <w:rPr>
          <w:color w:val="231F20"/>
          <w:spacing w:val="-9"/>
          <w:sz w:val="19"/>
        </w:rPr>
        <w:t> </w:t>
      </w:r>
      <w:r>
        <w:rPr>
          <w:color w:val="231F20"/>
          <w:sz w:val="19"/>
        </w:rPr>
        <w:t>il</w:t>
      </w:r>
      <w:r>
        <w:rPr>
          <w:color w:val="231F20"/>
          <w:spacing w:val="-9"/>
          <w:sz w:val="19"/>
        </w:rPr>
        <w:t> </w:t>
      </w:r>
      <w:r>
        <w:rPr>
          <w:color w:val="231F20"/>
          <w:sz w:val="19"/>
        </w:rPr>
        <w:t>nome</w:t>
      </w:r>
      <w:r>
        <w:rPr>
          <w:color w:val="231F20"/>
          <w:spacing w:val="-9"/>
          <w:sz w:val="19"/>
        </w:rPr>
        <w:t> </w:t>
      </w:r>
      <w:r>
        <w:rPr>
          <w:color w:val="231F20"/>
          <w:sz w:val="19"/>
        </w:rPr>
        <w:t>per</w:t>
      </w:r>
      <w:r>
        <w:rPr>
          <w:color w:val="231F20"/>
          <w:spacing w:val="-9"/>
          <w:sz w:val="19"/>
        </w:rPr>
        <w:t> </w:t>
      </w:r>
      <w:r>
        <w:rPr>
          <w:color w:val="231F20"/>
          <w:sz w:val="19"/>
        </w:rPr>
        <w:t>esteso</w:t>
      </w:r>
      <w:r>
        <w:rPr>
          <w:color w:val="231F20"/>
          <w:spacing w:val="-9"/>
          <w:sz w:val="19"/>
        </w:rPr>
        <w:t> </w:t>
      </w:r>
      <w:r>
        <w:rPr>
          <w:color w:val="231F20"/>
          <w:sz w:val="19"/>
        </w:rPr>
        <w:t>di</w:t>
      </w:r>
      <w:r>
        <w:rPr>
          <w:color w:val="231F20"/>
          <w:spacing w:val="-9"/>
          <w:sz w:val="19"/>
        </w:rPr>
        <w:t> </w:t>
      </w:r>
      <w:r>
        <w:rPr>
          <w:color w:val="231F20"/>
          <w:sz w:val="19"/>
        </w:rPr>
        <w:t>una</w:t>
      </w:r>
      <w:r>
        <w:rPr>
          <w:color w:val="231F20"/>
          <w:spacing w:val="-9"/>
          <w:sz w:val="19"/>
        </w:rPr>
        <w:t> </w:t>
      </w:r>
      <w:r>
        <w:rPr>
          <w:color w:val="231F20"/>
          <w:sz w:val="19"/>
        </w:rPr>
        <w:t>della</w:t>
      </w:r>
      <w:r>
        <w:rPr>
          <w:color w:val="231F20"/>
          <w:spacing w:val="-9"/>
          <w:sz w:val="19"/>
        </w:rPr>
        <w:t> </w:t>
      </w:r>
      <w:r>
        <w:rPr>
          <w:color w:val="231F20"/>
          <w:sz w:val="19"/>
        </w:rPr>
        <w:t>parti</w:t>
      </w:r>
      <w:r>
        <w:rPr>
          <w:color w:val="231F20"/>
          <w:spacing w:val="-9"/>
          <w:sz w:val="19"/>
        </w:rPr>
        <w:t> </w:t>
      </w:r>
      <w:r>
        <w:rPr>
          <w:color w:val="231F20"/>
          <w:sz w:val="19"/>
        </w:rPr>
        <w:t>nei</w:t>
      </w:r>
      <w:r>
        <w:rPr>
          <w:color w:val="231F20"/>
          <w:spacing w:val="-9"/>
          <w:sz w:val="19"/>
        </w:rPr>
        <w:t> </w:t>
      </w:r>
      <w:r>
        <w:rPr>
          <w:color w:val="231F20"/>
          <w:sz w:val="19"/>
        </w:rPr>
        <w:t>processi</w:t>
      </w:r>
      <w:r>
        <w:rPr>
          <w:color w:val="231F20"/>
          <w:spacing w:val="-9"/>
          <w:sz w:val="19"/>
        </w:rPr>
        <w:t> </w:t>
      </w:r>
      <w:r>
        <w:rPr>
          <w:i/>
          <w:color w:val="231F20"/>
          <w:sz w:val="19"/>
        </w:rPr>
        <w:t>a</w:t>
      </w:r>
      <w:r>
        <w:rPr>
          <w:i/>
          <w:color w:val="231F20"/>
          <w:spacing w:val="-9"/>
          <w:sz w:val="19"/>
        </w:rPr>
        <w:t> </w:t>
      </w:r>
      <w:r>
        <w:rPr>
          <w:i/>
          <w:color w:val="231F20"/>
          <w:sz w:val="19"/>
        </w:rPr>
        <w:t>quo</w:t>
      </w:r>
      <w:r>
        <w:rPr>
          <w:color w:val="231F20"/>
          <w:sz w:val="19"/>
        </w:rPr>
        <w:t>,</w:t>
      </w:r>
      <w:r>
        <w:rPr>
          <w:color w:val="231F20"/>
          <w:spacing w:val="-9"/>
          <w:sz w:val="19"/>
        </w:rPr>
        <w:t> </w:t>
      </w:r>
      <w:r>
        <w:rPr>
          <w:color w:val="231F20"/>
          <w:sz w:val="19"/>
        </w:rPr>
        <w:t>si</w:t>
      </w:r>
      <w:r>
        <w:rPr>
          <w:color w:val="231F20"/>
          <w:spacing w:val="-9"/>
          <w:sz w:val="19"/>
        </w:rPr>
        <w:t> </w:t>
      </w:r>
      <w:r>
        <w:rPr>
          <w:color w:val="231F20"/>
          <w:sz w:val="19"/>
        </w:rPr>
        <w:t>citerà</w:t>
      </w:r>
      <w:r>
        <w:rPr>
          <w:color w:val="231F20"/>
          <w:spacing w:val="-9"/>
          <w:sz w:val="19"/>
        </w:rPr>
        <w:t> </w:t>
      </w:r>
      <w:r>
        <w:rPr>
          <w:color w:val="231F20"/>
          <w:sz w:val="19"/>
        </w:rPr>
        <w:t>tale</w:t>
      </w:r>
      <w:r>
        <w:rPr>
          <w:color w:val="231F20"/>
          <w:spacing w:val="-9"/>
          <w:sz w:val="19"/>
        </w:rPr>
        <w:t> </w:t>
      </w:r>
      <w:r>
        <w:rPr>
          <w:color w:val="231F20"/>
          <w:sz w:val="19"/>
        </w:rPr>
        <w:t>pronuncia della Corte con il numero della prima delle due cause pregiudiziali, ovvero la C-245/19. Per commenti</w:t>
      </w:r>
      <w:r>
        <w:rPr>
          <w:color w:val="231F20"/>
          <w:spacing w:val="36"/>
          <w:sz w:val="19"/>
        </w:rPr>
        <w:t> </w:t>
      </w:r>
      <w:r>
        <w:rPr>
          <w:color w:val="231F20"/>
          <w:sz w:val="19"/>
        </w:rPr>
        <w:t>v.,</w:t>
      </w:r>
      <w:r>
        <w:rPr>
          <w:color w:val="231F20"/>
          <w:spacing w:val="36"/>
          <w:sz w:val="19"/>
        </w:rPr>
        <w:t> </w:t>
      </w:r>
      <w:r>
        <w:rPr>
          <w:color w:val="231F20"/>
          <w:sz w:val="19"/>
        </w:rPr>
        <w:t>S.</w:t>
      </w:r>
      <w:r>
        <w:rPr>
          <w:color w:val="231F20"/>
          <w:spacing w:val="36"/>
          <w:sz w:val="19"/>
        </w:rPr>
        <w:t> </w:t>
      </w:r>
      <w:r>
        <w:rPr>
          <w:color w:val="231F20"/>
          <w:sz w:val="19"/>
        </w:rPr>
        <w:t>Moreno</w:t>
      </w:r>
      <w:r>
        <w:rPr>
          <w:color w:val="231F20"/>
          <w:spacing w:val="36"/>
          <w:sz w:val="19"/>
        </w:rPr>
        <w:t> </w:t>
      </w:r>
      <w:r>
        <w:rPr>
          <w:color w:val="231F20"/>
          <w:sz w:val="19"/>
        </w:rPr>
        <w:t>González,</w:t>
      </w:r>
      <w:r>
        <w:rPr>
          <w:color w:val="231F20"/>
          <w:spacing w:val="36"/>
          <w:sz w:val="19"/>
        </w:rPr>
        <w:t> </w:t>
      </w:r>
      <w:r>
        <w:rPr>
          <w:i/>
          <w:color w:val="231F20"/>
          <w:sz w:val="19"/>
        </w:rPr>
        <w:t>Cross-border</w:t>
      </w:r>
      <w:r>
        <w:rPr>
          <w:i/>
          <w:color w:val="231F20"/>
          <w:spacing w:val="36"/>
          <w:sz w:val="19"/>
        </w:rPr>
        <w:t> </w:t>
      </w:r>
      <w:r>
        <w:rPr>
          <w:i/>
          <w:color w:val="231F20"/>
          <w:sz w:val="19"/>
        </w:rPr>
        <w:t>exchange</w:t>
      </w:r>
      <w:r>
        <w:rPr>
          <w:i/>
          <w:color w:val="231F20"/>
          <w:spacing w:val="36"/>
          <w:sz w:val="19"/>
        </w:rPr>
        <w:t> </w:t>
      </w:r>
      <w:r>
        <w:rPr>
          <w:i/>
          <w:color w:val="231F20"/>
          <w:sz w:val="19"/>
        </w:rPr>
        <w:t>of</w:t>
      </w:r>
      <w:r>
        <w:rPr>
          <w:i/>
          <w:color w:val="231F20"/>
          <w:spacing w:val="36"/>
          <w:sz w:val="19"/>
        </w:rPr>
        <w:t> </w:t>
      </w:r>
      <w:r>
        <w:rPr>
          <w:i/>
          <w:color w:val="231F20"/>
          <w:sz w:val="19"/>
        </w:rPr>
        <w:t>tax</w:t>
      </w:r>
      <w:r>
        <w:rPr>
          <w:i/>
          <w:color w:val="231F20"/>
          <w:spacing w:val="36"/>
          <w:sz w:val="19"/>
        </w:rPr>
        <w:t> </w:t>
      </w:r>
      <w:r>
        <w:rPr>
          <w:i/>
          <w:color w:val="231F20"/>
          <w:sz w:val="19"/>
        </w:rPr>
        <w:t>information</w:t>
      </w:r>
      <w:r>
        <w:rPr>
          <w:i/>
          <w:color w:val="231F20"/>
          <w:spacing w:val="36"/>
          <w:sz w:val="19"/>
        </w:rPr>
        <w:t> </w:t>
      </w:r>
      <w:r>
        <w:rPr>
          <w:i/>
          <w:color w:val="231F20"/>
          <w:sz w:val="19"/>
        </w:rPr>
        <w:t>upon</w:t>
      </w:r>
      <w:r>
        <w:rPr>
          <w:i/>
          <w:color w:val="231F20"/>
          <w:spacing w:val="36"/>
          <w:sz w:val="19"/>
        </w:rPr>
        <w:t> </w:t>
      </w:r>
      <w:r>
        <w:rPr>
          <w:i/>
          <w:color w:val="231F20"/>
          <w:sz w:val="19"/>
        </w:rPr>
        <w:t>request</w:t>
      </w:r>
      <w:r>
        <w:rPr>
          <w:i/>
          <w:color w:val="231F20"/>
          <w:sz w:val="19"/>
        </w:rPr>
        <w:t> and fundamental rights. Can the right balance be struck? Joined cases C-245/19 and C-246/19</w:t>
      </w:r>
      <w:r>
        <w:rPr>
          <w:color w:val="231F20"/>
          <w:sz w:val="19"/>
        </w:rPr>
        <w:t>,</w:t>
      </w:r>
      <w:r>
        <w:rPr>
          <w:color w:val="231F20"/>
          <w:spacing w:val="40"/>
          <w:sz w:val="19"/>
        </w:rPr>
        <w:t> </w:t>
      </w:r>
      <w:r>
        <w:rPr>
          <w:color w:val="231F20"/>
          <w:sz w:val="19"/>
        </w:rPr>
        <w:t>in </w:t>
      </w:r>
      <w:r>
        <w:rPr>
          <w:i/>
          <w:color w:val="231F20"/>
          <w:sz w:val="19"/>
        </w:rPr>
        <w:t>Maastricht journal of European and comparative Law</w:t>
      </w:r>
      <w:r>
        <w:rPr>
          <w:color w:val="231F20"/>
          <w:sz w:val="19"/>
        </w:rPr>
        <w:t>, 5, 2021, pp. 714-730; T. Sendke, </w:t>
      </w:r>
      <w:r>
        <w:rPr>
          <w:i/>
          <w:color w:val="231F20"/>
          <w:sz w:val="19"/>
        </w:rPr>
        <w:t>Rechtsschutz beim Informationsaustausch auf Ersuchen innerhalb der EU: zugleich Anmerkung</w:t>
      </w:r>
      <w:r>
        <w:rPr>
          <w:i/>
          <w:color w:val="231F20"/>
          <w:sz w:val="19"/>
        </w:rPr>
        <w:t> </w:t>
      </w:r>
      <w:r>
        <w:rPr>
          <w:i/>
          <w:color w:val="231F20"/>
          <w:spacing w:val="-2"/>
          <w:sz w:val="19"/>
        </w:rPr>
        <w:t>zum</w:t>
      </w:r>
      <w:r>
        <w:rPr>
          <w:i/>
          <w:color w:val="231F20"/>
          <w:spacing w:val="-3"/>
          <w:sz w:val="19"/>
        </w:rPr>
        <w:t> </w:t>
      </w:r>
      <w:r>
        <w:rPr>
          <w:i/>
          <w:color w:val="231F20"/>
          <w:spacing w:val="-2"/>
          <w:sz w:val="19"/>
        </w:rPr>
        <w:t>Urteil</w:t>
      </w:r>
      <w:r>
        <w:rPr>
          <w:i/>
          <w:color w:val="231F20"/>
          <w:spacing w:val="-3"/>
          <w:sz w:val="19"/>
        </w:rPr>
        <w:t> </w:t>
      </w:r>
      <w:r>
        <w:rPr>
          <w:i/>
          <w:color w:val="231F20"/>
          <w:spacing w:val="-2"/>
          <w:sz w:val="19"/>
        </w:rPr>
        <w:t>des</w:t>
      </w:r>
      <w:r>
        <w:rPr>
          <w:i/>
          <w:color w:val="231F20"/>
          <w:spacing w:val="-3"/>
          <w:sz w:val="19"/>
        </w:rPr>
        <w:t> </w:t>
      </w:r>
      <w:r>
        <w:rPr>
          <w:i/>
          <w:color w:val="231F20"/>
          <w:spacing w:val="-2"/>
          <w:sz w:val="19"/>
        </w:rPr>
        <w:t>EuGH</w:t>
      </w:r>
      <w:r>
        <w:rPr>
          <w:i/>
          <w:color w:val="231F20"/>
          <w:spacing w:val="-3"/>
          <w:sz w:val="19"/>
        </w:rPr>
        <w:t> </w:t>
      </w:r>
      <w:r>
        <w:rPr>
          <w:i/>
          <w:color w:val="231F20"/>
          <w:spacing w:val="-2"/>
          <w:sz w:val="19"/>
        </w:rPr>
        <w:t>v.</w:t>
      </w:r>
      <w:r>
        <w:rPr>
          <w:i/>
          <w:color w:val="231F20"/>
          <w:spacing w:val="-3"/>
          <w:sz w:val="19"/>
        </w:rPr>
        <w:t> </w:t>
      </w:r>
      <w:r>
        <w:rPr>
          <w:i/>
          <w:color w:val="231F20"/>
          <w:spacing w:val="-2"/>
          <w:sz w:val="19"/>
        </w:rPr>
        <w:t>6.10.2020:</w:t>
      </w:r>
      <w:r>
        <w:rPr>
          <w:i/>
          <w:color w:val="231F20"/>
          <w:spacing w:val="-3"/>
          <w:sz w:val="19"/>
        </w:rPr>
        <w:t> </w:t>
      </w:r>
      <w:r>
        <w:rPr>
          <w:i/>
          <w:color w:val="231F20"/>
          <w:spacing w:val="-2"/>
          <w:sz w:val="19"/>
        </w:rPr>
        <w:t>C-245/19</w:t>
      </w:r>
      <w:r>
        <w:rPr>
          <w:i/>
          <w:color w:val="231F20"/>
          <w:spacing w:val="-3"/>
          <w:sz w:val="19"/>
        </w:rPr>
        <w:t> </w:t>
      </w:r>
      <w:r>
        <w:rPr>
          <w:i/>
          <w:color w:val="231F20"/>
          <w:spacing w:val="-2"/>
          <w:sz w:val="19"/>
        </w:rPr>
        <w:t>und</w:t>
      </w:r>
      <w:r>
        <w:rPr>
          <w:i/>
          <w:color w:val="231F20"/>
          <w:spacing w:val="-3"/>
          <w:sz w:val="19"/>
        </w:rPr>
        <w:t> </w:t>
      </w:r>
      <w:r>
        <w:rPr>
          <w:i/>
          <w:color w:val="231F20"/>
          <w:spacing w:val="-2"/>
          <w:sz w:val="19"/>
        </w:rPr>
        <w:t>C-246/19</w:t>
      </w:r>
      <w:r>
        <w:rPr>
          <w:color w:val="231F20"/>
          <w:spacing w:val="-2"/>
          <w:sz w:val="19"/>
        </w:rPr>
        <w:t>,</w:t>
      </w:r>
      <w:r>
        <w:rPr>
          <w:color w:val="231F20"/>
          <w:spacing w:val="-3"/>
          <w:sz w:val="19"/>
        </w:rPr>
        <w:t> </w:t>
      </w:r>
      <w:r>
        <w:rPr>
          <w:color w:val="231F20"/>
          <w:spacing w:val="-2"/>
          <w:sz w:val="19"/>
        </w:rPr>
        <w:t>in</w:t>
      </w:r>
      <w:r>
        <w:rPr>
          <w:color w:val="231F20"/>
          <w:spacing w:val="-3"/>
          <w:sz w:val="19"/>
        </w:rPr>
        <w:t> </w:t>
      </w:r>
      <w:r>
        <w:rPr>
          <w:i/>
          <w:color w:val="231F20"/>
          <w:spacing w:val="-2"/>
          <w:sz w:val="19"/>
        </w:rPr>
        <w:t>Internationale</w:t>
      </w:r>
      <w:r>
        <w:rPr>
          <w:i/>
          <w:color w:val="231F20"/>
          <w:spacing w:val="-3"/>
          <w:sz w:val="19"/>
        </w:rPr>
        <w:t> </w:t>
      </w:r>
      <w:r>
        <w:rPr>
          <w:i/>
          <w:color w:val="231F20"/>
          <w:spacing w:val="-2"/>
          <w:sz w:val="19"/>
        </w:rPr>
        <w:t>SteuerRundschau</w:t>
      </w:r>
      <w:r>
        <w:rPr>
          <w:color w:val="231F20"/>
          <w:spacing w:val="-2"/>
          <w:sz w:val="19"/>
        </w:rPr>
        <w:t>, </w:t>
      </w:r>
      <w:r>
        <w:rPr>
          <w:color w:val="231F20"/>
          <w:sz w:val="19"/>
        </w:rPr>
        <w:t>12, 2020, pp. 431-438.</w:t>
      </w:r>
    </w:p>
    <w:p>
      <w:pPr>
        <w:spacing w:after="0" w:line="228" w:lineRule="auto"/>
        <w:jc w:val="both"/>
        <w:rPr>
          <w:sz w:val="19"/>
        </w:rPr>
        <w:sectPr>
          <w:pgSz w:w="9640" w:h="13610"/>
          <w:pgMar w:header="0" w:footer="625" w:top="1260" w:bottom="820" w:left="1260" w:right="1240"/>
        </w:sectPr>
      </w:pPr>
    </w:p>
    <w:p>
      <w:pPr>
        <w:pStyle w:val="BodyText"/>
        <w:spacing w:line="225" w:lineRule="auto" w:before="117"/>
        <w:ind w:left="100" w:right="175"/>
        <w:jc w:val="both"/>
      </w:pPr>
      <w:r>
        <w:rPr>
          <w:color w:val="231F20"/>
        </w:rPr>
        <w:t>sentenza</w:t>
      </w:r>
      <w:r>
        <w:rPr>
          <w:color w:val="231F20"/>
          <w:spacing w:val="-7"/>
        </w:rPr>
        <w:t> </w:t>
      </w:r>
      <w:r>
        <w:rPr>
          <w:color w:val="231F20"/>
        </w:rPr>
        <w:t>del</w:t>
      </w:r>
      <w:r>
        <w:rPr>
          <w:color w:val="231F20"/>
          <w:spacing w:val="-7"/>
        </w:rPr>
        <w:t> </w:t>
      </w:r>
      <w:r>
        <w:rPr>
          <w:color w:val="231F20"/>
        </w:rPr>
        <w:t>6</w:t>
      </w:r>
      <w:r>
        <w:rPr>
          <w:color w:val="231F20"/>
          <w:spacing w:val="-7"/>
        </w:rPr>
        <w:t> </w:t>
      </w:r>
      <w:r>
        <w:rPr>
          <w:color w:val="231F20"/>
        </w:rPr>
        <w:t>ottobre</w:t>
      </w:r>
      <w:r>
        <w:rPr>
          <w:color w:val="231F20"/>
          <w:spacing w:val="-7"/>
        </w:rPr>
        <w:t> </w:t>
      </w:r>
      <w:r>
        <w:rPr>
          <w:color w:val="231F20"/>
        </w:rPr>
        <w:t>2020,</w:t>
      </w:r>
      <w:r>
        <w:rPr>
          <w:color w:val="231F20"/>
          <w:spacing w:val="-7"/>
        </w:rPr>
        <w:t> </w:t>
      </w:r>
      <w:r>
        <w:rPr>
          <w:color w:val="231F20"/>
        </w:rPr>
        <w:t>causa</w:t>
      </w:r>
      <w:r>
        <w:rPr>
          <w:color w:val="231F20"/>
          <w:spacing w:val="-7"/>
        </w:rPr>
        <w:t> </w:t>
      </w:r>
      <w:r>
        <w:rPr>
          <w:color w:val="231F20"/>
        </w:rPr>
        <w:t>C-245/19</w:t>
      </w:r>
      <w:r>
        <w:rPr>
          <w:color w:val="231F20"/>
          <w:spacing w:val="-7"/>
        </w:rPr>
        <w:t> </w:t>
      </w:r>
      <w:r>
        <w:rPr>
          <w:color w:val="231F20"/>
        </w:rPr>
        <w:t>costituisce</w:t>
      </w:r>
      <w:r>
        <w:rPr>
          <w:color w:val="231F20"/>
          <w:spacing w:val="-7"/>
        </w:rPr>
        <w:t> </w:t>
      </w:r>
      <w:r>
        <w:rPr>
          <w:color w:val="231F20"/>
        </w:rPr>
        <w:t>manifestamente</w:t>
      </w:r>
      <w:r>
        <w:rPr>
          <w:color w:val="231F20"/>
          <w:spacing w:val="-7"/>
        </w:rPr>
        <w:t> </w:t>
      </w:r>
      <w:r>
        <w:rPr>
          <w:color w:val="231F20"/>
        </w:rPr>
        <w:t>il seguito ed il completamento.</w:t>
      </w:r>
    </w:p>
    <w:p>
      <w:pPr>
        <w:pStyle w:val="BodyText"/>
        <w:spacing w:line="225" w:lineRule="auto" w:before="3"/>
        <w:ind w:left="100" w:right="174" w:firstLine="340"/>
        <w:jc w:val="both"/>
      </w:pPr>
      <w:r>
        <w:rPr>
          <w:color w:val="231F20"/>
        </w:rPr>
        <w:t>Premesso che gli artt. 7 e 8 della Carta sanciscono rispettivamente il diritto al rispetto della vita privata e il diritto alla protezione dei dati di carattere personale, mentre l’art. 47, par. 1, garantisce ad ogni individuo beneficiario di diritti e libertà garantiti dal diritto dell’Unione il diritto </w:t>
      </w:r>
      <w:r>
        <w:rPr>
          <w:color w:val="231F20"/>
        </w:rPr>
        <w:t>ad un ricorso effettivo dinanzi ad un giudice, la Corte ha affermato in primo luogo che tali tre diritti fondamentali «sono destinati ad essere applicati</w:t>
      </w:r>
      <w:r>
        <w:rPr>
          <w:color w:val="231F20"/>
          <w:spacing w:val="80"/>
        </w:rPr>
        <w:t> </w:t>
      </w:r>
      <w:r>
        <w:rPr>
          <w:color w:val="231F20"/>
        </w:rPr>
        <w:t>in</w:t>
      </w:r>
      <w:r>
        <w:rPr>
          <w:color w:val="231F20"/>
          <w:spacing w:val="-5"/>
        </w:rPr>
        <w:t> </w:t>
      </w:r>
      <w:r>
        <w:rPr>
          <w:color w:val="231F20"/>
        </w:rPr>
        <w:t>modo</w:t>
      </w:r>
      <w:r>
        <w:rPr>
          <w:color w:val="231F20"/>
          <w:spacing w:val="-5"/>
        </w:rPr>
        <w:t> </w:t>
      </w:r>
      <w:r>
        <w:rPr>
          <w:color w:val="231F20"/>
        </w:rPr>
        <w:t>complementare»</w:t>
      </w:r>
      <w:r>
        <w:rPr>
          <w:color w:val="231F20"/>
          <w:spacing w:val="-5"/>
        </w:rPr>
        <w:t> </w:t>
      </w:r>
      <w:r>
        <w:rPr>
          <w:color w:val="231F20"/>
        </w:rPr>
        <w:t>in</w:t>
      </w:r>
      <w:r>
        <w:rPr>
          <w:color w:val="231F20"/>
          <w:spacing w:val="-5"/>
        </w:rPr>
        <w:t> </w:t>
      </w:r>
      <w:r>
        <w:rPr>
          <w:color w:val="231F20"/>
        </w:rPr>
        <w:t>quanto</w:t>
      </w:r>
      <w:r>
        <w:rPr>
          <w:color w:val="231F20"/>
          <w:spacing w:val="-5"/>
        </w:rPr>
        <w:t> </w:t>
      </w:r>
      <w:r>
        <w:rPr>
          <w:color w:val="231F20"/>
        </w:rPr>
        <w:t>l’effettività</w:t>
      </w:r>
      <w:r>
        <w:rPr>
          <w:color w:val="231F20"/>
          <w:spacing w:val="-5"/>
        </w:rPr>
        <w:t> </w:t>
      </w:r>
      <w:r>
        <w:rPr>
          <w:color w:val="231F20"/>
        </w:rPr>
        <w:t>della</w:t>
      </w:r>
      <w:r>
        <w:rPr>
          <w:color w:val="231F20"/>
          <w:spacing w:val="-5"/>
        </w:rPr>
        <w:t> </w:t>
      </w:r>
      <w:r>
        <w:rPr>
          <w:color w:val="231F20"/>
        </w:rPr>
        <w:t>tutela</w:t>
      </w:r>
      <w:r>
        <w:rPr>
          <w:color w:val="231F20"/>
          <w:spacing w:val="-5"/>
        </w:rPr>
        <w:t> </w:t>
      </w:r>
      <w:r>
        <w:rPr>
          <w:color w:val="231F20"/>
        </w:rPr>
        <w:t>giurisdizionale accordata dall’art. 47 al titolare di un diritto garantito dall’Unione «può manifestarsi</w:t>
      </w:r>
      <w:r>
        <w:rPr>
          <w:color w:val="231F20"/>
          <w:spacing w:val="-9"/>
        </w:rPr>
        <w:t> </w:t>
      </w:r>
      <w:r>
        <w:rPr>
          <w:color w:val="231F20"/>
        </w:rPr>
        <w:t>e</w:t>
      </w:r>
      <w:r>
        <w:rPr>
          <w:color w:val="231F20"/>
          <w:spacing w:val="-9"/>
        </w:rPr>
        <w:t> </w:t>
      </w:r>
      <w:r>
        <w:rPr>
          <w:color w:val="231F20"/>
        </w:rPr>
        <w:t>valutarsi</w:t>
      </w:r>
      <w:r>
        <w:rPr>
          <w:color w:val="231F20"/>
          <w:spacing w:val="-9"/>
        </w:rPr>
        <w:t> </w:t>
      </w:r>
      <w:r>
        <w:rPr>
          <w:color w:val="231F20"/>
        </w:rPr>
        <w:t>solo</w:t>
      </w:r>
      <w:r>
        <w:rPr>
          <w:color w:val="231F20"/>
          <w:spacing w:val="-9"/>
        </w:rPr>
        <w:t> </w:t>
      </w:r>
      <w:r>
        <w:rPr>
          <w:color w:val="231F20"/>
        </w:rPr>
        <w:t>con</w:t>
      </w:r>
      <w:r>
        <w:rPr>
          <w:color w:val="231F20"/>
          <w:spacing w:val="-9"/>
        </w:rPr>
        <w:t> </w:t>
      </w:r>
      <w:r>
        <w:rPr>
          <w:color w:val="231F20"/>
        </w:rPr>
        <w:t>riferimento</w:t>
      </w:r>
      <w:r>
        <w:rPr>
          <w:color w:val="231F20"/>
          <w:spacing w:val="-9"/>
        </w:rPr>
        <w:t> </w:t>
      </w:r>
      <w:r>
        <w:rPr>
          <w:color w:val="231F20"/>
        </w:rPr>
        <w:t>a</w:t>
      </w:r>
      <w:r>
        <w:rPr>
          <w:color w:val="231F20"/>
          <w:spacing w:val="-9"/>
        </w:rPr>
        <w:t> </w:t>
      </w:r>
      <w:r>
        <w:rPr>
          <w:color w:val="231F20"/>
        </w:rPr>
        <w:t>diritti</w:t>
      </w:r>
      <w:r>
        <w:rPr>
          <w:color w:val="231F20"/>
          <w:spacing w:val="-9"/>
        </w:rPr>
        <w:t> </w:t>
      </w:r>
      <w:r>
        <w:rPr>
          <w:color w:val="231F20"/>
        </w:rPr>
        <w:t>sostanziali</w:t>
      </w:r>
      <w:r>
        <w:rPr>
          <w:color w:val="231F20"/>
          <w:spacing w:val="-9"/>
        </w:rPr>
        <w:t> </w:t>
      </w:r>
      <w:r>
        <w:rPr>
          <w:color w:val="231F20"/>
        </w:rPr>
        <w:t>come</w:t>
      </w:r>
      <w:r>
        <w:rPr>
          <w:color w:val="231F20"/>
          <w:spacing w:val="-9"/>
        </w:rPr>
        <w:t> </w:t>
      </w:r>
      <w:r>
        <w:rPr>
          <w:color w:val="231F20"/>
        </w:rPr>
        <w:t>quelli sanciti agli articoli 7 e 8 della Carta»</w:t>
      </w:r>
      <w:r>
        <w:rPr>
          <w:color w:val="231F20"/>
          <w:position w:val="8"/>
          <w:sz w:val="14"/>
        </w:rPr>
        <w:t>90</w:t>
      </w:r>
      <w:r>
        <w:rPr>
          <w:color w:val="231F20"/>
        </w:rPr>
        <w:t>.</w:t>
      </w:r>
    </w:p>
    <w:p>
      <w:pPr>
        <w:pStyle w:val="BodyText"/>
        <w:spacing w:before="43"/>
      </w:pPr>
    </w:p>
    <w:p>
      <w:pPr>
        <w:pStyle w:val="ListParagraph"/>
        <w:numPr>
          <w:ilvl w:val="2"/>
          <w:numId w:val="4"/>
        </w:numPr>
        <w:tabs>
          <w:tab w:pos="700" w:val="left" w:leader="none"/>
        </w:tabs>
        <w:spacing w:line="230" w:lineRule="auto" w:before="0" w:after="0"/>
        <w:ind w:left="100" w:right="1003" w:firstLine="0"/>
        <w:jc w:val="left"/>
        <w:rPr>
          <w:i/>
          <w:sz w:val="24"/>
        </w:rPr>
      </w:pPr>
      <w:r>
        <w:rPr>
          <w:i/>
          <w:color w:val="231F20"/>
          <w:sz w:val="24"/>
        </w:rPr>
        <w:t>Diritto</w:t>
      </w:r>
      <w:r>
        <w:rPr>
          <w:i/>
          <w:color w:val="231F20"/>
          <w:spacing w:val="-6"/>
          <w:sz w:val="24"/>
        </w:rPr>
        <w:t> </w:t>
      </w:r>
      <w:r>
        <w:rPr>
          <w:i/>
          <w:color w:val="231F20"/>
          <w:sz w:val="24"/>
        </w:rPr>
        <w:t>ad</w:t>
      </w:r>
      <w:r>
        <w:rPr>
          <w:i/>
          <w:color w:val="231F20"/>
          <w:spacing w:val="-6"/>
          <w:sz w:val="24"/>
        </w:rPr>
        <w:t> </w:t>
      </w:r>
      <w:r>
        <w:rPr>
          <w:i/>
          <w:color w:val="231F20"/>
          <w:sz w:val="24"/>
        </w:rPr>
        <w:t>un</w:t>
      </w:r>
      <w:r>
        <w:rPr>
          <w:i/>
          <w:color w:val="231F20"/>
          <w:spacing w:val="-6"/>
          <w:sz w:val="24"/>
        </w:rPr>
        <w:t> </w:t>
      </w:r>
      <w:r>
        <w:rPr>
          <w:i/>
          <w:color w:val="231F20"/>
          <w:sz w:val="24"/>
        </w:rPr>
        <w:t>ricorso</w:t>
      </w:r>
      <w:r>
        <w:rPr>
          <w:i/>
          <w:color w:val="231F20"/>
          <w:spacing w:val="-6"/>
          <w:sz w:val="24"/>
        </w:rPr>
        <w:t> </w:t>
      </w:r>
      <w:r>
        <w:rPr>
          <w:i/>
          <w:color w:val="231F20"/>
          <w:sz w:val="24"/>
        </w:rPr>
        <w:t>effettivo</w:t>
      </w:r>
      <w:r>
        <w:rPr>
          <w:i/>
          <w:color w:val="231F20"/>
          <w:spacing w:val="-6"/>
          <w:sz w:val="24"/>
        </w:rPr>
        <w:t> </w:t>
      </w:r>
      <w:r>
        <w:rPr>
          <w:i/>
          <w:color w:val="231F20"/>
          <w:sz w:val="24"/>
        </w:rPr>
        <w:t>del</w:t>
      </w:r>
      <w:r>
        <w:rPr>
          <w:i/>
          <w:color w:val="231F20"/>
          <w:spacing w:val="-6"/>
          <w:sz w:val="24"/>
        </w:rPr>
        <w:t> </w:t>
      </w:r>
      <w:r>
        <w:rPr>
          <w:i/>
          <w:color w:val="231F20"/>
          <w:sz w:val="24"/>
        </w:rPr>
        <w:t>detentore</w:t>
      </w:r>
      <w:r>
        <w:rPr>
          <w:i/>
          <w:color w:val="231F20"/>
          <w:spacing w:val="-6"/>
          <w:sz w:val="24"/>
        </w:rPr>
        <w:t> </w:t>
      </w:r>
      <w:r>
        <w:rPr>
          <w:i/>
          <w:color w:val="231F20"/>
          <w:sz w:val="24"/>
        </w:rPr>
        <w:t>delle</w:t>
      </w:r>
      <w:r>
        <w:rPr>
          <w:i/>
          <w:color w:val="231F20"/>
          <w:spacing w:val="-6"/>
          <w:sz w:val="24"/>
        </w:rPr>
        <w:t> </w:t>
      </w:r>
      <w:r>
        <w:rPr>
          <w:i/>
          <w:color w:val="231F20"/>
          <w:sz w:val="24"/>
        </w:rPr>
        <w:t>informazioni</w:t>
      </w:r>
      <w:r>
        <w:rPr>
          <w:i/>
          <w:color w:val="231F20"/>
          <w:sz w:val="24"/>
        </w:rPr>
        <w:t> destinatario della decisione di ingiunzione</w:t>
      </w:r>
    </w:p>
    <w:p>
      <w:pPr>
        <w:pStyle w:val="BodyText"/>
        <w:spacing w:line="225" w:lineRule="auto" w:before="172"/>
        <w:ind w:left="100" w:right="174"/>
        <w:jc w:val="both"/>
      </w:pPr>
      <w:r>
        <w:rPr>
          <w:color w:val="231F20"/>
        </w:rPr>
        <w:t>In</w:t>
      </w:r>
      <w:r>
        <w:rPr>
          <w:color w:val="231F20"/>
          <w:spacing w:val="-3"/>
        </w:rPr>
        <w:t> </w:t>
      </w:r>
      <w:r>
        <w:rPr>
          <w:color w:val="231F20"/>
        </w:rPr>
        <w:t>ordine</w:t>
      </w:r>
      <w:r>
        <w:rPr>
          <w:color w:val="231F20"/>
          <w:spacing w:val="-3"/>
        </w:rPr>
        <w:t> </w:t>
      </w:r>
      <w:r>
        <w:rPr>
          <w:color w:val="231F20"/>
        </w:rPr>
        <w:t>al</w:t>
      </w:r>
      <w:r>
        <w:rPr>
          <w:color w:val="231F20"/>
          <w:spacing w:val="-3"/>
        </w:rPr>
        <w:t> </w:t>
      </w:r>
      <w:r>
        <w:rPr>
          <w:color w:val="231F20"/>
        </w:rPr>
        <w:t>diritto</w:t>
      </w:r>
      <w:r>
        <w:rPr>
          <w:color w:val="231F20"/>
          <w:spacing w:val="-3"/>
        </w:rPr>
        <w:t> </w:t>
      </w:r>
      <w:r>
        <w:rPr>
          <w:color w:val="231F20"/>
        </w:rPr>
        <w:t>ad</w:t>
      </w:r>
      <w:r>
        <w:rPr>
          <w:color w:val="231F20"/>
          <w:spacing w:val="-3"/>
        </w:rPr>
        <w:t> </w:t>
      </w:r>
      <w:r>
        <w:rPr>
          <w:color w:val="231F20"/>
        </w:rPr>
        <w:t>un</w:t>
      </w:r>
      <w:r>
        <w:rPr>
          <w:color w:val="231F20"/>
          <w:spacing w:val="-3"/>
        </w:rPr>
        <w:t> </w:t>
      </w:r>
      <w:r>
        <w:rPr>
          <w:color w:val="231F20"/>
        </w:rPr>
        <w:t>ricorso</w:t>
      </w:r>
      <w:r>
        <w:rPr>
          <w:color w:val="231F20"/>
          <w:spacing w:val="-3"/>
        </w:rPr>
        <w:t> </w:t>
      </w:r>
      <w:r>
        <w:rPr>
          <w:color w:val="231F20"/>
        </w:rPr>
        <w:t>effettivo</w:t>
      </w:r>
      <w:r>
        <w:rPr>
          <w:color w:val="231F20"/>
          <w:spacing w:val="-3"/>
        </w:rPr>
        <w:t> </w:t>
      </w:r>
      <w:r>
        <w:rPr>
          <w:color w:val="231F20"/>
        </w:rPr>
        <w:t>del</w:t>
      </w:r>
      <w:r>
        <w:rPr>
          <w:color w:val="231F20"/>
          <w:spacing w:val="-3"/>
        </w:rPr>
        <w:t> </w:t>
      </w:r>
      <w:r>
        <w:rPr>
          <w:color w:val="231F20"/>
        </w:rPr>
        <w:t>detentore</w:t>
      </w:r>
      <w:r>
        <w:rPr>
          <w:color w:val="231F20"/>
          <w:spacing w:val="-3"/>
        </w:rPr>
        <w:t> </w:t>
      </w:r>
      <w:r>
        <w:rPr>
          <w:color w:val="231F20"/>
        </w:rPr>
        <w:t>delle</w:t>
      </w:r>
      <w:r>
        <w:rPr>
          <w:color w:val="231F20"/>
          <w:spacing w:val="-3"/>
        </w:rPr>
        <w:t> </w:t>
      </w:r>
      <w:r>
        <w:rPr>
          <w:color w:val="231F20"/>
        </w:rPr>
        <w:t>informazioni destinatario</w:t>
      </w:r>
      <w:r>
        <w:rPr>
          <w:color w:val="231F20"/>
          <w:spacing w:val="-14"/>
        </w:rPr>
        <w:t> </w:t>
      </w:r>
      <w:r>
        <w:rPr>
          <w:color w:val="231F20"/>
        </w:rPr>
        <w:t>della</w:t>
      </w:r>
      <w:r>
        <w:rPr>
          <w:color w:val="231F20"/>
          <w:spacing w:val="-14"/>
        </w:rPr>
        <w:t> </w:t>
      </w:r>
      <w:r>
        <w:rPr>
          <w:color w:val="231F20"/>
        </w:rPr>
        <w:t>decisione</w:t>
      </w:r>
      <w:r>
        <w:rPr>
          <w:color w:val="231F20"/>
          <w:spacing w:val="-14"/>
        </w:rPr>
        <w:t> </w:t>
      </w:r>
      <w:r>
        <w:rPr>
          <w:color w:val="231F20"/>
        </w:rPr>
        <w:t>di</w:t>
      </w:r>
      <w:r>
        <w:rPr>
          <w:color w:val="231F20"/>
          <w:spacing w:val="-14"/>
        </w:rPr>
        <w:t> </w:t>
      </w:r>
      <w:r>
        <w:rPr>
          <w:color w:val="231F20"/>
        </w:rPr>
        <w:t>ingiunzione</w:t>
      </w:r>
      <w:r>
        <w:rPr>
          <w:color w:val="231F20"/>
          <w:spacing w:val="-14"/>
        </w:rPr>
        <w:t> </w:t>
      </w:r>
      <w:r>
        <w:rPr>
          <w:color w:val="231F20"/>
        </w:rPr>
        <w:t>dell’amministrazione</w:t>
      </w:r>
      <w:r>
        <w:rPr>
          <w:color w:val="231F20"/>
          <w:spacing w:val="-14"/>
        </w:rPr>
        <w:t> </w:t>
      </w:r>
      <w:r>
        <w:rPr>
          <w:color w:val="231F20"/>
        </w:rPr>
        <w:t>finanziaria interpellata,</w:t>
      </w:r>
      <w:r>
        <w:rPr>
          <w:color w:val="231F20"/>
          <w:spacing w:val="-11"/>
        </w:rPr>
        <w:t> </w:t>
      </w:r>
      <w:r>
        <w:rPr>
          <w:color w:val="231F20"/>
        </w:rPr>
        <w:t>i</w:t>
      </w:r>
      <w:r>
        <w:rPr>
          <w:color w:val="231F20"/>
          <w:spacing w:val="-11"/>
        </w:rPr>
        <w:t> </w:t>
      </w:r>
      <w:r>
        <w:rPr>
          <w:color w:val="231F20"/>
        </w:rPr>
        <w:t>giudici</w:t>
      </w:r>
      <w:r>
        <w:rPr>
          <w:color w:val="231F20"/>
          <w:spacing w:val="-11"/>
        </w:rPr>
        <w:t> </w:t>
      </w:r>
      <w:r>
        <w:rPr>
          <w:color w:val="231F20"/>
        </w:rPr>
        <w:t>dell’Unione,</w:t>
      </w:r>
      <w:r>
        <w:rPr>
          <w:color w:val="231F20"/>
          <w:spacing w:val="-11"/>
        </w:rPr>
        <w:t> </w:t>
      </w:r>
      <w:r>
        <w:rPr>
          <w:color w:val="231F20"/>
        </w:rPr>
        <w:t>dopo</w:t>
      </w:r>
      <w:r>
        <w:rPr>
          <w:color w:val="231F20"/>
          <w:spacing w:val="-11"/>
        </w:rPr>
        <w:t> </w:t>
      </w:r>
      <w:r>
        <w:rPr>
          <w:color w:val="231F20"/>
        </w:rPr>
        <w:t>aver</w:t>
      </w:r>
      <w:r>
        <w:rPr>
          <w:color w:val="231F20"/>
          <w:spacing w:val="-11"/>
        </w:rPr>
        <w:t> </w:t>
      </w:r>
      <w:r>
        <w:rPr>
          <w:color w:val="231F20"/>
        </w:rPr>
        <w:t>confermato</w:t>
      </w:r>
      <w:r>
        <w:rPr>
          <w:color w:val="231F20"/>
          <w:spacing w:val="-11"/>
        </w:rPr>
        <w:t> </w:t>
      </w:r>
      <w:r>
        <w:rPr>
          <w:color w:val="231F20"/>
        </w:rPr>
        <w:t>il</w:t>
      </w:r>
      <w:r>
        <w:rPr>
          <w:color w:val="231F20"/>
          <w:spacing w:val="-11"/>
        </w:rPr>
        <w:t> </w:t>
      </w:r>
      <w:r>
        <w:rPr>
          <w:color w:val="231F20"/>
        </w:rPr>
        <w:t>principio</w:t>
      </w:r>
      <w:r>
        <w:rPr>
          <w:color w:val="231F20"/>
          <w:spacing w:val="-11"/>
        </w:rPr>
        <w:t> </w:t>
      </w:r>
      <w:r>
        <w:rPr>
          <w:color w:val="231F20"/>
        </w:rPr>
        <w:t>enun- ciato</w:t>
      </w:r>
      <w:r>
        <w:rPr>
          <w:color w:val="231F20"/>
          <w:spacing w:val="-13"/>
        </w:rPr>
        <w:t> </w:t>
      </w:r>
      <w:r>
        <w:rPr>
          <w:color w:val="231F20"/>
        </w:rPr>
        <w:t>nella</w:t>
      </w:r>
      <w:r>
        <w:rPr>
          <w:color w:val="231F20"/>
          <w:spacing w:val="-13"/>
        </w:rPr>
        <w:t> </w:t>
      </w:r>
      <w:r>
        <w:rPr>
          <w:color w:val="231F20"/>
        </w:rPr>
        <w:t>precedente</w:t>
      </w:r>
      <w:r>
        <w:rPr>
          <w:color w:val="231F20"/>
          <w:spacing w:val="-13"/>
        </w:rPr>
        <w:t> </w:t>
      </w:r>
      <w:r>
        <w:rPr>
          <w:color w:val="231F20"/>
        </w:rPr>
        <w:t>sentenza</w:t>
      </w:r>
      <w:r>
        <w:rPr>
          <w:color w:val="231F20"/>
          <w:spacing w:val="-13"/>
        </w:rPr>
        <w:t> </w:t>
      </w:r>
      <w:r>
        <w:rPr>
          <w:i/>
          <w:color w:val="231F20"/>
        </w:rPr>
        <w:t>Berlioz</w:t>
      </w:r>
      <w:r>
        <w:rPr>
          <w:i/>
          <w:color w:val="231F20"/>
          <w:spacing w:val="-13"/>
        </w:rPr>
        <w:t> </w:t>
      </w:r>
      <w:r>
        <w:rPr>
          <w:color w:val="231F20"/>
        </w:rPr>
        <w:t>secondo</w:t>
      </w:r>
      <w:r>
        <w:rPr>
          <w:color w:val="231F20"/>
          <w:spacing w:val="-13"/>
        </w:rPr>
        <w:t> </w:t>
      </w:r>
      <w:r>
        <w:rPr>
          <w:color w:val="231F20"/>
        </w:rPr>
        <w:t>il</w:t>
      </w:r>
      <w:r>
        <w:rPr>
          <w:color w:val="231F20"/>
          <w:spacing w:val="-13"/>
        </w:rPr>
        <w:t> </w:t>
      </w:r>
      <w:r>
        <w:rPr>
          <w:color w:val="231F20"/>
        </w:rPr>
        <w:t>quale</w:t>
      </w:r>
      <w:r>
        <w:rPr>
          <w:color w:val="231F20"/>
          <w:spacing w:val="-13"/>
        </w:rPr>
        <w:t> </w:t>
      </w:r>
      <w:r>
        <w:rPr>
          <w:color w:val="231F20"/>
        </w:rPr>
        <w:t>il</w:t>
      </w:r>
      <w:r>
        <w:rPr>
          <w:color w:val="231F20"/>
          <w:spacing w:val="-13"/>
        </w:rPr>
        <w:t> </w:t>
      </w:r>
      <w:r>
        <w:rPr>
          <w:color w:val="231F20"/>
        </w:rPr>
        <w:t>suddetto</w:t>
      </w:r>
      <w:r>
        <w:rPr>
          <w:color w:val="231F20"/>
          <w:spacing w:val="-13"/>
        </w:rPr>
        <w:t> </w:t>
      </w:r>
      <w:r>
        <w:rPr>
          <w:color w:val="231F20"/>
        </w:rPr>
        <w:t>detento- re</w:t>
      </w:r>
      <w:r>
        <w:rPr>
          <w:color w:val="231F20"/>
          <w:spacing w:val="-11"/>
        </w:rPr>
        <w:t> </w:t>
      </w:r>
      <w:r>
        <w:rPr>
          <w:color w:val="231F20"/>
        </w:rPr>
        <w:t>delle</w:t>
      </w:r>
      <w:r>
        <w:rPr>
          <w:color w:val="231F20"/>
          <w:spacing w:val="-11"/>
        </w:rPr>
        <w:t> </w:t>
      </w:r>
      <w:r>
        <w:rPr>
          <w:color w:val="231F20"/>
        </w:rPr>
        <w:t>informazioni</w:t>
      </w:r>
      <w:r>
        <w:rPr>
          <w:color w:val="231F20"/>
          <w:spacing w:val="-11"/>
        </w:rPr>
        <w:t> </w:t>
      </w:r>
      <w:r>
        <w:rPr>
          <w:color w:val="231F20"/>
        </w:rPr>
        <w:t>ha</w:t>
      </w:r>
      <w:r>
        <w:rPr>
          <w:color w:val="231F20"/>
          <w:spacing w:val="-11"/>
        </w:rPr>
        <w:t> </w:t>
      </w:r>
      <w:r>
        <w:rPr>
          <w:color w:val="231F20"/>
        </w:rPr>
        <w:t>un</w:t>
      </w:r>
      <w:r>
        <w:rPr>
          <w:color w:val="231F20"/>
          <w:spacing w:val="-11"/>
        </w:rPr>
        <w:t> </w:t>
      </w:r>
      <w:r>
        <w:rPr>
          <w:color w:val="231F20"/>
        </w:rPr>
        <w:t>pieno</w:t>
      </w:r>
      <w:r>
        <w:rPr>
          <w:color w:val="231F20"/>
          <w:spacing w:val="-11"/>
        </w:rPr>
        <w:t> </w:t>
      </w:r>
      <w:r>
        <w:rPr>
          <w:color w:val="231F20"/>
        </w:rPr>
        <w:t>diritto</w:t>
      </w:r>
      <w:r>
        <w:rPr>
          <w:color w:val="231F20"/>
          <w:spacing w:val="-11"/>
        </w:rPr>
        <w:t> </w:t>
      </w:r>
      <w:r>
        <w:rPr>
          <w:color w:val="231F20"/>
        </w:rPr>
        <w:t>«garantito</w:t>
      </w:r>
      <w:r>
        <w:rPr>
          <w:color w:val="231F20"/>
          <w:spacing w:val="-11"/>
        </w:rPr>
        <w:t> </w:t>
      </w:r>
      <w:r>
        <w:rPr>
          <w:color w:val="231F20"/>
        </w:rPr>
        <w:t>dall’art.</w:t>
      </w:r>
      <w:r>
        <w:rPr>
          <w:color w:val="231F20"/>
          <w:spacing w:val="-11"/>
        </w:rPr>
        <w:t> </w:t>
      </w:r>
      <w:r>
        <w:rPr>
          <w:color w:val="231F20"/>
        </w:rPr>
        <w:t>47</w:t>
      </w:r>
      <w:r>
        <w:rPr>
          <w:color w:val="231F20"/>
          <w:spacing w:val="-11"/>
        </w:rPr>
        <w:t> </w:t>
      </w:r>
      <w:r>
        <w:rPr>
          <w:color w:val="231F20"/>
        </w:rPr>
        <w:t>della</w:t>
      </w:r>
      <w:r>
        <w:rPr>
          <w:color w:val="231F20"/>
          <w:spacing w:val="-11"/>
        </w:rPr>
        <w:t> </w:t>
      </w:r>
      <w:r>
        <w:rPr>
          <w:color w:val="231F20"/>
        </w:rPr>
        <w:t>Carta» di impugnare dinanzi ad un giudice la medesima decisione di ingiunzio- ne, hanno esaminato il problema della legittimità della norma legislativa lussemburghese che escludeva </w:t>
      </w:r>
      <w:r>
        <w:rPr>
          <w:i/>
          <w:color w:val="231F20"/>
        </w:rPr>
        <w:t>in toto </w:t>
      </w:r>
      <w:r>
        <w:rPr>
          <w:color w:val="231F20"/>
        </w:rPr>
        <w:t>l’impugnabilità di tale decisione. I parametri di tale giudizio erano quelli enunciati all’art. 52, par. 1, della Carta,</w:t>
      </w:r>
      <w:r>
        <w:rPr>
          <w:color w:val="231F20"/>
          <w:spacing w:val="-4"/>
        </w:rPr>
        <w:t> </w:t>
      </w:r>
      <w:r>
        <w:rPr>
          <w:color w:val="231F20"/>
        </w:rPr>
        <w:t>che</w:t>
      </w:r>
      <w:r>
        <w:rPr>
          <w:color w:val="231F20"/>
          <w:spacing w:val="-4"/>
        </w:rPr>
        <w:t> </w:t>
      </w:r>
      <w:r>
        <w:rPr>
          <w:color w:val="231F20"/>
        </w:rPr>
        <w:t>ammette</w:t>
      </w:r>
      <w:r>
        <w:rPr>
          <w:color w:val="231F20"/>
          <w:spacing w:val="-4"/>
        </w:rPr>
        <w:t> </w:t>
      </w:r>
      <w:r>
        <w:rPr>
          <w:color w:val="231F20"/>
        </w:rPr>
        <w:t>la</w:t>
      </w:r>
      <w:r>
        <w:rPr>
          <w:color w:val="231F20"/>
          <w:spacing w:val="-4"/>
        </w:rPr>
        <w:t> </w:t>
      </w:r>
      <w:r>
        <w:rPr>
          <w:color w:val="231F20"/>
        </w:rPr>
        <w:t>possibilità</w:t>
      </w:r>
      <w:r>
        <w:rPr>
          <w:color w:val="231F20"/>
          <w:spacing w:val="-4"/>
        </w:rPr>
        <w:t> </w:t>
      </w:r>
      <w:r>
        <w:rPr>
          <w:color w:val="231F20"/>
        </w:rPr>
        <w:t>di</w:t>
      </w:r>
      <w:r>
        <w:rPr>
          <w:color w:val="231F20"/>
          <w:spacing w:val="-4"/>
        </w:rPr>
        <w:t> </w:t>
      </w:r>
      <w:r>
        <w:rPr>
          <w:color w:val="231F20"/>
        </w:rPr>
        <w:t>limitazioni</w:t>
      </w:r>
      <w:r>
        <w:rPr>
          <w:color w:val="231F20"/>
          <w:spacing w:val="-4"/>
        </w:rPr>
        <w:t> </w:t>
      </w:r>
      <w:r>
        <w:rPr>
          <w:color w:val="231F20"/>
        </w:rPr>
        <w:t>di</w:t>
      </w:r>
      <w:r>
        <w:rPr>
          <w:color w:val="231F20"/>
          <w:spacing w:val="-4"/>
        </w:rPr>
        <w:t> </w:t>
      </w:r>
      <w:r>
        <w:rPr>
          <w:color w:val="231F20"/>
        </w:rPr>
        <w:t>un</w:t>
      </w:r>
      <w:r>
        <w:rPr>
          <w:color w:val="231F20"/>
          <w:spacing w:val="-4"/>
        </w:rPr>
        <w:t> </w:t>
      </w:r>
      <w:r>
        <w:rPr>
          <w:color w:val="231F20"/>
        </w:rPr>
        <w:t>diritto</w:t>
      </w:r>
      <w:r>
        <w:rPr>
          <w:color w:val="231F20"/>
          <w:spacing w:val="-4"/>
        </w:rPr>
        <w:t> </w:t>
      </w:r>
      <w:r>
        <w:rPr>
          <w:color w:val="231F20"/>
        </w:rPr>
        <w:t>fondamentale a tre condizioni: che tali limitazioni siano previste dalla legge, che le stesse rispettino</w:t>
      </w:r>
      <w:r>
        <w:rPr>
          <w:color w:val="231F20"/>
          <w:spacing w:val="-14"/>
        </w:rPr>
        <w:t> </w:t>
      </w:r>
      <w:r>
        <w:rPr>
          <w:color w:val="231F20"/>
        </w:rPr>
        <w:t>il</w:t>
      </w:r>
      <w:r>
        <w:rPr>
          <w:color w:val="231F20"/>
          <w:spacing w:val="-14"/>
        </w:rPr>
        <w:t> </w:t>
      </w:r>
      <w:r>
        <w:rPr>
          <w:color w:val="231F20"/>
        </w:rPr>
        <w:t>contenuto</w:t>
      </w:r>
      <w:r>
        <w:rPr>
          <w:color w:val="231F20"/>
          <w:spacing w:val="-14"/>
        </w:rPr>
        <w:t> </w:t>
      </w:r>
      <w:r>
        <w:rPr>
          <w:color w:val="231F20"/>
        </w:rPr>
        <w:t>essenziale</w:t>
      </w:r>
      <w:r>
        <w:rPr>
          <w:color w:val="231F20"/>
          <w:spacing w:val="-14"/>
        </w:rPr>
        <w:t> </w:t>
      </w:r>
      <w:r>
        <w:rPr>
          <w:color w:val="231F20"/>
        </w:rPr>
        <w:t>del</w:t>
      </w:r>
      <w:r>
        <w:rPr>
          <w:color w:val="231F20"/>
          <w:spacing w:val="-14"/>
        </w:rPr>
        <w:t> </w:t>
      </w:r>
      <w:r>
        <w:rPr>
          <w:color w:val="231F20"/>
        </w:rPr>
        <w:t>diritto</w:t>
      </w:r>
      <w:r>
        <w:rPr>
          <w:color w:val="231F20"/>
          <w:spacing w:val="-14"/>
        </w:rPr>
        <w:t> </w:t>
      </w:r>
      <w:r>
        <w:rPr>
          <w:color w:val="231F20"/>
        </w:rPr>
        <w:t>fondamentale</w:t>
      </w:r>
      <w:r>
        <w:rPr>
          <w:color w:val="231F20"/>
          <w:spacing w:val="-14"/>
        </w:rPr>
        <w:t> </w:t>
      </w:r>
      <w:r>
        <w:rPr>
          <w:color w:val="231F20"/>
        </w:rPr>
        <w:t>in</w:t>
      </w:r>
      <w:r>
        <w:rPr>
          <w:color w:val="231F20"/>
          <w:spacing w:val="-14"/>
        </w:rPr>
        <w:t> </w:t>
      </w:r>
      <w:r>
        <w:rPr>
          <w:color w:val="231F20"/>
        </w:rPr>
        <w:t>questione,</w:t>
      </w:r>
      <w:r>
        <w:rPr>
          <w:color w:val="231F20"/>
          <w:spacing w:val="-14"/>
        </w:rPr>
        <w:t> </w:t>
      </w:r>
      <w:r>
        <w:rPr>
          <w:color w:val="231F20"/>
        </w:rPr>
        <w:t>che nel rispetto del principio di proporzionalità esse siano necessarie e rispon- dano effettivamente a finalità di interesse generale riconosciute dall’Unio- ne.</w:t>
      </w:r>
      <w:r>
        <w:rPr>
          <w:color w:val="231F20"/>
          <w:spacing w:val="-2"/>
        </w:rPr>
        <w:t> </w:t>
      </w:r>
      <w:r>
        <w:rPr>
          <w:color w:val="231F20"/>
        </w:rPr>
        <w:t>Dopo</w:t>
      </w:r>
      <w:r>
        <w:rPr>
          <w:color w:val="231F20"/>
          <w:spacing w:val="-2"/>
        </w:rPr>
        <w:t> </w:t>
      </w:r>
      <w:r>
        <w:rPr>
          <w:color w:val="231F20"/>
        </w:rPr>
        <w:t>aver</w:t>
      </w:r>
      <w:r>
        <w:rPr>
          <w:color w:val="231F20"/>
          <w:spacing w:val="-2"/>
        </w:rPr>
        <w:t> </w:t>
      </w:r>
      <w:r>
        <w:rPr>
          <w:color w:val="231F20"/>
        </w:rPr>
        <w:t>constatato</w:t>
      </w:r>
      <w:r>
        <w:rPr>
          <w:color w:val="231F20"/>
          <w:spacing w:val="-2"/>
        </w:rPr>
        <w:t> </w:t>
      </w:r>
      <w:r>
        <w:rPr>
          <w:color w:val="231F20"/>
        </w:rPr>
        <w:t>che</w:t>
      </w:r>
      <w:r>
        <w:rPr>
          <w:color w:val="231F20"/>
          <w:spacing w:val="-2"/>
        </w:rPr>
        <w:t> </w:t>
      </w:r>
      <w:r>
        <w:rPr>
          <w:color w:val="231F20"/>
        </w:rPr>
        <w:t>la</w:t>
      </w:r>
      <w:r>
        <w:rPr>
          <w:color w:val="231F20"/>
          <w:spacing w:val="-2"/>
        </w:rPr>
        <w:t> </w:t>
      </w:r>
      <w:r>
        <w:rPr>
          <w:color w:val="231F20"/>
        </w:rPr>
        <w:t>norma</w:t>
      </w:r>
      <w:r>
        <w:rPr>
          <w:color w:val="231F20"/>
          <w:spacing w:val="-2"/>
        </w:rPr>
        <w:t> </w:t>
      </w:r>
      <w:r>
        <w:rPr>
          <w:color w:val="231F20"/>
        </w:rPr>
        <w:t>di</w:t>
      </w:r>
      <w:r>
        <w:rPr>
          <w:color w:val="231F20"/>
          <w:spacing w:val="-2"/>
        </w:rPr>
        <w:t> </w:t>
      </w:r>
      <w:r>
        <w:rPr>
          <w:color w:val="231F20"/>
        </w:rPr>
        <w:t>legge</w:t>
      </w:r>
      <w:r>
        <w:rPr>
          <w:color w:val="231F20"/>
          <w:spacing w:val="-2"/>
        </w:rPr>
        <w:t> </w:t>
      </w:r>
      <w:r>
        <w:rPr>
          <w:color w:val="231F20"/>
        </w:rPr>
        <w:t>lussemburghese</w:t>
      </w:r>
      <w:r>
        <w:rPr>
          <w:color w:val="231F20"/>
          <w:spacing w:val="-2"/>
        </w:rPr>
        <w:t> </w:t>
      </w:r>
      <w:r>
        <w:rPr>
          <w:color w:val="231F20"/>
        </w:rPr>
        <w:t>contestata nel processo </w:t>
      </w:r>
      <w:r>
        <w:rPr>
          <w:i/>
          <w:color w:val="231F20"/>
        </w:rPr>
        <w:t>a quo</w:t>
      </w:r>
      <w:r>
        <w:rPr>
          <w:color w:val="231F20"/>
        </w:rPr>
        <w:t>, per consentire al detentore di informazioni di adire il giudice amministrativo lo costringeva a violare la decisione di ingiunzione dell’amministrazione finanziaria e ad impugnare il conseguente provvedi- mento</w:t>
      </w:r>
      <w:r>
        <w:rPr>
          <w:color w:val="231F20"/>
          <w:spacing w:val="-7"/>
        </w:rPr>
        <w:t> </w:t>
      </w:r>
      <w:r>
        <w:rPr>
          <w:color w:val="231F20"/>
        </w:rPr>
        <w:t>sanzionatorio,</w:t>
      </w:r>
      <w:r>
        <w:rPr>
          <w:color w:val="231F20"/>
          <w:spacing w:val="-7"/>
        </w:rPr>
        <w:t> </w:t>
      </w:r>
      <w:r>
        <w:rPr>
          <w:color w:val="231F20"/>
        </w:rPr>
        <w:t>la</w:t>
      </w:r>
      <w:r>
        <w:rPr>
          <w:color w:val="231F20"/>
          <w:spacing w:val="-7"/>
        </w:rPr>
        <w:t> </w:t>
      </w:r>
      <w:r>
        <w:rPr>
          <w:color w:val="231F20"/>
        </w:rPr>
        <w:t>Corte</w:t>
      </w:r>
      <w:r>
        <w:rPr>
          <w:color w:val="231F20"/>
          <w:spacing w:val="-7"/>
        </w:rPr>
        <w:t> </w:t>
      </w:r>
      <w:r>
        <w:rPr>
          <w:color w:val="231F20"/>
        </w:rPr>
        <w:t>di</w:t>
      </w:r>
      <w:r>
        <w:rPr>
          <w:color w:val="231F20"/>
          <w:spacing w:val="-7"/>
        </w:rPr>
        <w:t> </w:t>
      </w:r>
      <w:r>
        <w:rPr>
          <w:color w:val="231F20"/>
        </w:rPr>
        <w:t>giustizia</w:t>
      </w:r>
      <w:r>
        <w:rPr>
          <w:color w:val="231F20"/>
          <w:spacing w:val="-7"/>
        </w:rPr>
        <w:t> </w:t>
      </w:r>
      <w:r>
        <w:rPr>
          <w:color w:val="231F20"/>
        </w:rPr>
        <w:t>ha</w:t>
      </w:r>
      <w:r>
        <w:rPr>
          <w:color w:val="231F20"/>
          <w:spacing w:val="-7"/>
        </w:rPr>
        <w:t> </w:t>
      </w:r>
      <w:r>
        <w:rPr>
          <w:color w:val="231F20"/>
        </w:rPr>
        <w:t>concluso</w:t>
      </w:r>
      <w:r>
        <w:rPr>
          <w:color w:val="231F20"/>
          <w:spacing w:val="-7"/>
        </w:rPr>
        <w:t> </w:t>
      </w:r>
      <w:r>
        <w:rPr>
          <w:color w:val="231F20"/>
        </w:rPr>
        <w:t>che</w:t>
      </w:r>
      <w:r>
        <w:rPr>
          <w:color w:val="231F20"/>
          <w:spacing w:val="-7"/>
        </w:rPr>
        <w:t> </w:t>
      </w:r>
      <w:r>
        <w:rPr>
          <w:color w:val="231F20"/>
        </w:rPr>
        <w:t>non</w:t>
      </w:r>
      <w:r>
        <w:rPr>
          <w:color w:val="231F20"/>
          <w:spacing w:val="-7"/>
        </w:rPr>
        <w:t> </w:t>
      </w:r>
      <w:r>
        <w:rPr>
          <w:color w:val="231F20"/>
        </w:rPr>
        <w:t>rispettando il</w:t>
      </w:r>
      <w:r>
        <w:rPr>
          <w:color w:val="231F20"/>
          <w:spacing w:val="24"/>
        </w:rPr>
        <w:t> </w:t>
      </w:r>
      <w:r>
        <w:rPr>
          <w:color w:val="231F20"/>
        </w:rPr>
        <w:t>«contenuto</w:t>
      </w:r>
      <w:r>
        <w:rPr>
          <w:color w:val="231F20"/>
          <w:spacing w:val="24"/>
        </w:rPr>
        <w:t> </w:t>
      </w:r>
      <w:r>
        <w:rPr>
          <w:color w:val="231F20"/>
        </w:rPr>
        <w:t>essenziale»</w:t>
      </w:r>
      <w:r>
        <w:rPr>
          <w:color w:val="231F20"/>
          <w:spacing w:val="24"/>
        </w:rPr>
        <w:t> </w:t>
      </w:r>
      <w:r>
        <w:rPr>
          <w:color w:val="231F20"/>
        </w:rPr>
        <w:t>del</w:t>
      </w:r>
      <w:r>
        <w:rPr>
          <w:color w:val="231F20"/>
          <w:spacing w:val="24"/>
        </w:rPr>
        <w:t> </w:t>
      </w:r>
      <w:r>
        <w:rPr>
          <w:color w:val="231F20"/>
        </w:rPr>
        <w:t>diritto</w:t>
      </w:r>
      <w:r>
        <w:rPr>
          <w:color w:val="231F20"/>
          <w:spacing w:val="24"/>
        </w:rPr>
        <w:t> </w:t>
      </w:r>
      <w:r>
        <w:rPr>
          <w:color w:val="231F20"/>
        </w:rPr>
        <w:t>fondamentale</w:t>
      </w:r>
      <w:r>
        <w:rPr>
          <w:color w:val="231F20"/>
          <w:spacing w:val="24"/>
        </w:rPr>
        <w:t> </w:t>
      </w:r>
      <w:r>
        <w:rPr>
          <w:color w:val="231F20"/>
        </w:rPr>
        <w:t>ad</w:t>
      </w:r>
      <w:r>
        <w:rPr>
          <w:color w:val="231F20"/>
          <w:spacing w:val="24"/>
        </w:rPr>
        <w:t> </w:t>
      </w:r>
      <w:r>
        <w:rPr>
          <w:color w:val="231F20"/>
        </w:rPr>
        <w:t>un</w:t>
      </w:r>
      <w:r>
        <w:rPr>
          <w:color w:val="231F20"/>
          <w:spacing w:val="24"/>
        </w:rPr>
        <w:t> </w:t>
      </w:r>
      <w:r>
        <w:rPr>
          <w:color w:val="231F20"/>
        </w:rPr>
        <w:t>ricorso</w:t>
      </w:r>
      <w:r>
        <w:rPr>
          <w:color w:val="231F20"/>
          <w:spacing w:val="24"/>
        </w:rPr>
        <w:t> </w:t>
      </w:r>
      <w:r>
        <w:rPr>
          <w:color w:val="231F20"/>
          <w:spacing w:val="-2"/>
        </w:rPr>
        <w:t>effettivo</w:t>
      </w:r>
    </w:p>
    <w:p>
      <w:pPr>
        <w:pStyle w:val="BodyText"/>
        <w:spacing w:before="50"/>
        <w:rPr>
          <w:sz w:val="20"/>
        </w:rPr>
      </w:pPr>
      <w:r>
        <w:rPr/>
        <mc:AlternateContent>
          <mc:Choice Requires="wps">
            <w:drawing>
              <wp:anchor distT="0" distB="0" distL="0" distR="0" allowOverlap="1" layoutInCell="1" locked="0" behindDoc="1" simplePos="0" relativeHeight="487624192">
                <wp:simplePos x="0" y="0"/>
                <wp:positionH relativeFrom="page">
                  <wp:posOffset>864000</wp:posOffset>
                </wp:positionH>
                <wp:positionV relativeFrom="paragraph">
                  <wp:posOffset>208619</wp:posOffset>
                </wp:positionV>
                <wp:extent cx="792480" cy="1270"/>
                <wp:effectExtent l="0" t="0" r="0" b="0"/>
                <wp:wrapTopAndBottom/>
                <wp:docPr id="122" name="Graphic 122"/>
                <wp:cNvGraphicFramePr>
                  <a:graphicFrameLocks/>
                </wp:cNvGraphicFramePr>
                <a:graphic>
                  <a:graphicData uri="http://schemas.microsoft.com/office/word/2010/wordprocessingShape">
                    <wps:wsp>
                      <wps:cNvPr id="122" name="Graphic 122"/>
                      <wps:cNvSpPr/>
                      <wps:spPr>
                        <a:xfrm>
                          <a:off x="0" y="0"/>
                          <a:ext cx="792480" cy="1270"/>
                        </a:xfrm>
                        <a:custGeom>
                          <a:avLst/>
                          <a:gdLst/>
                          <a:ahLst/>
                          <a:cxnLst/>
                          <a:rect l="l" t="t" r="r" b="b"/>
                          <a:pathLst>
                            <a:path w="792480" h="0">
                              <a:moveTo>
                                <a:pt x="0" y="0"/>
                              </a:moveTo>
                              <a:lnTo>
                                <a:pt x="791997"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shape style="position:absolute;margin-left:68.031502pt;margin-top:16.426741pt;width:62.4pt;height:.1pt;mso-position-horizontal-relative:page;mso-position-vertical-relative:paragraph;z-index:-15692288;mso-wrap-distance-left:0;mso-wrap-distance-right:0" id="docshape101" coordorigin="1361,329" coordsize="1248,0" path="m1361,329l2608,329e" filled="false" stroked="true" strokeweight=".5pt" strokecolor="#231f20">
                <v:path arrowok="t"/>
                <v:stroke dashstyle="solid"/>
                <w10:wrap type="topAndBottom"/>
              </v:shape>
            </w:pict>
          </mc:Fallback>
        </mc:AlternateContent>
      </w:r>
    </w:p>
    <w:p>
      <w:pPr>
        <w:spacing w:before="190"/>
        <w:ind w:left="100" w:right="0" w:firstLine="0"/>
        <w:jc w:val="left"/>
        <w:rPr>
          <w:sz w:val="19"/>
        </w:rPr>
      </w:pPr>
      <w:r>
        <w:rPr>
          <w:color w:val="231F20"/>
          <w:position w:val="6"/>
          <w:sz w:val="11"/>
        </w:rPr>
        <w:t>90</w:t>
      </w:r>
      <w:r>
        <w:rPr>
          <w:color w:val="231F20"/>
          <w:spacing w:val="53"/>
          <w:position w:val="6"/>
          <w:sz w:val="11"/>
        </w:rPr>
        <w:t>  </w:t>
      </w:r>
      <w:r>
        <w:rPr>
          <w:color w:val="231F20"/>
          <w:sz w:val="19"/>
        </w:rPr>
        <w:t>Corte</w:t>
      </w:r>
      <w:r>
        <w:rPr>
          <w:color w:val="231F20"/>
          <w:spacing w:val="1"/>
          <w:sz w:val="19"/>
        </w:rPr>
        <w:t> </w:t>
      </w:r>
      <w:r>
        <w:rPr>
          <w:color w:val="231F20"/>
          <w:sz w:val="19"/>
        </w:rPr>
        <w:t>giust. UE, sent. del</w:t>
      </w:r>
      <w:r>
        <w:rPr>
          <w:color w:val="231F20"/>
          <w:spacing w:val="-1"/>
          <w:sz w:val="19"/>
        </w:rPr>
        <w:t> </w:t>
      </w:r>
      <w:r>
        <w:rPr>
          <w:color w:val="231F20"/>
          <w:sz w:val="19"/>
        </w:rPr>
        <w:t>6 ottobre 2020, causa C-245/19, cit., punto </w:t>
      </w:r>
      <w:r>
        <w:rPr>
          <w:color w:val="231F20"/>
          <w:spacing w:val="-5"/>
          <w:sz w:val="19"/>
        </w:rPr>
        <w:t>52.</w:t>
      </w:r>
    </w:p>
    <w:p>
      <w:pPr>
        <w:spacing w:after="0"/>
        <w:jc w:val="left"/>
        <w:rPr>
          <w:sz w:val="19"/>
        </w:rPr>
        <w:sectPr>
          <w:pgSz w:w="9640" w:h="13610"/>
          <w:pgMar w:header="0" w:footer="625" w:top="1260" w:bottom="820" w:left="1260" w:right="1240"/>
        </w:sectPr>
      </w:pPr>
    </w:p>
    <w:p>
      <w:pPr>
        <w:pStyle w:val="BodyText"/>
        <w:spacing w:line="225" w:lineRule="auto" w:before="117"/>
        <w:ind w:left="157" w:right="118"/>
        <w:jc w:val="both"/>
      </w:pPr>
      <w:r>
        <w:rPr/>
        <mc:AlternateContent>
          <mc:Choice Requires="wps">
            <w:drawing>
              <wp:anchor distT="0" distB="0" distL="0" distR="0" allowOverlap="1" layoutInCell="1" locked="0" behindDoc="0" simplePos="0" relativeHeight="15766016">
                <wp:simplePos x="0" y="0"/>
                <wp:positionH relativeFrom="page">
                  <wp:posOffset>5608609</wp:posOffset>
                </wp:positionH>
                <wp:positionV relativeFrom="page">
                  <wp:posOffset>2376001</wp:posOffset>
                </wp:positionV>
                <wp:extent cx="511809" cy="2412365"/>
                <wp:effectExtent l="0" t="0" r="0" b="0"/>
                <wp:wrapNone/>
                <wp:docPr id="123" name="Group 123"/>
                <wp:cNvGraphicFramePr>
                  <a:graphicFrameLocks/>
                </wp:cNvGraphicFramePr>
                <a:graphic>
                  <a:graphicData uri="http://schemas.microsoft.com/office/word/2010/wordprocessingGroup">
                    <wpg:wgp>
                      <wpg:cNvPr id="123" name="Group 123"/>
                      <wpg:cNvGrpSpPr/>
                      <wpg:grpSpPr>
                        <a:xfrm>
                          <a:off x="0" y="0"/>
                          <a:ext cx="511809" cy="2412365"/>
                          <a:chExt cx="511809" cy="2412365"/>
                        </a:xfrm>
                      </wpg:grpSpPr>
                      <wps:wsp>
                        <wps:cNvPr id="124" name="Graphic 124"/>
                        <wps:cNvSpPr/>
                        <wps:spPr>
                          <a:xfrm>
                            <a:off x="7393" y="3"/>
                            <a:ext cx="504190" cy="360045"/>
                          </a:xfrm>
                          <a:custGeom>
                            <a:avLst/>
                            <a:gdLst/>
                            <a:ahLst/>
                            <a:cxnLst/>
                            <a:rect l="l" t="t" r="r" b="b"/>
                            <a:pathLst>
                              <a:path w="504190" h="360045">
                                <a:moveTo>
                                  <a:pt x="503999" y="0"/>
                                </a:moveTo>
                                <a:lnTo>
                                  <a:pt x="0" y="0"/>
                                </a:lnTo>
                                <a:lnTo>
                                  <a:pt x="0" y="359994"/>
                                </a:lnTo>
                                <a:lnTo>
                                  <a:pt x="503999" y="359994"/>
                                </a:lnTo>
                                <a:lnTo>
                                  <a:pt x="503999" y="0"/>
                                </a:lnTo>
                                <a:close/>
                              </a:path>
                            </a:pathLst>
                          </a:custGeom>
                          <a:solidFill>
                            <a:srgbClr val="939598"/>
                          </a:solidFill>
                        </wps:spPr>
                        <wps:bodyPr wrap="square" lIns="0" tIns="0" rIns="0" bIns="0" rtlCol="0">
                          <a:prstTxWarp prst="textNoShape">
                            <a:avLst/>
                          </a:prstTxWarp>
                          <a:noAutofit/>
                        </wps:bodyPr>
                      </wps:wsp>
                      <wps:wsp>
                        <wps:cNvPr id="125" name="Graphic 125"/>
                        <wps:cNvSpPr/>
                        <wps:spPr>
                          <a:xfrm>
                            <a:off x="6350" y="0"/>
                            <a:ext cx="1270" cy="2412365"/>
                          </a:xfrm>
                          <a:custGeom>
                            <a:avLst/>
                            <a:gdLst/>
                            <a:ahLst/>
                            <a:cxnLst/>
                            <a:rect l="l" t="t" r="r" b="b"/>
                            <a:pathLst>
                              <a:path w="0" h="2412365">
                                <a:moveTo>
                                  <a:pt x="0" y="0"/>
                                </a:moveTo>
                                <a:lnTo>
                                  <a:pt x="0" y="2411996"/>
                                </a:lnTo>
                              </a:path>
                            </a:pathLst>
                          </a:custGeom>
                          <a:ln w="12700">
                            <a:solidFill>
                              <a:srgbClr val="939598"/>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441.622803pt;margin-top:187.0867pt;width:40.3pt;height:189.95pt;mso-position-horizontal-relative:page;mso-position-vertical-relative:page;z-index:15766016" id="docshapegroup102" coordorigin="8832,3742" coordsize="806,3799">
                <v:rect style="position:absolute;left:8844;top:3741;width:794;height:567" id="docshape103" filled="true" fillcolor="#939598" stroked="false">
                  <v:fill type="solid"/>
                </v:rect>
                <v:line style="position:absolute" from="8842,3742" to="8842,7540" stroked="true" strokeweight="1pt" strokecolor="#939598">
                  <v:stroke dashstyle="solid"/>
                </v:line>
                <w10:wrap type="none"/>
              </v:group>
            </w:pict>
          </mc:Fallback>
        </mc:AlternateContent>
      </w:r>
      <w:r>
        <w:rPr/>
        <mc:AlternateContent>
          <mc:Choice Requires="wps">
            <w:drawing>
              <wp:anchor distT="0" distB="0" distL="0" distR="0" allowOverlap="1" layoutInCell="1" locked="0" behindDoc="0" simplePos="0" relativeHeight="15766528">
                <wp:simplePos x="0" y="0"/>
                <wp:positionH relativeFrom="page">
                  <wp:posOffset>5635147</wp:posOffset>
                </wp:positionH>
                <wp:positionV relativeFrom="page">
                  <wp:posOffset>2795300</wp:posOffset>
                </wp:positionV>
                <wp:extent cx="299720" cy="1995805"/>
                <wp:effectExtent l="0" t="0" r="0" b="0"/>
                <wp:wrapNone/>
                <wp:docPr id="126" name="Textbox 126"/>
                <wp:cNvGraphicFramePr>
                  <a:graphicFrameLocks/>
                </wp:cNvGraphicFramePr>
                <a:graphic>
                  <a:graphicData uri="http://schemas.microsoft.com/office/word/2010/wordprocessingShape">
                    <wps:wsp>
                      <wps:cNvPr id="126" name="Textbox 126"/>
                      <wps:cNvSpPr txBox="1"/>
                      <wps:spPr>
                        <a:xfrm>
                          <a:off x="0" y="0"/>
                          <a:ext cx="299720" cy="1995805"/>
                        </a:xfrm>
                        <a:prstGeom prst="rect">
                          <a:avLst/>
                        </a:prstGeom>
                      </wps:spPr>
                      <wps:txbx>
                        <w:txbxContent>
                          <w:p>
                            <w:pPr>
                              <w:spacing w:before="20"/>
                              <w:ind w:left="20" w:right="0" w:firstLine="0"/>
                              <w:jc w:val="left"/>
                              <w:rPr>
                                <w:rFonts w:ascii="Minion Pro"/>
                                <w:sz w:val="32"/>
                              </w:rPr>
                            </w:pPr>
                            <w:r>
                              <w:rPr>
                                <w:rFonts w:ascii="Minion Pro"/>
                                <w:color w:val="231F20"/>
                                <w:sz w:val="32"/>
                              </w:rPr>
                              <w:t>Commented</w:t>
                            </w:r>
                            <w:r>
                              <w:rPr>
                                <w:rFonts w:ascii="Minion Pro"/>
                                <w:color w:val="231F20"/>
                                <w:spacing w:val="-10"/>
                                <w:sz w:val="32"/>
                              </w:rPr>
                              <w:t> </w:t>
                            </w:r>
                            <w:r>
                              <w:rPr>
                                <w:rFonts w:ascii="Minion Pro"/>
                                <w:color w:val="231F20"/>
                                <w:spacing w:val="-2"/>
                                <w:sz w:val="32"/>
                              </w:rPr>
                              <w:t>documents</w:t>
                            </w:r>
                          </w:p>
                        </w:txbxContent>
                      </wps:txbx>
                      <wps:bodyPr wrap="square" lIns="0" tIns="0" rIns="0" bIns="0" rtlCol="0" vert="vert">
                        <a:noAutofit/>
                      </wps:bodyPr>
                    </wps:wsp>
                  </a:graphicData>
                </a:graphic>
              </wp:anchor>
            </w:drawing>
          </mc:Choice>
          <mc:Fallback>
            <w:pict>
              <v:shape style="position:absolute;margin-left:443.712402pt;margin-top:220.102402pt;width:23.6pt;height:157.15pt;mso-position-horizontal-relative:page;mso-position-vertical-relative:page;z-index:15766528" type="#_x0000_t202" id="docshape104" filled="false" stroked="false">
                <v:textbox inset="0,0,0,0" style="layout-flow:vertical">
                  <w:txbxContent>
                    <w:p>
                      <w:pPr>
                        <w:spacing w:before="20"/>
                        <w:ind w:left="20" w:right="0" w:firstLine="0"/>
                        <w:jc w:val="left"/>
                        <w:rPr>
                          <w:rFonts w:ascii="Minion Pro"/>
                          <w:sz w:val="32"/>
                        </w:rPr>
                      </w:pPr>
                      <w:r>
                        <w:rPr>
                          <w:rFonts w:ascii="Minion Pro"/>
                          <w:color w:val="231F20"/>
                          <w:sz w:val="32"/>
                        </w:rPr>
                        <w:t>Commented</w:t>
                      </w:r>
                      <w:r>
                        <w:rPr>
                          <w:rFonts w:ascii="Minion Pro"/>
                          <w:color w:val="231F20"/>
                          <w:spacing w:val="-10"/>
                          <w:sz w:val="32"/>
                        </w:rPr>
                        <w:t> </w:t>
                      </w:r>
                      <w:r>
                        <w:rPr>
                          <w:rFonts w:ascii="Minion Pro"/>
                          <w:color w:val="231F20"/>
                          <w:spacing w:val="-2"/>
                          <w:sz w:val="32"/>
                        </w:rPr>
                        <w:t>documents</w:t>
                      </w:r>
                    </w:p>
                  </w:txbxContent>
                </v:textbox>
                <w10:wrap type="none"/>
              </v:shape>
            </w:pict>
          </mc:Fallback>
        </mc:AlternateContent>
      </w:r>
      <w:r>
        <w:rPr>
          <w:color w:val="231F20"/>
        </w:rPr>
        <w:t>garantito dall’art. 47, la norma di legge nazionale in questione </w:t>
      </w:r>
      <w:r>
        <w:rPr>
          <w:color w:val="231F20"/>
        </w:rPr>
        <w:t>costituiva una violazione dell’art. 52, par. 1, della Carta e andava di conseguenza di- sapplicata </w:t>
      </w:r>
      <w:r>
        <w:rPr>
          <w:i/>
          <w:color w:val="231F20"/>
        </w:rPr>
        <w:t>in toto </w:t>
      </w:r>
      <w:r>
        <w:rPr>
          <w:color w:val="231F20"/>
        </w:rPr>
        <w:t>dal giudice di rinvio</w:t>
      </w:r>
      <w:r>
        <w:rPr>
          <w:color w:val="231F20"/>
          <w:position w:val="8"/>
          <w:sz w:val="14"/>
        </w:rPr>
        <w:t>91</w:t>
      </w:r>
      <w:r>
        <w:rPr>
          <w:color w:val="231F20"/>
        </w:rPr>
        <w:t>.</w:t>
      </w:r>
    </w:p>
    <w:p>
      <w:pPr>
        <w:pStyle w:val="BodyText"/>
        <w:spacing w:before="35"/>
      </w:pPr>
    </w:p>
    <w:p>
      <w:pPr>
        <w:pStyle w:val="ListParagraph"/>
        <w:numPr>
          <w:ilvl w:val="2"/>
          <w:numId w:val="4"/>
        </w:numPr>
        <w:tabs>
          <w:tab w:pos="757" w:val="left" w:leader="none"/>
        </w:tabs>
        <w:spacing w:line="230" w:lineRule="auto" w:before="0" w:after="0"/>
        <w:ind w:left="157" w:right="495" w:firstLine="0"/>
        <w:jc w:val="left"/>
        <w:rPr>
          <w:i/>
          <w:sz w:val="24"/>
        </w:rPr>
      </w:pPr>
      <w:r>
        <w:rPr>
          <w:i/>
          <w:color w:val="231F20"/>
          <w:sz w:val="24"/>
        </w:rPr>
        <w:t>Assenza</w:t>
      </w:r>
      <w:r>
        <w:rPr>
          <w:i/>
          <w:color w:val="231F20"/>
          <w:spacing w:val="-4"/>
          <w:sz w:val="24"/>
        </w:rPr>
        <w:t> </w:t>
      </w:r>
      <w:r>
        <w:rPr>
          <w:i/>
          <w:color w:val="231F20"/>
          <w:sz w:val="24"/>
        </w:rPr>
        <w:t>di</w:t>
      </w:r>
      <w:r>
        <w:rPr>
          <w:i/>
          <w:color w:val="231F20"/>
          <w:spacing w:val="-4"/>
          <w:sz w:val="24"/>
        </w:rPr>
        <w:t> </w:t>
      </w:r>
      <w:r>
        <w:rPr>
          <w:i/>
          <w:color w:val="231F20"/>
          <w:sz w:val="24"/>
        </w:rPr>
        <w:t>un</w:t>
      </w:r>
      <w:r>
        <w:rPr>
          <w:i/>
          <w:color w:val="231F20"/>
          <w:spacing w:val="-4"/>
          <w:sz w:val="24"/>
        </w:rPr>
        <w:t> </w:t>
      </w:r>
      <w:r>
        <w:rPr>
          <w:i/>
          <w:color w:val="231F20"/>
          <w:sz w:val="24"/>
        </w:rPr>
        <w:t>diritto</w:t>
      </w:r>
      <w:r>
        <w:rPr>
          <w:i/>
          <w:color w:val="231F20"/>
          <w:spacing w:val="-4"/>
          <w:sz w:val="24"/>
        </w:rPr>
        <w:t> </w:t>
      </w:r>
      <w:r>
        <w:rPr>
          <w:i/>
          <w:color w:val="231F20"/>
          <w:sz w:val="24"/>
        </w:rPr>
        <w:t>ad</w:t>
      </w:r>
      <w:r>
        <w:rPr>
          <w:i/>
          <w:color w:val="231F20"/>
          <w:spacing w:val="-4"/>
          <w:sz w:val="24"/>
        </w:rPr>
        <w:t> </w:t>
      </w:r>
      <w:r>
        <w:rPr>
          <w:i/>
          <w:color w:val="231F20"/>
          <w:sz w:val="24"/>
        </w:rPr>
        <w:t>un</w:t>
      </w:r>
      <w:r>
        <w:rPr>
          <w:i/>
          <w:color w:val="231F20"/>
          <w:spacing w:val="-4"/>
          <w:sz w:val="24"/>
        </w:rPr>
        <w:t> </w:t>
      </w:r>
      <w:r>
        <w:rPr>
          <w:i/>
          <w:color w:val="231F20"/>
          <w:sz w:val="24"/>
        </w:rPr>
        <w:t>ricorso</w:t>
      </w:r>
      <w:r>
        <w:rPr>
          <w:i/>
          <w:color w:val="231F20"/>
          <w:spacing w:val="-4"/>
          <w:sz w:val="24"/>
        </w:rPr>
        <w:t> </w:t>
      </w:r>
      <w:r>
        <w:rPr>
          <w:i/>
          <w:color w:val="231F20"/>
          <w:sz w:val="24"/>
        </w:rPr>
        <w:t>effettivo</w:t>
      </w:r>
      <w:r>
        <w:rPr>
          <w:i/>
          <w:color w:val="231F20"/>
          <w:spacing w:val="-4"/>
          <w:sz w:val="24"/>
        </w:rPr>
        <w:t> </w:t>
      </w:r>
      <w:r>
        <w:rPr>
          <w:i/>
          <w:color w:val="231F20"/>
          <w:sz w:val="24"/>
        </w:rPr>
        <w:t>in</w:t>
      </w:r>
      <w:r>
        <w:rPr>
          <w:i/>
          <w:color w:val="231F20"/>
          <w:spacing w:val="-4"/>
          <w:sz w:val="24"/>
        </w:rPr>
        <w:t> </w:t>
      </w:r>
      <w:r>
        <w:rPr>
          <w:i/>
          <w:color w:val="231F20"/>
          <w:sz w:val="24"/>
        </w:rPr>
        <w:t>capo</w:t>
      </w:r>
      <w:r>
        <w:rPr>
          <w:i/>
          <w:color w:val="231F20"/>
          <w:spacing w:val="-4"/>
          <w:sz w:val="24"/>
        </w:rPr>
        <w:t> </w:t>
      </w:r>
      <w:r>
        <w:rPr>
          <w:i/>
          <w:color w:val="231F20"/>
          <w:sz w:val="24"/>
        </w:rPr>
        <w:t>al</w:t>
      </w:r>
      <w:r>
        <w:rPr>
          <w:i/>
          <w:color w:val="231F20"/>
          <w:spacing w:val="-4"/>
          <w:sz w:val="24"/>
        </w:rPr>
        <w:t> </w:t>
      </w:r>
      <w:r>
        <w:rPr>
          <w:i/>
          <w:color w:val="231F20"/>
          <w:sz w:val="24"/>
        </w:rPr>
        <w:t>contribuente</w:t>
      </w:r>
      <w:r>
        <w:rPr>
          <w:i/>
          <w:color w:val="231F20"/>
          <w:sz w:val="24"/>
        </w:rPr>
        <w:t> oggetto dell’accertamento</w:t>
      </w:r>
    </w:p>
    <w:p>
      <w:pPr>
        <w:pStyle w:val="BodyText"/>
        <w:spacing w:line="225" w:lineRule="auto" w:before="172"/>
        <w:ind w:left="157" w:right="117"/>
        <w:jc w:val="both"/>
      </w:pPr>
      <w:r>
        <w:rPr>
          <w:color w:val="231F20"/>
        </w:rPr>
        <w:t>Più innovativa si presenta la sentenza del 6 ottobre 2020, causa C-245/19 in esame dal punto di vista del diritto ad un ricorso effettivo del contri- buente oggetto dell’indagine dell’autorità richiedente da cui aveva tratto origine la decisione dell’autorità interpellata di ingiungere al soggetto de- tentore</w:t>
      </w:r>
      <w:r>
        <w:rPr>
          <w:color w:val="231F20"/>
          <w:spacing w:val="-15"/>
        </w:rPr>
        <w:t> </w:t>
      </w:r>
      <w:r>
        <w:rPr>
          <w:color w:val="231F20"/>
        </w:rPr>
        <w:t>delle</w:t>
      </w:r>
      <w:r>
        <w:rPr>
          <w:color w:val="231F20"/>
          <w:spacing w:val="-15"/>
        </w:rPr>
        <w:t> </w:t>
      </w:r>
      <w:r>
        <w:rPr>
          <w:color w:val="231F20"/>
        </w:rPr>
        <w:t>stesse</w:t>
      </w:r>
      <w:r>
        <w:rPr>
          <w:color w:val="231F20"/>
          <w:spacing w:val="-15"/>
        </w:rPr>
        <w:t> </w:t>
      </w:r>
      <w:r>
        <w:rPr>
          <w:color w:val="231F20"/>
        </w:rPr>
        <w:t>la</w:t>
      </w:r>
      <w:r>
        <w:rPr>
          <w:color w:val="231F20"/>
          <w:spacing w:val="-15"/>
        </w:rPr>
        <w:t> </w:t>
      </w:r>
      <w:r>
        <w:rPr>
          <w:color w:val="231F20"/>
        </w:rPr>
        <w:t>comunicazione</w:t>
      </w:r>
      <w:r>
        <w:rPr>
          <w:color w:val="231F20"/>
          <w:spacing w:val="-15"/>
        </w:rPr>
        <w:t> </w:t>
      </w:r>
      <w:r>
        <w:rPr>
          <w:color w:val="231F20"/>
        </w:rPr>
        <w:t>di</w:t>
      </w:r>
      <w:r>
        <w:rPr>
          <w:color w:val="231F20"/>
          <w:spacing w:val="-15"/>
        </w:rPr>
        <w:t> </w:t>
      </w:r>
      <w:r>
        <w:rPr>
          <w:color w:val="231F20"/>
        </w:rPr>
        <w:t>determinate</w:t>
      </w:r>
      <w:r>
        <w:rPr>
          <w:color w:val="231F20"/>
          <w:spacing w:val="-15"/>
        </w:rPr>
        <w:t> </w:t>
      </w:r>
      <w:r>
        <w:rPr>
          <w:color w:val="231F20"/>
        </w:rPr>
        <w:t>informazioni.</w:t>
      </w:r>
      <w:r>
        <w:rPr>
          <w:color w:val="231F20"/>
          <w:spacing w:val="-15"/>
        </w:rPr>
        <w:t> </w:t>
      </w:r>
      <w:r>
        <w:rPr>
          <w:color w:val="231F20"/>
        </w:rPr>
        <w:t>Per</w:t>
      </w:r>
      <w:r>
        <w:rPr>
          <w:color w:val="231F20"/>
          <w:spacing w:val="-15"/>
        </w:rPr>
        <w:t> </w:t>
      </w:r>
      <w:r>
        <w:rPr>
          <w:color w:val="231F20"/>
        </w:rPr>
        <w:t>defi- nizione</w:t>
      </w:r>
      <w:r>
        <w:rPr>
          <w:color w:val="231F20"/>
          <w:spacing w:val="-2"/>
        </w:rPr>
        <w:t> </w:t>
      </w:r>
      <w:r>
        <w:rPr>
          <w:color w:val="231F20"/>
        </w:rPr>
        <w:t>il</w:t>
      </w:r>
      <w:r>
        <w:rPr>
          <w:color w:val="231F20"/>
          <w:spacing w:val="-2"/>
        </w:rPr>
        <w:t> </w:t>
      </w:r>
      <w:r>
        <w:rPr>
          <w:color w:val="231F20"/>
        </w:rPr>
        <w:t>contribuente</w:t>
      </w:r>
      <w:r>
        <w:rPr>
          <w:color w:val="231F20"/>
          <w:spacing w:val="-2"/>
        </w:rPr>
        <w:t> </w:t>
      </w:r>
      <w:r>
        <w:rPr>
          <w:color w:val="231F20"/>
        </w:rPr>
        <w:t>oggetto</w:t>
      </w:r>
      <w:r>
        <w:rPr>
          <w:color w:val="231F20"/>
          <w:spacing w:val="-2"/>
        </w:rPr>
        <w:t> </w:t>
      </w:r>
      <w:r>
        <w:rPr>
          <w:color w:val="231F20"/>
        </w:rPr>
        <w:t>dell’accertamento</w:t>
      </w:r>
      <w:r>
        <w:rPr>
          <w:color w:val="231F20"/>
          <w:spacing w:val="-2"/>
        </w:rPr>
        <w:t> </w:t>
      </w:r>
      <w:r>
        <w:rPr>
          <w:color w:val="231F20"/>
        </w:rPr>
        <w:t>tributario</w:t>
      </w:r>
      <w:r>
        <w:rPr>
          <w:color w:val="231F20"/>
          <w:spacing w:val="-2"/>
        </w:rPr>
        <w:t> </w:t>
      </w:r>
      <w:r>
        <w:rPr>
          <w:color w:val="231F20"/>
        </w:rPr>
        <w:t>nel</w:t>
      </w:r>
      <w:r>
        <w:rPr>
          <w:color w:val="231F20"/>
          <w:spacing w:val="-2"/>
        </w:rPr>
        <w:t> </w:t>
      </w:r>
      <w:r>
        <w:rPr>
          <w:color w:val="231F20"/>
        </w:rPr>
        <w:t>processo</w:t>
      </w:r>
      <w:r>
        <w:rPr>
          <w:color w:val="231F20"/>
          <w:spacing w:val="-2"/>
        </w:rPr>
        <w:t> </w:t>
      </w:r>
      <w:r>
        <w:rPr>
          <w:i/>
          <w:color w:val="231F20"/>
        </w:rPr>
        <w:t>a</w:t>
      </w:r>
      <w:r>
        <w:rPr>
          <w:i/>
          <w:color w:val="231F20"/>
        </w:rPr>
        <w:t> quo </w:t>
      </w:r>
      <w:r>
        <w:rPr>
          <w:color w:val="231F20"/>
        </w:rPr>
        <w:t>aveva il proprio domicilio fiscale in uno Stato membro diverso - nella fattispecie:</w:t>
      </w:r>
      <w:r>
        <w:rPr>
          <w:color w:val="231F20"/>
          <w:spacing w:val="-14"/>
        </w:rPr>
        <w:t> </w:t>
      </w:r>
      <w:r>
        <w:rPr>
          <w:color w:val="231F20"/>
        </w:rPr>
        <w:t>la</w:t>
      </w:r>
      <w:r>
        <w:rPr>
          <w:color w:val="231F20"/>
          <w:spacing w:val="-14"/>
        </w:rPr>
        <w:t> </w:t>
      </w:r>
      <w:r>
        <w:rPr>
          <w:color w:val="231F20"/>
        </w:rPr>
        <w:t>Spagna</w:t>
      </w:r>
      <w:r>
        <w:rPr>
          <w:color w:val="231F20"/>
          <w:spacing w:val="-14"/>
        </w:rPr>
        <w:t> </w:t>
      </w:r>
      <w:r>
        <w:rPr>
          <w:color w:val="231F20"/>
        </w:rPr>
        <w:t>-</w:t>
      </w:r>
      <w:r>
        <w:rPr>
          <w:color w:val="231F20"/>
          <w:spacing w:val="-14"/>
        </w:rPr>
        <w:t> </w:t>
      </w:r>
      <w:r>
        <w:rPr>
          <w:color w:val="231F20"/>
        </w:rPr>
        <w:t>da</w:t>
      </w:r>
      <w:r>
        <w:rPr>
          <w:color w:val="231F20"/>
          <w:spacing w:val="-14"/>
        </w:rPr>
        <w:t> </w:t>
      </w:r>
      <w:r>
        <w:rPr>
          <w:color w:val="231F20"/>
        </w:rPr>
        <w:t>quello</w:t>
      </w:r>
      <w:r>
        <w:rPr>
          <w:color w:val="231F20"/>
          <w:spacing w:val="-14"/>
        </w:rPr>
        <w:t> </w:t>
      </w:r>
      <w:r>
        <w:rPr>
          <w:color w:val="231F20"/>
        </w:rPr>
        <w:t>(il</w:t>
      </w:r>
      <w:r>
        <w:rPr>
          <w:color w:val="231F20"/>
          <w:spacing w:val="-14"/>
        </w:rPr>
        <w:t> </w:t>
      </w:r>
      <w:r>
        <w:rPr>
          <w:color w:val="231F20"/>
        </w:rPr>
        <w:t>Lussemburgo)</w:t>
      </w:r>
      <w:r>
        <w:rPr>
          <w:color w:val="231F20"/>
          <w:spacing w:val="-14"/>
        </w:rPr>
        <w:t> </w:t>
      </w:r>
      <w:r>
        <w:rPr>
          <w:color w:val="231F20"/>
        </w:rPr>
        <w:t>in</w:t>
      </w:r>
      <w:r>
        <w:rPr>
          <w:color w:val="231F20"/>
          <w:spacing w:val="-14"/>
        </w:rPr>
        <w:t> </w:t>
      </w:r>
      <w:r>
        <w:rPr>
          <w:color w:val="231F20"/>
        </w:rPr>
        <w:t>cui</w:t>
      </w:r>
      <w:r>
        <w:rPr>
          <w:color w:val="231F20"/>
          <w:spacing w:val="-14"/>
        </w:rPr>
        <w:t> </w:t>
      </w:r>
      <w:r>
        <w:rPr>
          <w:color w:val="231F20"/>
        </w:rPr>
        <w:t>aveva</w:t>
      </w:r>
      <w:r>
        <w:rPr>
          <w:color w:val="231F20"/>
          <w:spacing w:val="-14"/>
        </w:rPr>
        <w:t> </w:t>
      </w:r>
      <w:r>
        <w:rPr>
          <w:color w:val="231F20"/>
        </w:rPr>
        <w:t>sede</w:t>
      </w:r>
      <w:r>
        <w:rPr>
          <w:color w:val="231F20"/>
          <w:spacing w:val="-14"/>
        </w:rPr>
        <w:t> </w:t>
      </w:r>
      <w:r>
        <w:rPr>
          <w:color w:val="231F20"/>
        </w:rPr>
        <w:t>l’ammi- nistrazione</w:t>
      </w:r>
      <w:r>
        <w:rPr>
          <w:color w:val="231F20"/>
          <w:spacing w:val="-8"/>
        </w:rPr>
        <w:t> </w:t>
      </w:r>
      <w:r>
        <w:rPr>
          <w:color w:val="231F20"/>
        </w:rPr>
        <w:t>finanziaria</w:t>
      </w:r>
      <w:r>
        <w:rPr>
          <w:color w:val="231F20"/>
          <w:spacing w:val="-8"/>
        </w:rPr>
        <w:t> </w:t>
      </w:r>
      <w:r>
        <w:rPr>
          <w:color w:val="231F20"/>
        </w:rPr>
        <w:t>che</w:t>
      </w:r>
      <w:r>
        <w:rPr>
          <w:color w:val="231F20"/>
          <w:spacing w:val="-8"/>
        </w:rPr>
        <w:t> </w:t>
      </w:r>
      <w:r>
        <w:rPr>
          <w:color w:val="231F20"/>
        </w:rPr>
        <w:t>aveva</w:t>
      </w:r>
      <w:r>
        <w:rPr>
          <w:color w:val="231F20"/>
          <w:spacing w:val="-8"/>
        </w:rPr>
        <w:t> </w:t>
      </w:r>
      <w:r>
        <w:rPr>
          <w:color w:val="231F20"/>
        </w:rPr>
        <w:t>ordinato</w:t>
      </w:r>
      <w:r>
        <w:rPr>
          <w:color w:val="231F20"/>
          <w:spacing w:val="-8"/>
        </w:rPr>
        <w:t> </w:t>
      </w:r>
      <w:r>
        <w:rPr>
          <w:color w:val="231F20"/>
        </w:rPr>
        <w:t>ad</w:t>
      </w:r>
      <w:r>
        <w:rPr>
          <w:color w:val="231F20"/>
          <w:spacing w:val="-8"/>
        </w:rPr>
        <w:t> </w:t>
      </w:r>
      <w:r>
        <w:rPr>
          <w:color w:val="231F20"/>
        </w:rPr>
        <w:t>un</w:t>
      </w:r>
      <w:r>
        <w:rPr>
          <w:color w:val="231F20"/>
          <w:spacing w:val="-8"/>
        </w:rPr>
        <w:t> </w:t>
      </w:r>
      <w:r>
        <w:rPr>
          <w:color w:val="231F20"/>
        </w:rPr>
        <w:t>altro</w:t>
      </w:r>
      <w:r>
        <w:rPr>
          <w:color w:val="231F20"/>
          <w:spacing w:val="-8"/>
        </w:rPr>
        <w:t> </w:t>
      </w:r>
      <w:r>
        <w:rPr>
          <w:color w:val="231F20"/>
        </w:rPr>
        <w:t>soggetto,</w:t>
      </w:r>
      <w:r>
        <w:rPr>
          <w:color w:val="231F20"/>
          <w:spacing w:val="-8"/>
        </w:rPr>
        <w:t> </w:t>
      </w:r>
      <w:r>
        <w:rPr>
          <w:color w:val="231F20"/>
        </w:rPr>
        <w:t>il</w:t>
      </w:r>
      <w:r>
        <w:rPr>
          <w:color w:val="231F20"/>
          <w:spacing w:val="-8"/>
        </w:rPr>
        <w:t> </w:t>
      </w:r>
      <w:r>
        <w:rPr>
          <w:color w:val="231F20"/>
        </w:rPr>
        <w:t>detentore delle</w:t>
      </w:r>
      <w:r>
        <w:rPr>
          <w:color w:val="231F20"/>
          <w:spacing w:val="23"/>
        </w:rPr>
        <w:t> </w:t>
      </w:r>
      <w:r>
        <w:rPr>
          <w:color w:val="231F20"/>
        </w:rPr>
        <w:t>informazioni</w:t>
      </w:r>
      <w:r>
        <w:rPr>
          <w:color w:val="231F20"/>
          <w:spacing w:val="23"/>
        </w:rPr>
        <w:t> </w:t>
      </w:r>
      <w:r>
        <w:rPr>
          <w:color w:val="231F20"/>
        </w:rPr>
        <w:t>-</w:t>
      </w:r>
      <w:r>
        <w:rPr>
          <w:color w:val="231F20"/>
          <w:spacing w:val="23"/>
        </w:rPr>
        <w:t> </w:t>
      </w:r>
      <w:r>
        <w:rPr>
          <w:color w:val="231F20"/>
        </w:rPr>
        <w:t>nella</w:t>
      </w:r>
      <w:r>
        <w:rPr>
          <w:color w:val="231F20"/>
          <w:spacing w:val="23"/>
        </w:rPr>
        <w:t> </w:t>
      </w:r>
      <w:r>
        <w:rPr>
          <w:color w:val="231F20"/>
        </w:rPr>
        <w:t>fattispecie:</w:t>
      </w:r>
      <w:r>
        <w:rPr>
          <w:color w:val="231F20"/>
          <w:spacing w:val="23"/>
        </w:rPr>
        <w:t> </w:t>
      </w:r>
      <w:r>
        <w:rPr>
          <w:color w:val="231F20"/>
        </w:rPr>
        <w:t>una</w:t>
      </w:r>
      <w:r>
        <w:rPr>
          <w:color w:val="231F20"/>
          <w:spacing w:val="23"/>
        </w:rPr>
        <w:t> </w:t>
      </w:r>
      <w:r>
        <w:rPr>
          <w:color w:val="231F20"/>
        </w:rPr>
        <w:t>banca</w:t>
      </w:r>
      <w:r>
        <w:rPr>
          <w:color w:val="231F20"/>
          <w:spacing w:val="23"/>
        </w:rPr>
        <w:t> </w:t>
      </w:r>
      <w:r>
        <w:rPr>
          <w:color w:val="231F20"/>
        </w:rPr>
        <w:t>e</w:t>
      </w:r>
      <w:r>
        <w:rPr>
          <w:color w:val="231F20"/>
          <w:spacing w:val="23"/>
        </w:rPr>
        <w:t> </w:t>
      </w:r>
      <w:r>
        <w:rPr>
          <w:color w:val="231F20"/>
        </w:rPr>
        <w:t>una</w:t>
      </w:r>
      <w:r>
        <w:rPr>
          <w:color w:val="231F20"/>
          <w:spacing w:val="23"/>
        </w:rPr>
        <w:t> </w:t>
      </w:r>
      <w:r>
        <w:rPr>
          <w:color w:val="231F20"/>
        </w:rPr>
        <w:t>società</w:t>
      </w:r>
      <w:r>
        <w:rPr>
          <w:color w:val="231F20"/>
          <w:spacing w:val="23"/>
        </w:rPr>
        <w:t> </w:t>
      </w:r>
      <w:r>
        <w:rPr>
          <w:color w:val="231F20"/>
          <w:spacing w:val="-2"/>
        </w:rPr>
        <w:t>finanziaria</w:t>
      </w:r>
    </w:p>
    <w:p>
      <w:pPr>
        <w:pStyle w:val="BodyText"/>
        <w:spacing w:line="225" w:lineRule="auto" w:before="13"/>
        <w:ind w:left="157" w:right="117"/>
        <w:jc w:val="both"/>
      </w:pPr>
      <w:r>
        <w:rPr>
          <w:color w:val="231F20"/>
        </w:rPr>
        <w:t>- di comunicare tali medesime informazioni richieste </w:t>
      </w:r>
      <w:r>
        <w:rPr>
          <w:color w:val="231F20"/>
        </w:rPr>
        <w:t>dall’amministrazio- ne richiedente. Il punto di partenza della lunga argomentazione </w:t>
      </w:r>
      <w:r>
        <w:rPr>
          <w:color w:val="231F20"/>
        </w:rPr>
        <w:t>giuridica della Corte su questo punto è stata la constatazione che la decisione di in- giunzione</w:t>
      </w:r>
      <w:r>
        <w:rPr>
          <w:color w:val="231F20"/>
          <w:spacing w:val="-12"/>
        </w:rPr>
        <w:t> </w:t>
      </w:r>
      <w:r>
        <w:rPr>
          <w:color w:val="231F20"/>
        </w:rPr>
        <w:t>notificata</w:t>
      </w:r>
      <w:r>
        <w:rPr>
          <w:color w:val="231F20"/>
          <w:spacing w:val="-12"/>
        </w:rPr>
        <w:t> </w:t>
      </w:r>
      <w:r>
        <w:rPr>
          <w:color w:val="231F20"/>
        </w:rPr>
        <w:t>dall’autorità</w:t>
      </w:r>
      <w:r>
        <w:rPr>
          <w:color w:val="231F20"/>
          <w:spacing w:val="-12"/>
        </w:rPr>
        <w:t> </w:t>
      </w:r>
      <w:r>
        <w:rPr>
          <w:color w:val="231F20"/>
        </w:rPr>
        <w:t>interpellata</w:t>
      </w:r>
      <w:r>
        <w:rPr>
          <w:color w:val="231F20"/>
          <w:spacing w:val="-12"/>
        </w:rPr>
        <w:t> </w:t>
      </w:r>
      <w:r>
        <w:rPr>
          <w:color w:val="231F20"/>
        </w:rPr>
        <w:t>al</w:t>
      </w:r>
      <w:r>
        <w:rPr>
          <w:color w:val="231F20"/>
          <w:spacing w:val="-12"/>
        </w:rPr>
        <w:t> </w:t>
      </w:r>
      <w:r>
        <w:rPr>
          <w:color w:val="231F20"/>
        </w:rPr>
        <w:t>detentore</w:t>
      </w:r>
      <w:r>
        <w:rPr>
          <w:color w:val="231F20"/>
          <w:spacing w:val="-12"/>
        </w:rPr>
        <w:t> </w:t>
      </w:r>
      <w:r>
        <w:rPr>
          <w:color w:val="231F20"/>
        </w:rPr>
        <w:t>delle</w:t>
      </w:r>
      <w:r>
        <w:rPr>
          <w:color w:val="231F20"/>
          <w:spacing w:val="-12"/>
        </w:rPr>
        <w:t> </w:t>
      </w:r>
      <w:r>
        <w:rPr>
          <w:color w:val="231F20"/>
        </w:rPr>
        <w:t>informazio- ni interviene nell’ambito di una fase preliminare rispetto al </w:t>
      </w:r>
      <w:r>
        <w:rPr>
          <w:color w:val="231F20"/>
        </w:rPr>
        <w:t>procedimento di accertamento tributario nei confronti del contribuente. È unicamente nella fase successiva che l’amministrazione dello Stato membro in cui il contribuente ha il proprio domicilio fiscale può notificare a quest’ultimo un provvedimento di rettifica della sua dichiarazione e di conseguente in- giunzione di pagamento di una maggiore imposta dovuta. Per i giudici dell’Unione è pertanto nell’ambito del procedimento di impugnazione </w:t>
      </w:r>
      <w:r>
        <w:rPr>
          <w:color w:val="231F20"/>
        </w:rPr>
        <w:t>di tale atto finale di rettifica, basato in tutto o in parte su elementi probato- ri raccolti mediante la procedura di scambio di informazioni disciplinata dalla direttiva 2016/11/UE, che al contribuente dev’essere riconosciuta </w:t>
      </w:r>
      <w:r>
        <w:rPr>
          <w:color w:val="231F20"/>
        </w:rPr>
        <w:t>la facoltà di contestare in via incidentale, sia la legittimità della decisione di ingiunzione</w:t>
      </w:r>
      <w:r>
        <w:rPr>
          <w:color w:val="231F20"/>
          <w:spacing w:val="-14"/>
        </w:rPr>
        <w:t> </w:t>
      </w:r>
      <w:r>
        <w:rPr>
          <w:color w:val="231F20"/>
        </w:rPr>
        <w:t>notificata</w:t>
      </w:r>
      <w:r>
        <w:rPr>
          <w:color w:val="231F20"/>
          <w:spacing w:val="-14"/>
        </w:rPr>
        <w:t> </w:t>
      </w:r>
      <w:r>
        <w:rPr>
          <w:color w:val="231F20"/>
        </w:rPr>
        <w:t>dall’autorità</w:t>
      </w:r>
      <w:r>
        <w:rPr>
          <w:color w:val="231F20"/>
          <w:spacing w:val="-14"/>
        </w:rPr>
        <w:t> </w:t>
      </w:r>
      <w:r>
        <w:rPr>
          <w:color w:val="231F20"/>
        </w:rPr>
        <w:t>interpellata</w:t>
      </w:r>
      <w:r>
        <w:rPr>
          <w:color w:val="231F20"/>
          <w:spacing w:val="-14"/>
        </w:rPr>
        <w:t> </w:t>
      </w:r>
      <w:r>
        <w:rPr>
          <w:color w:val="231F20"/>
        </w:rPr>
        <w:t>di</w:t>
      </w:r>
      <w:r>
        <w:rPr>
          <w:color w:val="231F20"/>
          <w:spacing w:val="-14"/>
        </w:rPr>
        <w:t> </w:t>
      </w:r>
      <w:r>
        <w:rPr>
          <w:color w:val="231F20"/>
        </w:rPr>
        <w:t>un</w:t>
      </w:r>
      <w:r>
        <w:rPr>
          <w:color w:val="231F20"/>
          <w:spacing w:val="-14"/>
        </w:rPr>
        <w:t> </w:t>
      </w:r>
      <w:r>
        <w:rPr>
          <w:color w:val="231F20"/>
        </w:rPr>
        <w:t>altro</w:t>
      </w:r>
      <w:r>
        <w:rPr>
          <w:color w:val="231F20"/>
          <w:spacing w:val="-14"/>
        </w:rPr>
        <w:t> </w:t>
      </w:r>
      <w:r>
        <w:rPr>
          <w:color w:val="231F20"/>
        </w:rPr>
        <w:t>Stato</w:t>
      </w:r>
      <w:r>
        <w:rPr>
          <w:color w:val="231F20"/>
          <w:spacing w:val="-14"/>
        </w:rPr>
        <w:t> </w:t>
      </w:r>
      <w:r>
        <w:rPr>
          <w:color w:val="231F20"/>
        </w:rPr>
        <w:t>membro</w:t>
      </w:r>
      <w:r>
        <w:rPr>
          <w:color w:val="231F20"/>
          <w:spacing w:val="-14"/>
        </w:rPr>
        <w:t> </w:t>
      </w:r>
      <w:r>
        <w:rPr>
          <w:color w:val="231F20"/>
        </w:rPr>
        <w:t>al detentore</w:t>
      </w:r>
      <w:r>
        <w:rPr>
          <w:color w:val="231F20"/>
          <w:spacing w:val="-5"/>
        </w:rPr>
        <w:t> </w:t>
      </w:r>
      <w:r>
        <w:rPr>
          <w:color w:val="231F20"/>
        </w:rPr>
        <w:t>delle</w:t>
      </w:r>
      <w:r>
        <w:rPr>
          <w:color w:val="231F20"/>
          <w:spacing w:val="-5"/>
        </w:rPr>
        <w:t> </w:t>
      </w:r>
      <w:r>
        <w:rPr>
          <w:color w:val="231F20"/>
        </w:rPr>
        <w:t>informazioni,</w:t>
      </w:r>
      <w:r>
        <w:rPr>
          <w:color w:val="231F20"/>
          <w:spacing w:val="-4"/>
        </w:rPr>
        <w:t> </w:t>
      </w:r>
      <w:r>
        <w:rPr>
          <w:color w:val="231F20"/>
        </w:rPr>
        <w:t>sia</w:t>
      </w:r>
      <w:r>
        <w:rPr>
          <w:color w:val="231F20"/>
          <w:spacing w:val="-5"/>
        </w:rPr>
        <w:t> </w:t>
      </w:r>
      <w:r>
        <w:rPr>
          <w:color w:val="231F20"/>
        </w:rPr>
        <w:t>le</w:t>
      </w:r>
      <w:r>
        <w:rPr>
          <w:color w:val="231F20"/>
          <w:spacing w:val="-4"/>
        </w:rPr>
        <w:t> </w:t>
      </w:r>
      <w:r>
        <w:rPr>
          <w:color w:val="231F20"/>
        </w:rPr>
        <w:t>«condizioni</w:t>
      </w:r>
      <w:r>
        <w:rPr>
          <w:color w:val="231F20"/>
          <w:spacing w:val="-5"/>
        </w:rPr>
        <w:t> </w:t>
      </w:r>
      <w:r>
        <w:rPr>
          <w:color w:val="231F20"/>
        </w:rPr>
        <w:t>di</w:t>
      </w:r>
      <w:r>
        <w:rPr>
          <w:color w:val="231F20"/>
          <w:spacing w:val="-5"/>
        </w:rPr>
        <w:t> </w:t>
      </w:r>
      <w:r>
        <w:rPr>
          <w:color w:val="231F20"/>
        </w:rPr>
        <w:t>reperimento</w:t>
      </w:r>
      <w:r>
        <w:rPr>
          <w:color w:val="231F20"/>
          <w:spacing w:val="-4"/>
        </w:rPr>
        <w:t> </w:t>
      </w:r>
      <w:r>
        <w:rPr>
          <w:color w:val="231F20"/>
        </w:rPr>
        <w:t>e</w:t>
      </w:r>
      <w:r>
        <w:rPr>
          <w:color w:val="231F20"/>
          <w:spacing w:val="-5"/>
        </w:rPr>
        <w:t> </w:t>
      </w:r>
      <w:r>
        <w:rPr>
          <w:color w:val="231F20"/>
        </w:rPr>
        <w:t>di</w:t>
      </w:r>
      <w:r>
        <w:rPr>
          <w:color w:val="231F20"/>
          <w:spacing w:val="-4"/>
        </w:rPr>
        <w:t> </w:t>
      </w:r>
      <w:r>
        <w:rPr>
          <w:color w:val="231F20"/>
          <w:spacing w:val="-2"/>
        </w:rPr>
        <w:t>utilizzo</w:t>
      </w:r>
    </w:p>
    <w:p>
      <w:pPr>
        <w:pStyle w:val="BodyText"/>
        <w:spacing w:before="165"/>
        <w:rPr>
          <w:sz w:val="20"/>
        </w:rPr>
      </w:pPr>
      <w:r>
        <w:rPr/>
        <mc:AlternateContent>
          <mc:Choice Requires="wps">
            <w:drawing>
              <wp:anchor distT="0" distB="0" distL="0" distR="0" allowOverlap="1" layoutInCell="1" locked="0" behindDoc="1" simplePos="0" relativeHeight="487624704">
                <wp:simplePos x="0" y="0"/>
                <wp:positionH relativeFrom="page">
                  <wp:posOffset>899999</wp:posOffset>
                </wp:positionH>
                <wp:positionV relativeFrom="paragraph">
                  <wp:posOffset>281946</wp:posOffset>
                </wp:positionV>
                <wp:extent cx="792480" cy="1270"/>
                <wp:effectExtent l="0" t="0" r="0" b="0"/>
                <wp:wrapTopAndBottom/>
                <wp:docPr id="127" name="Graphic 127"/>
                <wp:cNvGraphicFramePr>
                  <a:graphicFrameLocks/>
                </wp:cNvGraphicFramePr>
                <a:graphic>
                  <a:graphicData uri="http://schemas.microsoft.com/office/word/2010/wordprocessingShape">
                    <wps:wsp>
                      <wps:cNvPr id="127" name="Graphic 127"/>
                      <wps:cNvSpPr/>
                      <wps:spPr>
                        <a:xfrm>
                          <a:off x="0" y="0"/>
                          <a:ext cx="792480" cy="1270"/>
                        </a:xfrm>
                        <a:custGeom>
                          <a:avLst/>
                          <a:gdLst/>
                          <a:ahLst/>
                          <a:cxnLst/>
                          <a:rect l="l" t="t" r="r" b="b"/>
                          <a:pathLst>
                            <a:path w="792480" h="0">
                              <a:moveTo>
                                <a:pt x="0" y="0"/>
                              </a:moveTo>
                              <a:lnTo>
                                <a:pt x="791997"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shape style="position:absolute;margin-left:70.866096pt;margin-top:22.20050pt;width:62.4pt;height:.1pt;mso-position-horizontal-relative:page;mso-position-vertical-relative:paragraph;z-index:-15691776;mso-wrap-distance-left:0;mso-wrap-distance-right:0" id="docshape105" coordorigin="1417,444" coordsize="1248,0" path="m1417,444l2665,444e" filled="false" stroked="true" strokeweight=".5pt" strokecolor="#231f20">
                <v:path arrowok="t"/>
                <v:stroke dashstyle="solid"/>
                <w10:wrap type="topAndBottom"/>
              </v:shape>
            </w:pict>
          </mc:Fallback>
        </mc:AlternateContent>
      </w:r>
    </w:p>
    <w:p>
      <w:pPr>
        <w:spacing w:line="225" w:lineRule="auto" w:before="201"/>
        <w:ind w:left="157" w:right="118" w:firstLine="0"/>
        <w:jc w:val="both"/>
        <w:rPr>
          <w:sz w:val="19"/>
        </w:rPr>
      </w:pPr>
      <w:r>
        <w:rPr>
          <w:color w:val="231F20"/>
          <w:position w:val="6"/>
          <w:sz w:val="11"/>
        </w:rPr>
        <w:t>91</w:t>
      </w:r>
      <w:r>
        <w:rPr>
          <w:color w:val="231F20"/>
          <w:spacing w:val="80"/>
          <w:position w:val="6"/>
          <w:sz w:val="11"/>
        </w:rPr>
        <w:t> </w:t>
      </w:r>
      <w:r>
        <w:rPr>
          <w:color w:val="231F20"/>
          <w:sz w:val="19"/>
        </w:rPr>
        <w:t>Corte giust. UE, sent. del 6 ottobre 2020, causa C-245/19, cit., punti da 56 a 69. Tale principio interpretativo è stato confermato dalla Corte di giustizia pochi mesi dopo in Corte giust. UE, sent. del 25 novembre 2021, C-437/19, cit., punti da 94 a 97 (v. </w:t>
      </w:r>
      <w:r>
        <w:rPr>
          <w:i/>
          <w:color w:val="231F20"/>
          <w:sz w:val="19"/>
        </w:rPr>
        <w:t>infra</w:t>
      </w:r>
      <w:r>
        <w:rPr>
          <w:color w:val="231F20"/>
          <w:sz w:val="19"/>
        </w:rPr>
        <w:t>).</w:t>
      </w:r>
    </w:p>
    <w:p>
      <w:pPr>
        <w:spacing w:after="0" w:line="225" w:lineRule="auto"/>
        <w:jc w:val="both"/>
        <w:rPr>
          <w:sz w:val="19"/>
        </w:rPr>
        <w:sectPr>
          <w:pgSz w:w="9640" w:h="13610"/>
          <w:pgMar w:header="0" w:footer="625" w:top="1260" w:bottom="820" w:left="1260" w:right="1240"/>
        </w:sectPr>
      </w:pPr>
    </w:p>
    <w:p>
      <w:pPr>
        <w:pStyle w:val="BodyText"/>
        <w:spacing w:line="225" w:lineRule="auto" w:before="117"/>
        <w:ind w:left="100" w:right="174" w:hanging="1"/>
        <w:jc w:val="both"/>
      </w:pPr>
      <w:r>
        <w:rPr>
          <w:color w:val="231F20"/>
        </w:rPr>
        <w:t>delle prove raccolte grazie ad essa (decisione)»</w:t>
      </w:r>
      <w:r>
        <w:rPr>
          <w:color w:val="231F20"/>
          <w:position w:val="8"/>
          <w:sz w:val="14"/>
        </w:rPr>
        <w:t>92</w:t>
      </w:r>
      <w:r>
        <w:rPr>
          <w:color w:val="231F20"/>
        </w:rPr>
        <w:t>.</w:t>
      </w:r>
      <w:r>
        <w:rPr>
          <w:color w:val="231F20"/>
          <w:spacing w:val="-9"/>
        </w:rPr>
        <w:t> </w:t>
      </w:r>
      <w:r>
        <w:rPr>
          <w:color w:val="231F20"/>
        </w:rPr>
        <w:t>Tale possibilità in capo al contribuente di contestare in via incidentale la legittimità della </w:t>
      </w:r>
      <w:r>
        <w:rPr>
          <w:color w:val="231F20"/>
        </w:rPr>
        <w:t>decisione di ingiunzione nell’ambito del ricorso principale contro l’atto finale di ac- certamento, unitamente alla constatazione che la decisione di ingiunzione dell’autorità</w:t>
      </w:r>
      <w:r>
        <w:rPr>
          <w:color w:val="231F20"/>
          <w:spacing w:val="-13"/>
        </w:rPr>
        <w:t> </w:t>
      </w:r>
      <w:r>
        <w:rPr>
          <w:color w:val="231F20"/>
        </w:rPr>
        <w:t>interpellata</w:t>
      </w:r>
      <w:r>
        <w:rPr>
          <w:color w:val="231F20"/>
          <w:spacing w:val="-13"/>
        </w:rPr>
        <w:t> </w:t>
      </w:r>
      <w:r>
        <w:rPr>
          <w:color w:val="231F20"/>
        </w:rPr>
        <w:t>di</w:t>
      </w:r>
      <w:r>
        <w:rPr>
          <w:color w:val="231F20"/>
          <w:spacing w:val="-13"/>
        </w:rPr>
        <w:t> </w:t>
      </w:r>
      <w:r>
        <w:rPr>
          <w:color w:val="231F20"/>
        </w:rPr>
        <w:t>un</w:t>
      </w:r>
      <w:r>
        <w:rPr>
          <w:color w:val="231F20"/>
          <w:spacing w:val="-13"/>
        </w:rPr>
        <w:t> </w:t>
      </w:r>
      <w:r>
        <w:rPr>
          <w:color w:val="231F20"/>
        </w:rPr>
        <w:t>altro</w:t>
      </w:r>
      <w:r>
        <w:rPr>
          <w:color w:val="231F20"/>
          <w:spacing w:val="-13"/>
        </w:rPr>
        <w:t> </w:t>
      </w:r>
      <w:r>
        <w:rPr>
          <w:color w:val="231F20"/>
        </w:rPr>
        <w:t>Stato</w:t>
      </w:r>
      <w:r>
        <w:rPr>
          <w:color w:val="231F20"/>
          <w:spacing w:val="-13"/>
        </w:rPr>
        <w:t> </w:t>
      </w:r>
      <w:r>
        <w:rPr>
          <w:color w:val="231F20"/>
        </w:rPr>
        <w:t>membro</w:t>
      </w:r>
      <w:r>
        <w:rPr>
          <w:color w:val="231F20"/>
          <w:spacing w:val="-13"/>
        </w:rPr>
        <w:t> </w:t>
      </w:r>
      <w:r>
        <w:rPr>
          <w:color w:val="231F20"/>
        </w:rPr>
        <w:t>non</w:t>
      </w:r>
      <w:r>
        <w:rPr>
          <w:color w:val="231F20"/>
          <w:spacing w:val="-13"/>
        </w:rPr>
        <w:t> </w:t>
      </w:r>
      <w:r>
        <w:rPr>
          <w:color w:val="231F20"/>
        </w:rPr>
        <w:t>comporta</w:t>
      </w:r>
      <w:r>
        <w:rPr>
          <w:color w:val="231F20"/>
          <w:spacing w:val="-13"/>
        </w:rPr>
        <w:t> </w:t>
      </w:r>
      <w:r>
        <w:rPr>
          <w:color w:val="231F20"/>
        </w:rPr>
        <w:t>alcun</w:t>
      </w:r>
      <w:r>
        <w:rPr>
          <w:color w:val="231F20"/>
          <w:spacing w:val="-13"/>
        </w:rPr>
        <w:t> </w:t>
      </w:r>
      <w:r>
        <w:rPr>
          <w:color w:val="231F20"/>
        </w:rPr>
        <w:t>ob- bligo</w:t>
      </w:r>
      <w:r>
        <w:rPr>
          <w:color w:val="231F20"/>
          <w:spacing w:val="-7"/>
        </w:rPr>
        <w:t> </w:t>
      </w:r>
      <w:r>
        <w:rPr>
          <w:color w:val="231F20"/>
        </w:rPr>
        <w:t>giuridico</w:t>
      </w:r>
      <w:r>
        <w:rPr>
          <w:color w:val="231F20"/>
          <w:spacing w:val="-7"/>
        </w:rPr>
        <w:t> </w:t>
      </w:r>
      <w:r>
        <w:rPr>
          <w:color w:val="231F20"/>
        </w:rPr>
        <w:t>per</w:t>
      </w:r>
      <w:r>
        <w:rPr>
          <w:color w:val="231F20"/>
          <w:spacing w:val="-7"/>
        </w:rPr>
        <w:t> </w:t>
      </w:r>
      <w:r>
        <w:rPr>
          <w:color w:val="231F20"/>
        </w:rPr>
        <w:t>il</w:t>
      </w:r>
      <w:r>
        <w:rPr>
          <w:color w:val="231F20"/>
          <w:spacing w:val="-7"/>
        </w:rPr>
        <w:t> </w:t>
      </w:r>
      <w:r>
        <w:rPr>
          <w:color w:val="231F20"/>
        </w:rPr>
        <w:t>contribuente,</w:t>
      </w:r>
      <w:r>
        <w:rPr>
          <w:color w:val="231F20"/>
          <w:spacing w:val="-7"/>
        </w:rPr>
        <w:t> </w:t>
      </w:r>
      <w:r>
        <w:rPr>
          <w:color w:val="231F20"/>
        </w:rPr>
        <w:t>né</w:t>
      </w:r>
      <w:r>
        <w:rPr>
          <w:color w:val="231F20"/>
          <w:spacing w:val="-7"/>
        </w:rPr>
        <w:t> </w:t>
      </w:r>
      <w:r>
        <w:rPr>
          <w:color w:val="231F20"/>
        </w:rPr>
        <w:t>alcun</w:t>
      </w:r>
      <w:r>
        <w:rPr>
          <w:color w:val="231F20"/>
          <w:spacing w:val="-7"/>
        </w:rPr>
        <w:t> </w:t>
      </w:r>
      <w:r>
        <w:rPr>
          <w:color w:val="231F20"/>
        </w:rPr>
        <w:t>rischio</w:t>
      </w:r>
      <w:r>
        <w:rPr>
          <w:color w:val="231F20"/>
          <w:spacing w:val="-7"/>
        </w:rPr>
        <w:t> </w:t>
      </w:r>
      <w:r>
        <w:rPr>
          <w:color w:val="231F20"/>
        </w:rPr>
        <w:t>di</w:t>
      </w:r>
      <w:r>
        <w:rPr>
          <w:color w:val="231F20"/>
          <w:spacing w:val="-7"/>
        </w:rPr>
        <w:t> </w:t>
      </w:r>
      <w:r>
        <w:rPr>
          <w:color w:val="231F20"/>
        </w:rPr>
        <w:t>sanzione,</w:t>
      </w:r>
      <w:r>
        <w:rPr>
          <w:color w:val="231F20"/>
          <w:spacing w:val="-7"/>
        </w:rPr>
        <w:t> </w:t>
      </w:r>
      <w:r>
        <w:rPr>
          <w:color w:val="231F20"/>
        </w:rPr>
        <w:t>ha</w:t>
      </w:r>
      <w:r>
        <w:rPr>
          <w:color w:val="231F20"/>
          <w:spacing w:val="-7"/>
        </w:rPr>
        <w:t> </w:t>
      </w:r>
      <w:r>
        <w:rPr>
          <w:color w:val="231F20"/>
        </w:rPr>
        <w:t>indotto i</w:t>
      </w:r>
      <w:r>
        <w:rPr>
          <w:color w:val="231F20"/>
          <w:spacing w:val="-5"/>
        </w:rPr>
        <w:t> </w:t>
      </w:r>
      <w:r>
        <w:rPr>
          <w:color w:val="231F20"/>
        </w:rPr>
        <w:t>giudici</w:t>
      </w:r>
      <w:r>
        <w:rPr>
          <w:color w:val="231F20"/>
          <w:spacing w:val="-5"/>
        </w:rPr>
        <w:t> </w:t>
      </w:r>
      <w:r>
        <w:rPr>
          <w:color w:val="231F20"/>
        </w:rPr>
        <w:t>dell’Unione</w:t>
      </w:r>
      <w:r>
        <w:rPr>
          <w:color w:val="231F20"/>
          <w:spacing w:val="-5"/>
        </w:rPr>
        <w:t> </w:t>
      </w:r>
      <w:r>
        <w:rPr>
          <w:color w:val="231F20"/>
        </w:rPr>
        <w:t>a</w:t>
      </w:r>
      <w:r>
        <w:rPr>
          <w:color w:val="231F20"/>
          <w:spacing w:val="-5"/>
        </w:rPr>
        <w:t> </w:t>
      </w:r>
      <w:r>
        <w:rPr>
          <w:color w:val="231F20"/>
        </w:rPr>
        <w:t>concludere</w:t>
      </w:r>
      <w:r>
        <w:rPr>
          <w:color w:val="231F20"/>
          <w:spacing w:val="-5"/>
        </w:rPr>
        <w:t> </w:t>
      </w:r>
      <w:r>
        <w:rPr>
          <w:color w:val="231F20"/>
        </w:rPr>
        <w:t>che</w:t>
      </w:r>
      <w:r>
        <w:rPr>
          <w:color w:val="231F20"/>
          <w:spacing w:val="-5"/>
        </w:rPr>
        <w:t> </w:t>
      </w:r>
      <w:r>
        <w:rPr>
          <w:color w:val="231F20"/>
        </w:rPr>
        <w:t>l’esclusione</w:t>
      </w:r>
      <w:r>
        <w:rPr>
          <w:color w:val="231F20"/>
          <w:spacing w:val="-5"/>
        </w:rPr>
        <w:t> </w:t>
      </w:r>
      <w:r>
        <w:rPr>
          <w:color w:val="231F20"/>
        </w:rPr>
        <w:t>di</w:t>
      </w:r>
      <w:r>
        <w:rPr>
          <w:color w:val="231F20"/>
          <w:spacing w:val="-5"/>
        </w:rPr>
        <w:t> </w:t>
      </w:r>
      <w:r>
        <w:rPr>
          <w:color w:val="231F20"/>
        </w:rPr>
        <w:t>un</w:t>
      </w:r>
      <w:r>
        <w:rPr>
          <w:color w:val="231F20"/>
          <w:spacing w:val="-5"/>
        </w:rPr>
        <w:t> </w:t>
      </w:r>
      <w:r>
        <w:rPr>
          <w:color w:val="231F20"/>
        </w:rPr>
        <w:t>ricorso</w:t>
      </w:r>
      <w:r>
        <w:rPr>
          <w:color w:val="231F20"/>
          <w:spacing w:val="-5"/>
        </w:rPr>
        <w:t> </w:t>
      </w:r>
      <w:r>
        <w:rPr>
          <w:color w:val="231F20"/>
        </w:rPr>
        <w:t>diretto</w:t>
      </w:r>
      <w:r>
        <w:rPr>
          <w:color w:val="231F20"/>
          <w:spacing w:val="-5"/>
        </w:rPr>
        <w:t> </w:t>
      </w:r>
      <w:r>
        <w:rPr>
          <w:color w:val="231F20"/>
        </w:rPr>
        <w:t>del contribuente contro la decisione di ingiunzione prevista dalla legislazione tributaria</w:t>
      </w:r>
      <w:r>
        <w:rPr>
          <w:color w:val="231F20"/>
          <w:spacing w:val="-17"/>
        </w:rPr>
        <w:t> </w:t>
      </w:r>
      <w:r>
        <w:rPr>
          <w:color w:val="231F20"/>
        </w:rPr>
        <w:t>lussemburghese</w:t>
      </w:r>
      <w:r>
        <w:rPr>
          <w:color w:val="231F20"/>
          <w:spacing w:val="-15"/>
        </w:rPr>
        <w:t> </w:t>
      </w:r>
      <w:r>
        <w:rPr>
          <w:color w:val="231F20"/>
        </w:rPr>
        <w:t>costituiva</w:t>
      </w:r>
      <w:r>
        <w:rPr>
          <w:color w:val="231F20"/>
          <w:spacing w:val="-15"/>
        </w:rPr>
        <w:t> </w:t>
      </w:r>
      <w:r>
        <w:rPr>
          <w:color w:val="231F20"/>
        </w:rPr>
        <w:t>una</w:t>
      </w:r>
      <w:r>
        <w:rPr>
          <w:color w:val="231F20"/>
          <w:spacing w:val="-15"/>
        </w:rPr>
        <w:t> </w:t>
      </w:r>
      <w:r>
        <w:rPr>
          <w:color w:val="231F20"/>
        </w:rPr>
        <w:t>limitazione</w:t>
      </w:r>
      <w:r>
        <w:rPr>
          <w:color w:val="231F20"/>
          <w:spacing w:val="-15"/>
        </w:rPr>
        <w:t> </w:t>
      </w:r>
      <w:r>
        <w:rPr>
          <w:color w:val="231F20"/>
        </w:rPr>
        <w:t>«non</w:t>
      </w:r>
      <w:r>
        <w:rPr>
          <w:color w:val="231F20"/>
          <w:spacing w:val="-15"/>
        </w:rPr>
        <w:t> </w:t>
      </w:r>
      <w:r>
        <w:rPr>
          <w:color w:val="231F20"/>
        </w:rPr>
        <w:t>sproporzionata», ai sensi dell’art. 52, par. 1, della Carta, di tutti e tre i diritti fondamentali invocati</w:t>
      </w:r>
      <w:r>
        <w:rPr>
          <w:color w:val="231F20"/>
          <w:spacing w:val="-3"/>
        </w:rPr>
        <w:t> </w:t>
      </w:r>
      <w:r>
        <w:rPr>
          <w:color w:val="231F20"/>
        </w:rPr>
        <w:t>dal</w:t>
      </w:r>
      <w:r>
        <w:rPr>
          <w:color w:val="231F20"/>
          <w:spacing w:val="-3"/>
        </w:rPr>
        <w:t> </w:t>
      </w:r>
      <w:r>
        <w:rPr>
          <w:color w:val="231F20"/>
        </w:rPr>
        <w:t>ricorrente:</w:t>
      </w:r>
      <w:r>
        <w:rPr>
          <w:color w:val="231F20"/>
          <w:spacing w:val="-3"/>
        </w:rPr>
        <w:t> </w:t>
      </w:r>
      <w:r>
        <w:rPr>
          <w:color w:val="231F20"/>
        </w:rPr>
        <w:t>quello</w:t>
      </w:r>
      <w:r>
        <w:rPr>
          <w:color w:val="231F20"/>
          <w:spacing w:val="-3"/>
        </w:rPr>
        <w:t> </w:t>
      </w:r>
      <w:r>
        <w:rPr>
          <w:color w:val="231F20"/>
        </w:rPr>
        <w:t>ad</w:t>
      </w:r>
      <w:r>
        <w:rPr>
          <w:color w:val="231F20"/>
          <w:spacing w:val="-3"/>
        </w:rPr>
        <w:t> </w:t>
      </w:r>
      <w:r>
        <w:rPr>
          <w:color w:val="231F20"/>
        </w:rPr>
        <w:t>un</w:t>
      </w:r>
      <w:r>
        <w:rPr>
          <w:color w:val="231F20"/>
          <w:spacing w:val="-3"/>
        </w:rPr>
        <w:t> </w:t>
      </w:r>
      <w:r>
        <w:rPr>
          <w:color w:val="231F20"/>
        </w:rPr>
        <w:t>ricorso</w:t>
      </w:r>
      <w:r>
        <w:rPr>
          <w:color w:val="231F20"/>
          <w:spacing w:val="-3"/>
        </w:rPr>
        <w:t> </w:t>
      </w:r>
      <w:r>
        <w:rPr>
          <w:color w:val="231F20"/>
        </w:rPr>
        <w:t>effettivo</w:t>
      </w:r>
      <w:r>
        <w:rPr>
          <w:color w:val="231F20"/>
          <w:spacing w:val="-3"/>
        </w:rPr>
        <w:t> </w:t>
      </w:r>
      <w:r>
        <w:rPr>
          <w:color w:val="231F20"/>
        </w:rPr>
        <w:t>ex</w:t>
      </w:r>
      <w:r>
        <w:rPr>
          <w:color w:val="231F20"/>
          <w:spacing w:val="-3"/>
        </w:rPr>
        <w:t> </w:t>
      </w:r>
      <w:r>
        <w:rPr>
          <w:color w:val="231F20"/>
        </w:rPr>
        <w:t>art.</w:t>
      </w:r>
      <w:r>
        <w:rPr>
          <w:color w:val="231F20"/>
          <w:spacing w:val="-3"/>
        </w:rPr>
        <w:t> </w:t>
      </w:r>
      <w:r>
        <w:rPr>
          <w:color w:val="231F20"/>
        </w:rPr>
        <w:t>47,</w:t>
      </w:r>
      <w:r>
        <w:rPr>
          <w:color w:val="231F20"/>
          <w:spacing w:val="-3"/>
        </w:rPr>
        <w:t> </w:t>
      </w:r>
      <w:r>
        <w:rPr>
          <w:color w:val="231F20"/>
        </w:rPr>
        <w:t>il</w:t>
      </w:r>
      <w:r>
        <w:rPr>
          <w:color w:val="231F20"/>
          <w:spacing w:val="-3"/>
        </w:rPr>
        <w:t> </w:t>
      </w:r>
      <w:r>
        <w:rPr>
          <w:color w:val="231F20"/>
        </w:rPr>
        <w:t>diritto</w:t>
      </w:r>
      <w:r>
        <w:rPr>
          <w:color w:val="231F20"/>
          <w:spacing w:val="-3"/>
        </w:rPr>
        <w:t> </w:t>
      </w:r>
      <w:r>
        <w:rPr>
          <w:color w:val="231F20"/>
        </w:rPr>
        <w:t>al rispetto della vita privata ex art. 7 ed il diritto alla protezione dei dati per- sonali ex art. 8 della Carta stessa</w:t>
      </w:r>
      <w:r>
        <w:rPr>
          <w:color w:val="231F20"/>
          <w:position w:val="8"/>
          <w:sz w:val="14"/>
        </w:rPr>
        <w:t>93</w:t>
      </w:r>
      <w:r>
        <w:rPr>
          <w:color w:val="231F20"/>
        </w:rPr>
        <w:t>.</w:t>
      </w:r>
    </w:p>
    <w:p>
      <w:pPr>
        <w:pStyle w:val="BodyText"/>
        <w:spacing w:before="38"/>
      </w:pPr>
    </w:p>
    <w:p>
      <w:pPr>
        <w:spacing w:before="1"/>
        <w:ind w:left="100" w:right="0" w:firstLine="0"/>
        <w:jc w:val="left"/>
        <w:rPr>
          <w:i/>
          <w:sz w:val="24"/>
        </w:rPr>
      </w:pPr>
      <w:r>
        <w:rPr>
          <w:i/>
          <w:color w:val="231F20"/>
          <w:spacing w:val="-2"/>
          <w:sz w:val="24"/>
        </w:rPr>
        <w:t>2.2.3</w:t>
      </w:r>
      <w:r>
        <w:rPr>
          <w:i/>
          <w:color w:val="231F20"/>
          <w:spacing w:val="-13"/>
          <w:sz w:val="24"/>
        </w:rPr>
        <w:t> </w:t>
      </w:r>
      <w:r>
        <w:rPr>
          <w:i/>
          <w:color w:val="231F20"/>
          <w:spacing w:val="-2"/>
          <w:sz w:val="24"/>
        </w:rPr>
        <w:t>Assenza</w:t>
      </w:r>
      <w:r>
        <w:rPr>
          <w:i/>
          <w:color w:val="231F20"/>
          <w:spacing w:val="-12"/>
          <w:sz w:val="24"/>
        </w:rPr>
        <w:t> </w:t>
      </w:r>
      <w:r>
        <w:rPr>
          <w:i/>
          <w:color w:val="231F20"/>
          <w:spacing w:val="-2"/>
          <w:sz w:val="24"/>
        </w:rPr>
        <w:t>di</w:t>
      </w:r>
      <w:r>
        <w:rPr>
          <w:i/>
          <w:color w:val="231F20"/>
          <w:spacing w:val="-13"/>
          <w:sz w:val="24"/>
        </w:rPr>
        <w:t> </w:t>
      </w:r>
      <w:r>
        <w:rPr>
          <w:i/>
          <w:color w:val="231F20"/>
          <w:spacing w:val="-2"/>
          <w:sz w:val="24"/>
        </w:rPr>
        <w:t>un</w:t>
      </w:r>
      <w:r>
        <w:rPr>
          <w:i/>
          <w:color w:val="231F20"/>
          <w:spacing w:val="-12"/>
          <w:sz w:val="24"/>
        </w:rPr>
        <w:t> </w:t>
      </w:r>
      <w:r>
        <w:rPr>
          <w:i/>
          <w:color w:val="231F20"/>
          <w:spacing w:val="-2"/>
          <w:sz w:val="24"/>
        </w:rPr>
        <w:t>diritto</w:t>
      </w:r>
      <w:r>
        <w:rPr>
          <w:i/>
          <w:color w:val="231F20"/>
          <w:spacing w:val="-13"/>
          <w:sz w:val="24"/>
        </w:rPr>
        <w:t> </w:t>
      </w:r>
      <w:r>
        <w:rPr>
          <w:i/>
          <w:color w:val="231F20"/>
          <w:spacing w:val="-2"/>
          <w:sz w:val="24"/>
        </w:rPr>
        <w:t>ad</w:t>
      </w:r>
      <w:r>
        <w:rPr>
          <w:i/>
          <w:color w:val="231F20"/>
          <w:spacing w:val="-12"/>
          <w:sz w:val="24"/>
        </w:rPr>
        <w:t> </w:t>
      </w:r>
      <w:r>
        <w:rPr>
          <w:i/>
          <w:color w:val="231F20"/>
          <w:spacing w:val="-2"/>
          <w:sz w:val="24"/>
        </w:rPr>
        <w:t>un</w:t>
      </w:r>
      <w:r>
        <w:rPr>
          <w:i/>
          <w:color w:val="231F20"/>
          <w:spacing w:val="-13"/>
          <w:sz w:val="24"/>
        </w:rPr>
        <w:t> </w:t>
      </w:r>
      <w:r>
        <w:rPr>
          <w:i/>
          <w:color w:val="231F20"/>
          <w:spacing w:val="-2"/>
          <w:sz w:val="24"/>
        </w:rPr>
        <w:t>ricorso</w:t>
      </w:r>
      <w:r>
        <w:rPr>
          <w:i/>
          <w:color w:val="231F20"/>
          <w:spacing w:val="-12"/>
          <w:sz w:val="24"/>
        </w:rPr>
        <w:t> </w:t>
      </w:r>
      <w:r>
        <w:rPr>
          <w:i/>
          <w:color w:val="231F20"/>
          <w:spacing w:val="-2"/>
          <w:sz w:val="24"/>
        </w:rPr>
        <w:t>effettivo</w:t>
      </w:r>
      <w:r>
        <w:rPr>
          <w:i/>
          <w:color w:val="231F20"/>
          <w:spacing w:val="-13"/>
          <w:sz w:val="24"/>
        </w:rPr>
        <w:t> </w:t>
      </w:r>
      <w:r>
        <w:rPr>
          <w:i/>
          <w:color w:val="231F20"/>
          <w:spacing w:val="-2"/>
          <w:sz w:val="24"/>
        </w:rPr>
        <w:t>in</w:t>
      </w:r>
      <w:r>
        <w:rPr>
          <w:i/>
          <w:color w:val="231F20"/>
          <w:spacing w:val="-12"/>
          <w:sz w:val="24"/>
        </w:rPr>
        <w:t> </w:t>
      </w:r>
      <w:r>
        <w:rPr>
          <w:i/>
          <w:color w:val="231F20"/>
          <w:spacing w:val="-2"/>
          <w:sz w:val="24"/>
        </w:rPr>
        <w:t>capo</w:t>
      </w:r>
      <w:r>
        <w:rPr>
          <w:i/>
          <w:color w:val="231F20"/>
          <w:spacing w:val="-13"/>
          <w:sz w:val="24"/>
        </w:rPr>
        <w:t> </w:t>
      </w:r>
      <w:r>
        <w:rPr>
          <w:i/>
          <w:color w:val="231F20"/>
          <w:spacing w:val="-2"/>
          <w:sz w:val="24"/>
        </w:rPr>
        <w:t>ad</w:t>
      </w:r>
      <w:r>
        <w:rPr>
          <w:i/>
          <w:color w:val="231F20"/>
          <w:spacing w:val="-12"/>
          <w:sz w:val="24"/>
        </w:rPr>
        <w:t> </w:t>
      </w:r>
      <w:r>
        <w:rPr>
          <w:i/>
          <w:color w:val="231F20"/>
          <w:spacing w:val="-2"/>
          <w:sz w:val="24"/>
        </w:rPr>
        <w:t>altri</w:t>
      </w:r>
      <w:r>
        <w:rPr>
          <w:i/>
          <w:color w:val="231F20"/>
          <w:spacing w:val="-13"/>
          <w:sz w:val="24"/>
        </w:rPr>
        <w:t> </w:t>
      </w:r>
      <w:r>
        <w:rPr>
          <w:i/>
          <w:color w:val="231F20"/>
          <w:spacing w:val="-2"/>
          <w:sz w:val="24"/>
        </w:rPr>
        <w:t>terzi</w:t>
      </w:r>
      <w:r>
        <w:rPr>
          <w:i/>
          <w:color w:val="231F20"/>
          <w:spacing w:val="-12"/>
          <w:sz w:val="24"/>
        </w:rPr>
        <w:t> </w:t>
      </w:r>
      <w:r>
        <w:rPr>
          <w:i/>
          <w:color w:val="231F20"/>
          <w:spacing w:val="-2"/>
          <w:sz w:val="24"/>
        </w:rPr>
        <w:t>interessati</w:t>
      </w:r>
    </w:p>
    <w:p>
      <w:pPr>
        <w:pStyle w:val="BodyText"/>
        <w:spacing w:line="225" w:lineRule="auto" w:before="170"/>
        <w:ind w:left="100" w:right="174"/>
        <w:jc w:val="both"/>
      </w:pPr>
      <w:r>
        <w:rPr>
          <w:color w:val="231F20"/>
        </w:rPr>
        <w:t>Si</w:t>
      </w:r>
      <w:r>
        <w:rPr>
          <w:color w:val="231F20"/>
          <w:spacing w:val="-7"/>
        </w:rPr>
        <w:t> </w:t>
      </w:r>
      <w:r>
        <w:rPr>
          <w:color w:val="231F20"/>
        </w:rPr>
        <w:t>è</w:t>
      </w:r>
      <w:r>
        <w:rPr>
          <w:color w:val="231F20"/>
          <w:spacing w:val="-7"/>
        </w:rPr>
        <w:t> </w:t>
      </w:r>
      <w:r>
        <w:rPr>
          <w:color w:val="231F20"/>
        </w:rPr>
        <w:t>rilevato</w:t>
      </w:r>
      <w:r>
        <w:rPr>
          <w:color w:val="231F20"/>
          <w:spacing w:val="-7"/>
        </w:rPr>
        <w:t> </w:t>
      </w:r>
      <w:r>
        <w:rPr>
          <w:color w:val="231F20"/>
        </w:rPr>
        <w:t>in</w:t>
      </w:r>
      <w:r>
        <w:rPr>
          <w:color w:val="231F20"/>
          <w:spacing w:val="-7"/>
        </w:rPr>
        <w:t> </w:t>
      </w:r>
      <w:r>
        <w:rPr>
          <w:color w:val="231F20"/>
        </w:rPr>
        <w:t>precedenza</w:t>
      </w:r>
      <w:r>
        <w:rPr>
          <w:color w:val="231F20"/>
          <w:spacing w:val="-7"/>
        </w:rPr>
        <w:t> </w:t>
      </w:r>
      <w:r>
        <w:rPr>
          <w:color w:val="231F20"/>
        </w:rPr>
        <w:t>che</w:t>
      </w:r>
      <w:r>
        <w:rPr>
          <w:color w:val="231F20"/>
          <w:spacing w:val="-7"/>
        </w:rPr>
        <w:t> </w:t>
      </w:r>
      <w:r>
        <w:rPr>
          <w:color w:val="231F20"/>
        </w:rPr>
        <w:t>la</w:t>
      </w:r>
      <w:r>
        <w:rPr>
          <w:color w:val="231F20"/>
          <w:spacing w:val="-7"/>
        </w:rPr>
        <w:t> </w:t>
      </w:r>
      <w:r>
        <w:rPr>
          <w:color w:val="231F20"/>
        </w:rPr>
        <w:t>decisione</w:t>
      </w:r>
      <w:r>
        <w:rPr>
          <w:color w:val="231F20"/>
          <w:spacing w:val="-7"/>
        </w:rPr>
        <w:t> </w:t>
      </w:r>
      <w:r>
        <w:rPr>
          <w:color w:val="231F20"/>
        </w:rPr>
        <w:t>di</w:t>
      </w:r>
      <w:r>
        <w:rPr>
          <w:color w:val="231F20"/>
          <w:spacing w:val="-7"/>
        </w:rPr>
        <w:t> </w:t>
      </w:r>
      <w:r>
        <w:rPr>
          <w:color w:val="231F20"/>
        </w:rPr>
        <w:t>ingiunzione</w:t>
      </w:r>
      <w:r>
        <w:rPr>
          <w:color w:val="231F20"/>
          <w:spacing w:val="-7"/>
        </w:rPr>
        <w:t> </w:t>
      </w:r>
      <w:r>
        <w:rPr>
          <w:color w:val="231F20"/>
        </w:rPr>
        <w:t>dell’amministra- zione finanziaria lussemburghese era stata impugnata, nella seconda causa pregiudiziale</w:t>
      </w:r>
      <w:r>
        <w:rPr>
          <w:color w:val="231F20"/>
          <w:spacing w:val="-15"/>
        </w:rPr>
        <w:t> </w:t>
      </w:r>
      <w:r>
        <w:rPr>
          <w:color w:val="231F20"/>
        </w:rPr>
        <w:t>C-246/19,</w:t>
      </w:r>
      <w:r>
        <w:rPr>
          <w:color w:val="231F20"/>
          <w:spacing w:val="-15"/>
        </w:rPr>
        <w:t> </w:t>
      </w:r>
      <w:r>
        <w:rPr>
          <w:color w:val="231F20"/>
        </w:rPr>
        <w:t>anche</w:t>
      </w:r>
      <w:r>
        <w:rPr>
          <w:color w:val="231F20"/>
          <w:spacing w:val="-15"/>
        </w:rPr>
        <w:t> </w:t>
      </w:r>
      <w:r>
        <w:rPr>
          <w:color w:val="231F20"/>
        </w:rPr>
        <w:t>da</w:t>
      </w:r>
      <w:r>
        <w:rPr>
          <w:color w:val="231F20"/>
          <w:spacing w:val="-15"/>
        </w:rPr>
        <w:t> </w:t>
      </w:r>
      <w:r>
        <w:rPr>
          <w:color w:val="231F20"/>
        </w:rPr>
        <w:t>alcune</w:t>
      </w:r>
      <w:r>
        <w:rPr>
          <w:color w:val="231F20"/>
          <w:spacing w:val="-15"/>
        </w:rPr>
        <w:t> </w:t>
      </w:r>
      <w:r>
        <w:rPr>
          <w:color w:val="231F20"/>
        </w:rPr>
        <w:t>società</w:t>
      </w:r>
      <w:r>
        <w:rPr>
          <w:color w:val="231F20"/>
          <w:spacing w:val="-15"/>
        </w:rPr>
        <w:t> </w:t>
      </w:r>
      <w:r>
        <w:rPr>
          <w:color w:val="231F20"/>
        </w:rPr>
        <w:t>con</w:t>
      </w:r>
      <w:r>
        <w:rPr>
          <w:color w:val="231F20"/>
          <w:spacing w:val="-15"/>
        </w:rPr>
        <w:t> </w:t>
      </w:r>
      <w:r>
        <w:rPr>
          <w:color w:val="231F20"/>
        </w:rPr>
        <w:t>le</w:t>
      </w:r>
      <w:r>
        <w:rPr>
          <w:color w:val="231F20"/>
          <w:spacing w:val="-15"/>
        </w:rPr>
        <w:t> </w:t>
      </w:r>
      <w:r>
        <w:rPr>
          <w:color w:val="231F20"/>
        </w:rPr>
        <w:t>quali</w:t>
      </w:r>
      <w:r>
        <w:rPr>
          <w:color w:val="231F20"/>
          <w:spacing w:val="-15"/>
        </w:rPr>
        <w:t> </w:t>
      </w:r>
      <w:r>
        <w:rPr>
          <w:color w:val="231F20"/>
        </w:rPr>
        <w:t>il</w:t>
      </w:r>
      <w:r>
        <w:rPr>
          <w:color w:val="231F20"/>
          <w:spacing w:val="-15"/>
        </w:rPr>
        <w:t> </w:t>
      </w:r>
      <w:r>
        <w:rPr>
          <w:color w:val="231F20"/>
        </w:rPr>
        <w:t>contribuente oggetto dell’accertamento all’origine della suddetta decisione aveva intrat- tenuto</w:t>
      </w:r>
      <w:r>
        <w:rPr>
          <w:color w:val="231F20"/>
          <w:spacing w:val="-6"/>
        </w:rPr>
        <w:t> </w:t>
      </w:r>
      <w:r>
        <w:rPr>
          <w:color w:val="231F20"/>
        </w:rPr>
        <w:t>rapporti</w:t>
      </w:r>
      <w:r>
        <w:rPr>
          <w:color w:val="231F20"/>
          <w:spacing w:val="-6"/>
        </w:rPr>
        <w:t> </w:t>
      </w:r>
      <w:r>
        <w:rPr>
          <w:color w:val="231F20"/>
        </w:rPr>
        <w:t>contrattuali,</w:t>
      </w:r>
      <w:r>
        <w:rPr>
          <w:color w:val="231F20"/>
          <w:spacing w:val="-6"/>
        </w:rPr>
        <w:t> </w:t>
      </w:r>
      <w:r>
        <w:rPr>
          <w:color w:val="231F20"/>
        </w:rPr>
        <w:t>bancari</w:t>
      </w:r>
      <w:r>
        <w:rPr>
          <w:color w:val="231F20"/>
          <w:spacing w:val="-6"/>
        </w:rPr>
        <w:t> </w:t>
      </w:r>
      <w:r>
        <w:rPr>
          <w:color w:val="231F20"/>
        </w:rPr>
        <w:t>o</w:t>
      </w:r>
      <w:r>
        <w:rPr>
          <w:color w:val="231F20"/>
          <w:spacing w:val="-6"/>
        </w:rPr>
        <w:t> </w:t>
      </w:r>
      <w:r>
        <w:rPr>
          <w:color w:val="231F20"/>
        </w:rPr>
        <w:t>finanziari.</w:t>
      </w:r>
      <w:r>
        <w:rPr>
          <w:color w:val="231F20"/>
          <w:spacing w:val="-6"/>
        </w:rPr>
        <w:t> </w:t>
      </w:r>
      <w:r>
        <w:rPr>
          <w:color w:val="231F20"/>
        </w:rPr>
        <w:t>Anche</w:t>
      </w:r>
      <w:r>
        <w:rPr>
          <w:color w:val="231F20"/>
          <w:spacing w:val="-6"/>
        </w:rPr>
        <w:t> </w:t>
      </w:r>
      <w:r>
        <w:rPr>
          <w:color w:val="231F20"/>
        </w:rPr>
        <w:t>tali</w:t>
      </w:r>
      <w:r>
        <w:rPr>
          <w:color w:val="231F20"/>
          <w:spacing w:val="-6"/>
        </w:rPr>
        <w:t> </w:t>
      </w:r>
      <w:r>
        <w:rPr>
          <w:color w:val="231F20"/>
        </w:rPr>
        <w:t>società</w:t>
      </w:r>
      <w:r>
        <w:rPr>
          <w:color w:val="231F20"/>
          <w:spacing w:val="-6"/>
        </w:rPr>
        <w:t> </w:t>
      </w:r>
      <w:r>
        <w:rPr>
          <w:color w:val="231F20"/>
        </w:rPr>
        <w:t>«terze» rispetto al contribuente e al soggetto detentore delle informazioni - una banca lussemburghese - avevano proposto dinanzi alle giurisdizioni am- ministrative del Granducato un ricorso avente ad oggetto l’annullamento della</w:t>
      </w:r>
      <w:r>
        <w:rPr>
          <w:color w:val="231F20"/>
          <w:spacing w:val="-11"/>
        </w:rPr>
        <w:t> </w:t>
      </w:r>
      <w:r>
        <w:rPr>
          <w:color w:val="231F20"/>
        </w:rPr>
        <w:t>suddetta</w:t>
      </w:r>
      <w:r>
        <w:rPr>
          <w:color w:val="231F20"/>
          <w:spacing w:val="-11"/>
        </w:rPr>
        <w:t> </w:t>
      </w:r>
      <w:r>
        <w:rPr>
          <w:color w:val="231F20"/>
        </w:rPr>
        <w:t>decisione</w:t>
      </w:r>
      <w:r>
        <w:rPr>
          <w:color w:val="231F20"/>
          <w:spacing w:val="-11"/>
        </w:rPr>
        <w:t> </w:t>
      </w:r>
      <w:r>
        <w:rPr>
          <w:color w:val="231F20"/>
        </w:rPr>
        <w:t>di</w:t>
      </w:r>
      <w:r>
        <w:rPr>
          <w:color w:val="231F20"/>
          <w:spacing w:val="-11"/>
        </w:rPr>
        <w:t> </w:t>
      </w:r>
      <w:r>
        <w:rPr>
          <w:color w:val="231F20"/>
        </w:rPr>
        <w:t>ingiunzione.</w:t>
      </w:r>
      <w:r>
        <w:rPr>
          <w:color w:val="231F20"/>
          <w:spacing w:val="-11"/>
        </w:rPr>
        <w:t> </w:t>
      </w:r>
      <w:r>
        <w:rPr>
          <w:color w:val="231F20"/>
        </w:rPr>
        <w:t>Al</w:t>
      </w:r>
      <w:r>
        <w:rPr>
          <w:color w:val="231F20"/>
          <w:spacing w:val="-11"/>
        </w:rPr>
        <w:t> </w:t>
      </w:r>
      <w:r>
        <w:rPr>
          <w:color w:val="231F20"/>
        </w:rPr>
        <w:t>riguardo,</w:t>
      </w:r>
      <w:r>
        <w:rPr>
          <w:color w:val="231F20"/>
          <w:spacing w:val="-11"/>
        </w:rPr>
        <w:t> </w:t>
      </w:r>
      <w:r>
        <w:rPr>
          <w:color w:val="231F20"/>
        </w:rPr>
        <w:t>la</w:t>
      </w:r>
      <w:r>
        <w:rPr>
          <w:color w:val="231F20"/>
          <w:spacing w:val="-11"/>
        </w:rPr>
        <w:t> </w:t>
      </w:r>
      <w:r>
        <w:rPr>
          <w:color w:val="231F20"/>
        </w:rPr>
        <w:t>Corte</w:t>
      </w:r>
      <w:r>
        <w:rPr>
          <w:color w:val="231F20"/>
          <w:spacing w:val="-11"/>
        </w:rPr>
        <w:t> </w:t>
      </w:r>
      <w:r>
        <w:rPr>
          <w:color w:val="231F20"/>
        </w:rPr>
        <w:t>ha</w:t>
      </w:r>
      <w:r>
        <w:rPr>
          <w:color w:val="231F20"/>
          <w:spacing w:val="-11"/>
        </w:rPr>
        <w:t> </w:t>
      </w:r>
      <w:r>
        <w:rPr>
          <w:color w:val="231F20"/>
        </w:rPr>
        <w:t>sviluppato una</w:t>
      </w:r>
      <w:r>
        <w:rPr>
          <w:color w:val="231F20"/>
          <w:spacing w:val="-9"/>
        </w:rPr>
        <w:t> </w:t>
      </w:r>
      <w:r>
        <w:rPr>
          <w:color w:val="231F20"/>
        </w:rPr>
        <w:t>motivazione</w:t>
      </w:r>
      <w:r>
        <w:rPr>
          <w:color w:val="231F20"/>
          <w:spacing w:val="-9"/>
        </w:rPr>
        <w:t> </w:t>
      </w:r>
      <w:r>
        <w:rPr>
          <w:color w:val="231F20"/>
        </w:rPr>
        <w:t>in</w:t>
      </w:r>
      <w:r>
        <w:rPr>
          <w:color w:val="231F20"/>
          <w:spacing w:val="-9"/>
        </w:rPr>
        <w:t> </w:t>
      </w:r>
      <w:r>
        <w:rPr>
          <w:color w:val="231F20"/>
        </w:rPr>
        <w:t>parte</w:t>
      </w:r>
      <w:r>
        <w:rPr>
          <w:color w:val="231F20"/>
          <w:spacing w:val="-9"/>
        </w:rPr>
        <w:t> </w:t>
      </w:r>
      <w:r>
        <w:rPr>
          <w:color w:val="231F20"/>
        </w:rPr>
        <w:t>simile</w:t>
      </w:r>
      <w:r>
        <w:rPr>
          <w:color w:val="231F20"/>
          <w:spacing w:val="-9"/>
        </w:rPr>
        <w:t> </w:t>
      </w:r>
      <w:r>
        <w:rPr>
          <w:color w:val="231F20"/>
        </w:rPr>
        <w:t>a</w:t>
      </w:r>
      <w:r>
        <w:rPr>
          <w:color w:val="231F20"/>
          <w:spacing w:val="-9"/>
        </w:rPr>
        <w:t> </w:t>
      </w:r>
      <w:r>
        <w:rPr>
          <w:color w:val="231F20"/>
        </w:rPr>
        <w:t>quella</w:t>
      </w:r>
      <w:r>
        <w:rPr>
          <w:color w:val="231F20"/>
          <w:spacing w:val="-9"/>
        </w:rPr>
        <w:t> </w:t>
      </w:r>
      <w:r>
        <w:rPr>
          <w:color w:val="231F20"/>
        </w:rPr>
        <w:t>relativa</w:t>
      </w:r>
      <w:r>
        <w:rPr>
          <w:color w:val="231F20"/>
          <w:spacing w:val="-9"/>
        </w:rPr>
        <w:t> </w:t>
      </w:r>
      <w:r>
        <w:rPr>
          <w:color w:val="231F20"/>
        </w:rPr>
        <w:t>alla</w:t>
      </w:r>
      <w:r>
        <w:rPr>
          <w:color w:val="231F20"/>
          <w:spacing w:val="-9"/>
        </w:rPr>
        <w:t> </w:t>
      </w:r>
      <w:r>
        <w:rPr>
          <w:color w:val="231F20"/>
        </w:rPr>
        <w:t>posizione</w:t>
      </w:r>
      <w:r>
        <w:rPr>
          <w:color w:val="231F20"/>
          <w:spacing w:val="-9"/>
        </w:rPr>
        <w:t> </w:t>
      </w:r>
      <w:r>
        <w:rPr>
          <w:color w:val="231F20"/>
        </w:rPr>
        <w:t>giuridica</w:t>
      </w:r>
      <w:r>
        <w:rPr>
          <w:color w:val="231F20"/>
          <w:spacing w:val="-9"/>
        </w:rPr>
        <w:t> </w:t>
      </w:r>
      <w:r>
        <w:rPr>
          <w:color w:val="231F20"/>
        </w:rPr>
        <w:t>del contribuente,</w:t>
      </w:r>
      <w:r>
        <w:rPr>
          <w:color w:val="231F20"/>
          <w:spacing w:val="-10"/>
        </w:rPr>
        <w:t> </w:t>
      </w:r>
      <w:r>
        <w:rPr>
          <w:color w:val="231F20"/>
        </w:rPr>
        <w:t>in</w:t>
      </w:r>
      <w:r>
        <w:rPr>
          <w:color w:val="231F20"/>
          <w:spacing w:val="-10"/>
        </w:rPr>
        <w:t> </w:t>
      </w:r>
      <w:r>
        <w:rPr>
          <w:color w:val="231F20"/>
        </w:rPr>
        <w:t>quanto</w:t>
      </w:r>
      <w:r>
        <w:rPr>
          <w:color w:val="231F20"/>
          <w:spacing w:val="-10"/>
        </w:rPr>
        <w:t> </w:t>
      </w:r>
      <w:r>
        <w:rPr>
          <w:color w:val="231F20"/>
        </w:rPr>
        <w:t>è</w:t>
      </w:r>
      <w:r>
        <w:rPr>
          <w:color w:val="231F20"/>
          <w:spacing w:val="-10"/>
        </w:rPr>
        <w:t> </w:t>
      </w:r>
      <w:r>
        <w:rPr>
          <w:color w:val="231F20"/>
        </w:rPr>
        <w:t>partita</w:t>
      </w:r>
      <w:r>
        <w:rPr>
          <w:color w:val="231F20"/>
          <w:spacing w:val="-10"/>
        </w:rPr>
        <w:t> </w:t>
      </w:r>
      <w:r>
        <w:rPr>
          <w:color w:val="231F20"/>
        </w:rPr>
        <w:t>dalla</w:t>
      </w:r>
      <w:r>
        <w:rPr>
          <w:color w:val="231F20"/>
          <w:spacing w:val="-10"/>
        </w:rPr>
        <w:t> </w:t>
      </w:r>
      <w:r>
        <w:rPr>
          <w:color w:val="231F20"/>
        </w:rPr>
        <w:t>medesima</w:t>
      </w:r>
      <w:r>
        <w:rPr>
          <w:color w:val="231F20"/>
          <w:spacing w:val="-10"/>
        </w:rPr>
        <w:t> </w:t>
      </w:r>
      <w:r>
        <w:rPr>
          <w:color w:val="231F20"/>
        </w:rPr>
        <w:t>constatazione</w:t>
      </w:r>
      <w:r>
        <w:rPr>
          <w:color w:val="231F20"/>
          <w:spacing w:val="-10"/>
        </w:rPr>
        <w:t> </w:t>
      </w:r>
      <w:r>
        <w:rPr>
          <w:color w:val="231F20"/>
        </w:rPr>
        <w:t>che</w:t>
      </w:r>
      <w:r>
        <w:rPr>
          <w:color w:val="231F20"/>
          <w:spacing w:val="-10"/>
        </w:rPr>
        <w:t> </w:t>
      </w:r>
      <w:r>
        <w:rPr>
          <w:color w:val="231F20"/>
        </w:rPr>
        <w:t>la</w:t>
      </w:r>
      <w:r>
        <w:rPr>
          <w:color w:val="231F20"/>
          <w:spacing w:val="-10"/>
        </w:rPr>
        <w:t> </w:t>
      </w:r>
      <w:r>
        <w:rPr>
          <w:color w:val="231F20"/>
        </w:rPr>
        <w:t>deci- sione</w:t>
      </w:r>
      <w:r>
        <w:rPr>
          <w:color w:val="231F20"/>
          <w:spacing w:val="-8"/>
        </w:rPr>
        <w:t> </w:t>
      </w:r>
      <w:r>
        <w:rPr>
          <w:color w:val="231F20"/>
        </w:rPr>
        <w:t>di</w:t>
      </w:r>
      <w:r>
        <w:rPr>
          <w:color w:val="231F20"/>
          <w:spacing w:val="-8"/>
        </w:rPr>
        <w:t> </w:t>
      </w:r>
      <w:r>
        <w:rPr>
          <w:color w:val="231F20"/>
        </w:rPr>
        <w:t>ingiunzione</w:t>
      </w:r>
      <w:r>
        <w:rPr>
          <w:color w:val="231F20"/>
          <w:spacing w:val="-8"/>
        </w:rPr>
        <w:t> </w:t>
      </w:r>
      <w:r>
        <w:rPr>
          <w:color w:val="231F20"/>
        </w:rPr>
        <w:t>dell’autorità</w:t>
      </w:r>
      <w:r>
        <w:rPr>
          <w:color w:val="231F20"/>
          <w:spacing w:val="-8"/>
        </w:rPr>
        <w:t> </w:t>
      </w:r>
      <w:r>
        <w:rPr>
          <w:color w:val="231F20"/>
        </w:rPr>
        <w:t>interpellata</w:t>
      </w:r>
      <w:r>
        <w:rPr>
          <w:color w:val="231F20"/>
          <w:spacing w:val="-8"/>
        </w:rPr>
        <w:t> </w:t>
      </w:r>
      <w:r>
        <w:rPr>
          <w:color w:val="231F20"/>
        </w:rPr>
        <w:t>non</w:t>
      </w:r>
      <w:r>
        <w:rPr>
          <w:color w:val="231F20"/>
          <w:spacing w:val="-8"/>
        </w:rPr>
        <w:t> </w:t>
      </w:r>
      <w:r>
        <w:rPr>
          <w:color w:val="231F20"/>
        </w:rPr>
        <w:t>comportava</w:t>
      </w:r>
      <w:r>
        <w:rPr>
          <w:color w:val="231F20"/>
          <w:spacing w:val="-8"/>
        </w:rPr>
        <w:t> </w:t>
      </w:r>
      <w:r>
        <w:rPr>
          <w:color w:val="231F20"/>
        </w:rPr>
        <w:t>per</w:t>
      </w:r>
      <w:r>
        <w:rPr>
          <w:color w:val="231F20"/>
          <w:spacing w:val="-8"/>
        </w:rPr>
        <w:t> </w:t>
      </w:r>
      <w:r>
        <w:rPr>
          <w:color w:val="231F20"/>
        </w:rPr>
        <w:t>tali</w:t>
      </w:r>
      <w:r>
        <w:rPr>
          <w:color w:val="231F20"/>
          <w:spacing w:val="-8"/>
        </w:rPr>
        <w:t> </w:t>
      </w:r>
      <w:r>
        <w:rPr>
          <w:color w:val="231F20"/>
        </w:rPr>
        <w:t>terzi interessati</w:t>
      </w:r>
      <w:r>
        <w:rPr>
          <w:color w:val="231F20"/>
          <w:spacing w:val="-3"/>
        </w:rPr>
        <w:t> </w:t>
      </w:r>
      <w:r>
        <w:rPr>
          <w:color w:val="231F20"/>
        </w:rPr>
        <w:t>alcun</w:t>
      </w:r>
      <w:r>
        <w:rPr>
          <w:color w:val="231F20"/>
          <w:spacing w:val="-3"/>
        </w:rPr>
        <w:t> </w:t>
      </w:r>
      <w:r>
        <w:rPr>
          <w:color w:val="231F20"/>
        </w:rPr>
        <w:t>obbligo</w:t>
      </w:r>
      <w:r>
        <w:rPr>
          <w:color w:val="231F20"/>
          <w:spacing w:val="-3"/>
        </w:rPr>
        <w:t> </w:t>
      </w:r>
      <w:r>
        <w:rPr>
          <w:color w:val="231F20"/>
        </w:rPr>
        <w:t>giuridico,</w:t>
      </w:r>
      <w:r>
        <w:rPr>
          <w:color w:val="231F20"/>
          <w:spacing w:val="-3"/>
        </w:rPr>
        <w:t> </w:t>
      </w:r>
      <w:r>
        <w:rPr>
          <w:color w:val="231F20"/>
        </w:rPr>
        <w:t>né</w:t>
      </w:r>
      <w:r>
        <w:rPr>
          <w:color w:val="231F20"/>
          <w:spacing w:val="-3"/>
        </w:rPr>
        <w:t> </w:t>
      </w:r>
      <w:r>
        <w:rPr>
          <w:color w:val="231F20"/>
        </w:rPr>
        <w:t>il</w:t>
      </w:r>
      <w:r>
        <w:rPr>
          <w:color w:val="231F20"/>
          <w:spacing w:val="-3"/>
        </w:rPr>
        <w:t> </w:t>
      </w:r>
      <w:r>
        <w:rPr>
          <w:color w:val="231F20"/>
        </w:rPr>
        <w:t>rischio</w:t>
      </w:r>
      <w:r>
        <w:rPr>
          <w:color w:val="231F20"/>
          <w:spacing w:val="-3"/>
        </w:rPr>
        <w:t> </w:t>
      </w:r>
      <w:r>
        <w:rPr>
          <w:color w:val="231F20"/>
        </w:rPr>
        <w:t>di</w:t>
      </w:r>
      <w:r>
        <w:rPr>
          <w:color w:val="231F20"/>
          <w:spacing w:val="-3"/>
        </w:rPr>
        <w:t> </w:t>
      </w:r>
      <w:r>
        <w:rPr>
          <w:color w:val="231F20"/>
        </w:rPr>
        <w:t>una</w:t>
      </w:r>
      <w:r>
        <w:rPr>
          <w:color w:val="231F20"/>
          <w:spacing w:val="-3"/>
        </w:rPr>
        <w:t> </w:t>
      </w:r>
      <w:r>
        <w:rPr>
          <w:color w:val="231F20"/>
        </w:rPr>
        <w:t>sanzione</w:t>
      </w:r>
      <w:r>
        <w:rPr>
          <w:color w:val="231F20"/>
          <w:spacing w:val="-3"/>
        </w:rPr>
        <w:t> </w:t>
      </w:r>
      <w:r>
        <w:rPr>
          <w:color w:val="231F20"/>
        </w:rPr>
        <w:t>pecuniaria in caso di inottemperanza a detto obbligo di comunicazione.</w:t>
      </w:r>
    </w:p>
    <w:p>
      <w:pPr>
        <w:pStyle w:val="BodyText"/>
        <w:spacing w:line="225" w:lineRule="auto" w:before="17"/>
        <w:ind w:left="100" w:right="174" w:firstLine="340"/>
        <w:jc w:val="both"/>
      </w:pPr>
      <w:r>
        <w:rPr>
          <w:color w:val="231F20"/>
          <w:spacing w:val="-2"/>
        </w:rPr>
        <w:t>D’altra</w:t>
      </w:r>
      <w:r>
        <w:rPr>
          <w:color w:val="231F20"/>
          <w:spacing w:val="-6"/>
        </w:rPr>
        <w:t> </w:t>
      </w:r>
      <w:r>
        <w:rPr>
          <w:color w:val="231F20"/>
          <w:spacing w:val="-2"/>
        </w:rPr>
        <w:t>parte</w:t>
      </w:r>
      <w:r>
        <w:rPr>
          <w:color w:val="231F20"/>
          <w:spacing w:val="-6"/>
        </w:rPr>
        <w:t> </w:t>
      </w:r>
      <w:r>
        <w:rPr>
          <w:color w:val="231F20"/>
          <w:spacing w:val="-2"/>
        </w:rPr>
        <w:t>-</w:t>
      </w:r>
      <w:r>
        <w:rPr>
          <w:color w:val="231F20"/>
          <w:spacing w:val="-6"/>
        </w:rPr>
        <w:t> </w:t>
      </w:r>
      <w:r>
        <w:rPr>
          <w:color w:val="231F20"/>
          <w:spacing w:val="-2"/>
        </w:rPr>
        <w:t>sempre</w:t>
      </w:r>
      <w:r>
        <w:rPr>
          <w:color w:val="231F20"/>
          <w:spacing w:val="-6"/>
        </w:rPr>
        <w:t> </w:t>
      </w:r>
      <w:r>
        <w:rPr>
          <w:color w:val="231F20"/>
          <w:spacing w:val="-2"/>
        </w:rPr>
        <w:t>secondo</w:t>
      </w:r>
      <w:r>
        <w:rPr>
          <w:color w:val="231F20"/>
          <w:spacing w:val="-6"/>
        </w:rPr>
        <w:t> </w:t>
      </w:r>
      <w:r>
        <w:rPr>
          <w:color w:val="231F20"/>
          <w:spacing w:val="-2"/>
        </w:rPr>
        <w:t>i</w:t>
      </w:r>
      <w:r>
        <w:rPr>
          <w:color w:val="231F20"/>
          <w:spacing w:val="-6"/>
        </w:rPr>
        <w:t> </w:t>
      </w:r>
      <w:r>
        <w:rPr>
          <w:color w:val="231F20"/>
          <w:spacing w:val="-2"/>
        </w:rPr>
        <w:t>giudici</w:t>
      </w:r>
      <w:r>
        <w:rPr>
          <w:color w:val="231F20"/>
          <w:spacing w:val="-6"/>
        </w:rPr>
        <w:t> </w:t>
      </w:r>
      <w:r>
        <w:rPr>
          <w:color w:val="231F20"/>
          <w:spacing w:val="-2"/>
        </w:rPr>
        <w:t>dell’Unione</w:t>
      </w:r>
      <w:r>
        <w:rPr>
          <w:color w:val="231F20"/>
          <w:spacing w:val="-6"/>
        </w:rPr>
        <w:t> </w:t>
      </w:r>
      <w:r>
        <w:rPr>
          <w:color w:val="231F20"/>
          <w:spacing w:val="-2"/>
        </w:rPr>
        <w:t>-</w:t>
      </w:r>
      <w:r>
        <w:rPr>
          <w:color w:val="231F20"/>
          <w:spacing w:val="-6"/>
        </w:rPr>
        <w:t> </w:t>
      </w:r>
      <w:r>
        <w:rPr>
          <w:color w:val="231F20"/>
          <w:spacing w:val="-2"/>
        </w:rPr>
        <w:t>una</w:t>
      </w:r>
      <w:r>
        <w:rPr>
          <w:color w:val="231F20"/>
          <w:spacing w:val="-6"/>
        </w:rPr>
        <w:t> </w:t>
      </w:r>
      <w:r>
        <w:rPr>
          <w:color w:val="231F20"/>
          <w:spacing w:val="-2"/>
        </w:rPr>
        <w:t>comunicazio- </w:t>
      </w:r>
      <w:r>
        <w:rPr>
          <w:color w:val="231F20"/>
        </w:rPr>
        <w:t>ne</w:t>
      </w:r>
      <w:r>
        <w:rPr>
          <w:color w:val="231F20"/>
          <w:spacing w:val="-15"/>
        </w:rPr>
        <w:t> </w:t>
      </w:r>
      <w:r>
        <w:rPr>
          <w:color w:val="231F20"/>
        </w:rPr>
        <w:t>ad</w:t>
      </w:r>
      <w:r>
        <w:rPr>
          <w:color w:val="231F20"/>
          <w:spacing w:val="-15"/>
        </w:rPr>
        <w:t> </w:t>
      </w:r>
      <w:r>
        <w:rPr>
          <w:color w:val="231F20"/>
        </w:rPr>
        <w:t>un’autorità</w:t>
      </w:r>
      <w:r>
        <w:rPr>
          <w:color w:val="231F20"/>
          <w:spacing w:val="-15"/>
        </w:rPr>
        <w:t> </w:t>
      </w:r>
      <w:r>
        <w:rPr>
          <w:color w:val="231F20"/>
        </w:rPr>
        <w:t>pubblica,</w:t>
      </w:r>
      <w:r>
        <w:rPr>
          <w:color w:val="231F20"/>
          <w:spacing w:val="-15"/>
        </w:rPr>
        <w:t> </w:t>
      </w:r>
      <w:r>
        <w:rPr>
          <w:color w:val="231F20"/>
        </w:rPr>
        <w:t>vale</w:t>
      </w:r>
      <w:r>
        <w:rPr>
          <w:color w:val="231F20"/>
          <w:spacing w:val="-15"/>
        </w:rPr>
        <w:t> </w:t>
      </w:r>
      <w:r>
        <w:rPr>
          <w:color w:val="231F20"/>
        </w:rPr>
        <w:t>a</w:t>
      </w:r>
      <w:r>
        <w:rPr>
          <w:color w:val="231F20"/>
          <w:spacing w:val="-15"/>
        </w:rPr>
        <w:t> </w:t>
      </w:r>
      <w:r>
        <w:rPr>
          <w:color w:val="231F20"/>
        </w:rPr>
        <w:t>dire</w:t>
      </w:r>
      <w:r>
        <w:rPr>
          <w:color w:val="231F20"/>
          <w:spacing w:val="-15"/>
        </w:rPr>
        <w:t> </w:t>
      </w:r>
      <w:r>
        <w:rPr>
          <w:color w:val="231F20"/>
        </w:rPr>
        <w:t>l’autorità</w:t>
      </w:r>
      <w:r>
        <w:rPr>
          <w:color w:val="231F20"/>
          <w:spacing w:val="-15"/>
        </w:rPr>
        <w:t> </w:t>
      </w:r>
      <w:r>
        <w:rPr>
          <w:color w:val="231F20"/>
        </w:rPr>
        <w:t>interpellata,</w:t>
      </w:r>
      <w:r>
        <w:rPr>
          <w:color w:val="231F20"/>
          <w:spacing w:val="18"/>
        </w:rPr>
        <w:t> </w:t>
      </w:r>
      <w:r>
        <w:rPr>
          <w:color w:val="231F20"/>
        </w:rPr>
        <w:t>di</w:t>
      </w:r>
      <w:r>
        <w:rPr>
          <w:color w:val="231F20"/>
          <w:spacing w:val="-15"/>
        </w:rPr>
        <w:t> </w:t>
      </w:r>
      <w:r>
        <w:rPr>
          <w:color w:val="231F20"/>
        </w:rPr>
        <w:t>informazio- ni</w:t>
      </w:r>
      <w:r>
        <w:rPr>
          <w:color w:val="231F20"/>
          <w:spacing w:val="-12"/>
        </w:rPr>
        <w:t> </w:t>
      </w:r>
      <w:r>
        <w:rPr>
          <w:color w:val="231F20"/>
        </w:rPr>
        <w:t>riguardanti</w:t>
      </w:r>
      <w:r>
        <w:rPr>
          <w:color w:val="231F20"/>
          <w:spacing w:val="-12"/>
        </w:rPr>
        <w:t> </w:t>
      </w:r>
      <w:r>
        <w:rPr>
          <w:color w:val="231F20"/>
        </w:rPr>
        <w:t>detti</w:t>
      </w:r>
      <w:r>
        <w:rPr>
          <w:color w:val="231F20"/>
          <w:spacing w:val="-12"/>
        </w:rPr>
        <w:t> </w:t>
      </w:r>
      <w:r>
        <w:rPr>
          <w:color w:val="231F20"/>
        </w:rPr>
        <w:t>terzi</w:t>
      </w:r>
      <w:r>
        <w:rPr>
          <w:color w:val="231F20"/>
          <w:spacing w:val="-12"/>
        </w:rPr>
        <w:t> </w:t>
      </w:r>
      <w:r>
        <w:rPr>
          <w:color w:val="231F20"/>
        </w:rPr>
        <w:t>da</w:t>
      </w:r>
      <w:r>
        <w:rPr>
          <w:color w:val="231F20"/>
          <w:spacing w:val="-12"/>
        </w:rPr>
        <w:t> </w:t>
      </w:r>
      <w:r>
        <w:rPr>
          <w:color w:val="231F20"/>
        </w:rPr>
        <w:t>parte</w:t>
      </w:r>
      <w:r>
        <w:rPr>
          <w:color w:val="231F20"/>
          <w:spacing w:val="-12"/>
        </w:rPr>
        <w:t> </w:t>
      </w:r>
      <w:r>
        <w:rPr>
          <w:color w:val="231F20"/>
        </w:rPr>
        <w:t>del</w:t>
      </w:r>
      <w:r>
        <w:rPr>
          <w:color w:val="231F20"/>
          <w:spacing w:val="-12"/>
        </w:rPr>
        <w:t> </w:t>
      </w:r>
      <w:r>
        <w:rPr>
          <w:color w:val="231F20"/>
        </w:rPr>
        <w:t>destinatario</w:t>
      </w:r>
      <w:r>
        <w:rPr>
          <w:color w:val="231F20"/>
          <w:spacing w:val="-12"/>
        </w:rPr>
        <w:t> </w:t>
      </w:r>
      <w:r>
        <w:rPr>
          <w:color w:val="231F20"/>
        </w:rPr>
        <w:t>di</w:t>
      </w:r>
      <w:r>
        <w:rPr>
          <w:color w:val="231F20"/>
          <w:spacing w:val="-12"/>
        </w:rPr>
        <w:t> </w:t>
      </w:r>
      <w:r>
        <w:rPr>
          <w:color w:val="231F20"/>
        </w:rPr>
        <w:t>un</w:t>
      </w:r>
      <w:r>
        <w:rPr>
          <w:color w:val="231F20"/>
          <w:spacing w:val="-12"/>
        </w:rPr>
        <w:t> </w:t>
      </w:r>
      <w:r>
        <w:rPr>
          <w:color w:val="231F20"/>
        </w:rPr>
        <w:t>atto</w:t>
      </w:r>
      <w:r>
        <w:rPr>
          <w:color w:val="231F20"/>
          <w:spacing w:val="-12"/>
        </w:rPr>
        <w:t> </w:t>
      </w:r>
      <w:r>
        <w:rPr>
          <w:color w:val="231F20"/>
        </w:rPr>
        <w:t>amministrativo che gli ingiungeva la loro comunicazione a tale medesima autorità, poteva effettivamente</w:t>
      </w:r>
      <w:r>
        <w:rPr>
          <w:color w:val="231F20"/>
          <w:spacing w:val="-3"/>
        </w:rPr>
        <w:t> </w:t>
      </w:r>
      <w:r>
        <w:rPr>
          <w:color w:val="231F20"/>
        </w:rPr>
        <w:t>«ledere</w:t>
      </w:r>
      <w:r>
        <w:rPr>
          <w:color w:val="231F20"/>
          <w:spacing w:val="-3"/>
        </w:rPr>
        <w:t> </w:t>
      </w:r>
      <w:r>
        <w:rPr>
          <w:color w:val="231F20"/>
        </w:rPr>
        <w:t>il</w:t>
      </w:r>
      <w:r>
        <w:rPr>
          <w:color w:val="231F20"/>
          <w:spacing w:val="-3"/>
        </w:rPr>
        <w:t> </w:t>
      </w:r>
      <w:r>
        <w:rPr>
          <w:color w:val="231F20"/>
        </w:rPr>
        <w:t>diritto</w:t>
      </w:r>
      <w:r>
        <w:rPr>
          <w:color w:val="231F20"/>
          <w:spacing w:val="-3"/>
        </w:rPr>
        <w:t> </w:t>
      </w:r>
      <w:r>
        <w:rPr>
          <w:color w:val="231F20"/>
        </w:rPr>
        <w:t>di</w:t>
      </w:r>
      <w:r>
        <w:rPr>
          <w:color w:val="231F20"/>
          <w:spacing w:val="-3"/>
        </w:rPr>
        <w:t> </w:t>
      </w:r>
      <w:r>
        <w:rPr>
          <w:color w:val="231F20"/>
        </w:rPr>
        <w:t>detti</w:t>
      </w:r>
      <w:r>
        <w:rPr>
          <w:color w:val="231F20"/>
          <w:spacing w:val="-3"/>
        </w:rPr>
        <w:t> </w:t>
      </w:r>
      <w:r>
        <w:rPr>
          <w:color w:val="231F20"/>
        </w:rPr>
        <w:t>terzi</w:t>
      </w:r>
      <w:r>
        <w:rPr>
          <w:color w:val="231F20"/>
          <w:spacing w:val="-3"/>
        </w:rPr>
        <w:t> </w:t>
      </w:r>
      <w:r>
        <w:rPr>
          <w:color w:val="231F20"/>
        </w:rPr>
        <w:t>ad</w:t>
      </w:r>
      <w:r>
        <w:rPr>
          <w:color w:val="231F20"/>
          <w:spacing w:val="-3"/>
        </w:rPr>
        <w:t> </w:t>
      </w:r>
      <w:r>
        <w:rPr>
          <w:color w:val="231F20"/>
        </w:rPr>
        <w:t>essere</w:t>
      </w:r>
      <w:r>
        <w:rPr>
          <w:color w:val="231F20"/>
          <w:spacing w:val="-3"/>
        </w:rPr>
        <w:t> </w:t>
      </w:r>
      <w:r>
        <w:rPr>
          <w:color w:val="231F20"/>
        </w:rPr>
        <w:t>tutelati</w:t>
      </w:r>
      <w:r>
        <w:rPr>
          <w:color w:val="231F20"/>
          <w:spacing w:val="-3"/>
        </w:rPr>
        <w:t> </w:t>
      </w:r>
      <w:r>
        <w:rPr>
          <w:color w:val="231F20"/>
        </w:rPr>
        <w:t>contro</w:t>
      </w:r>
      <w:r>
        <w:rPr>
          <w:color w:val="231F20"/>
          <w:spacing w:val="-3"/>
        </w:rPr>
        <w:t> </w:t>
      </w:r>
      <w:r>
        <w:rPr>
          <w:color w:val="231F20"/>
        </w:rPr>
        <w:t>inter- venti</w:t>
      </w:r>
      <w:r>
        <w:rPr>
          <w:color w:val="231F20"/>
          <w:spacing w:val="8"/>
        </w:rPr>
        <w:t> </w:t>
      </w:r>
      <w:r>
        <w:rPr>
          <w:color w:val="231F20"/>
        </w:rPr>
        <w:t>arbitrari</w:t>
      </w:r>
      <w:r>
        <w:rPr>
          <w:color w:val="231F20"/>
          <w:spacing w:val="11"/>
        </w:rPr>
        <w:t> </w:t>
      </w:r>
      <w:r>
        <w:rPr>
          <w:color w:val="231F20"/>
        </w:rPr>
        <w:t>o</w:t>
      </w:r>
      <w:r>
        <w:rPr>
          <w:color w:val="231F20"/>
          <w:spacing w:val="10"/>
        </w:rPr>
        <w:t> </w:t>
      </w:r>
      <w:r>
        <w:rPr>
          <w:color w:val="231F20"/>
        </w:rPr>
        <w:t>sproporzionati</w:t>
      </w:r>
      <w:r>
        <w:rPr>
          <w:color w:val="231F20"/>
          <w:spacing w:val="11"/>
        </w:rPr>
        <w:t> </w:t>
      </w:r>
      <w:r>
        <w:rPr>
          <w:color w:val="231F20"/>
        </w:rPr>
        <w:t>delle</w:t>
      </w:r>
      <w:r>
        <w:rPr>
          <w:color w:val="231F20"/>
          <w:spacing w:val="10"/>
        </w:rPr>
        <w:t> </w:t>
      </w:r>
      <w:r>
        <w:rPr>
          <w:color w:val="231F20"/>
        </w:rPr>
        <w:t>autorità</w:t>
      </w:r>
      <w:r>
        <w:rPr>
          <w:color w:val="231F20"/>
          <w:spacing w:val="11"/>
        </w:rPr>
        <w:t> </w:t>
      </w:r>
      <w:r>
        <w:rPr>
          <w:color w:val="231F20"/>
        </w:rPr>
        <w:t>pubbliche</w:t>
      </w:r>
      <w:r>
        <w:rPr>
          <w:color w:val="231F20"/>
          <w:spacing w:val="10"/>
        </w:rPr>
        <w:t> </w:t>
      </w:r>
      <w:r>
        <w:rPr>
          <w:color w:val="231F20"/>
        </w:rPr>
        <w:t>nella</w:t>
      </w:r>
      <w:r>
        <w:rPr>
          <w:color w:val="231F20"/>
          <w:spacing w:val="11"/>
        </w:rPr>
        <w:t> </w:t>
      </w:r>
      <w:r>
        <w:rPr>
          <w:color w:val="231F20"/>
        </w:rPr>
        <w:t>loro</w:t>
      </w:r>
      <w:r>
        <w:rPr>
          <w:color w:val="231F20"/>
          <w:spacing w:val="10"/>
        </w:rPr>
        <w:t> </w:t>
      </w:r>
      <w:r>
        <w:rPr>
          <w:color w:val="231F20"/>
        </w:rPr>
        <w:t>sfera</w:t>
      </w:r>
      <w:r>
        <w:rPr>
          <w:color w:val="231F20"/>
          <w:spacing w:val="11"/>
        </w:rPr>
        <w:t> </w:t>
      </w:r>
      <w:r>
        <w:rPr>
          <w:color w:val="231F20"/>
          <w:spacing w:val="-5"/>
        </w:rPr>
        <w:t>di</w:t>
      </w:r>
    </w:p>
    <w:p>
      <w:pPr>
        <w:pStyle w:val="BodyText"/>
        <w:spacing w:before="8"/>
        <w:rPr>
          <w:sz w:val="4"/>
        </w:rPr>
      </w:pPr>
      <w:r>
        <w:rPr/>
        <mc:AlternateContent>
          <mc:Choice Requires="wps">
            <w:drawing>
              <wp:anchor distT="0" distB="0" distL="0" distR="0" allowOverlap="1" layoutInCell="1" locked="0" behindDoc="1" simplePos="0" relativeHeight="487626240">
                <wp:simplePos x="0" y="0"/>
                <wp:positionH relativeFrom="page">
                  <wp:posOffset>864000</wp:posOffset>
                </wp:positionH>
                <wp:positionV relativeFrom="paragraph">
                  <wp:posOffset>52642</wp:posOffset>
                </wp:positionV>
                <wp:extent cx="792480" cy="1270"/>
                <wp:effectExtent l="0" t="0" r="0" b="0"/>
                <wp:wrapTopAndBottom/>
                <wp:docPr id="128" name="Graphic 128"/>
                <wp:cNvGraphicFramePr>
                  <a:graphicFrameLocks/>
                </wp:cNvGraphicFramePr>
                <a:graphic>
                  <a:graphicData uri="http://schemas.microsoft.com/office/word/2010/wordprocessingShape">
                    <wps:wsp>
                      <wps:cNvPr id="128" name="Graphic 128"/>
                      <wps:cNvSpPr/>
                      <wps:spPr>
                        <a:xfrm>
                          <a:off x="0" y="0"/>
                          <a:ext cx="792480" cy="1270"/>
                        </a:xfrm>
                        <a:custGeom>
                          <a:avLst/>
                          <a:gdLst/>
                          <a:ahLst/>
                          <a:cxnLst/>
                          <a:rect l="l" t="t" r="r" b="b"/>
                          <a:pathLst>
                            <a:path w="792480" h="0">
                              <a:moveTo>
                                <a:pt x="0" y="0"/>
                              </a:moveTo>
                              <a:lnTo>
                                <a:pt x="791997"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shape style="position:absolute;margin-left:68.031502pt;margin-top:4.14506pt;width:62.4pt;height:.1pt;mso-position-horizontal-relative:page;mso-position-vertical-relative:paragraph;z-index:-15690240;mso-wrap-distance-left:0;mso-wrap-distance-right:0" id="docshape106" coordorigin="1361,83" coordsize="1248,0" path="m1361,83l2608,83e" filled="false" stroked="true" strokeweight=".5pt" strokecolor="#231f20">
                <v:path arrowok="t"/>
                <v:stroke dashstyle="solid"/>
                <w10:wrap type="topAndBottom"/>
              </v:shape>
            </w:pict>
          </mc:Fallback>
        </mc:AlternateContent>
      </w:r>
    </w:p>
    <w:p>
      <w:pPr>
        <w:spacing w:line="235" w:lineRule="exact" w:before="190"/>
        <w:ind w:left="100" w:right="0" w:firstLine="0"/>
        <w:jc w:val="left"/>
        <w:rPr>
          <w:sz w:val="19"/>
        </w:rPr>
      </w:pPr>
      <w:r>
        <w:rPr>
          <w:color w:val="231F20"/>
          <w:position w:val="6"/>
          <w:sz w:val="11"/>
        </w:rPr>
        <w:t>92</w:t>
      </w:r>
      <w:r>
        <w:rPr>
          <w:color w:val="231F20"/>
          <w:spacing w:val="53"/>
          <w:position w:val="6"/>
          <w:sz w:val="11"/>
        </w:rPr>
        <w:t>  </w:t>
      </w:r>
      <w:r>
        <w:rPr>
          <w:color w:val="231F20"/>
          <w:sz w:val="19"/>
        </w:rPr>
        <w:t>Corte</w:t>
      </w:r>
      <w:r>
        <w:rPr>
          <w:color w:val="231F20"/>
          <w:spacing w:val="1"/>
          <w:sz w:val="19"/>
        </w:rPr>
        <w:t> </w:t>
      </w:r>
      <w:r>
        <w:rPr>
          <w:color w:val="231F20"/>
          <w:sz w:val="19"/>
        </w:rPr>
        <w:t>giust. UE, sent. del 6</w:t>
      </w:r>
      <w:r>
        <w:rPr>
          <w:color w:val="231F20"/>
          <w:spacing w:val="-1"/>
          <w:sz w:val="19"/>
        </w:rPr>
        <w:t> </w:t>
      </w:r>
      <w:r>
        <w:rPr>
          <w:color w:val="231F20"/>
          <w:sz w:val="19"/>
        </w:rPr>
        <w:t>ottobre 2020, causa C-245/19, cit., punti 82, 83 e </w:t>
      </w:r>
      <w:r>
        <w:rPr>
          <w:color w:val="231F20"/>
          <w:spacing w:val="-5"/>
          <w:sz w:val="19"/>
        </w:rPr>
        <w:t>84.</w:t>
      </w:r>
    </w:p>
    <w:p>
      <w:pPr>
        <w:spacing w:line="235" w:lineRule="exact" w:before="0"/>
        <w:ind w:left="100" w:right="0" w:firstLine="0"/>
        <w:jc w:val="left"/>
        <w:rPr>
          <w:sz w:val="19"/>
        </w:rPr>
      </w:pPr>
      <w:r>
        <w:rPr>
          <w:color w:val="231F20"/>
          <w:position w:val="6"/>
          <w:sz w:val="11"/>
        </w:rPr>
        <w:t>93</w:t>
      </w:r>
      <w:r>
        <w:rPr>
          <w:color w:val="231F20"/>
          <w:spacing w:val="53"/>
          <w:position w:val="6"/>
          <w:sz w:val="11"/>
        </w:rPr>
        <w:t>  </w:t>
      </w:r>
      <w:r>
        <w:rPr>
          <w:color w:val="231F20"/>
          <w:sz w:val="19"/>
        </w:rPr>
        <w:t>Corte</w:t>
      </w:r>
      <w:r>
        <w:rPr>
          <w:color w:val="231F20"/>
          <w:spacing w:val="1"/>
          <w:sz w:val="19"/>
        </w:rPr>
        <w:t> </w:t>
      </w:r>
      <w:r>
        <w:rPr>
          <w:color w:val="231F20"/>
          <w:sz w:val="19"/>
        </w:rPr>
        <w:t>giust. UE,</w:t>
      </w:r>
      <w:r>
        <w:rPr>
          <w:color w:val="231F20"/>
          <w:spacing w:val="1"/>
          <w:sz w:val="19"/>
        </w:rPr>
        <w:t> </w:t>
      </w:r>
      <w:r>
        <w:rPr>
          <w:color w:val="231F20"/>
          <w:sz w:val="19"/>
        </w:rPr>
        <w:t>ult. cit., punti 92 e </w:t>
      </w:r>
      <w:r>
        <w:rPr>
          <w:color w:val="231F20"/>
          <w:spacing w:val="-5"/>
          <w:sz w:val="19"/>
        </w:rPr>
        <w:t>93.</w:t>
      </w:r>
    </w:p>
    <w:p>
      <w:pPr>
        <w:spacing w:after="0" w:line="235" w:lineRule="exact"/>
        <w:jc w:val="left"/>
        <w:rPr>
          <w:sz w:val="19"/>
        </w:rPr>
        <w:sectPr>
          <w:pgSz w:w="9640" w:h="13610"/>
          <w:pgMar w:header="0" w:footer="625" w:top="1260" w:bottom="820" w:left="1260" w:right="1240"/>
        </w:sectPr>
      </w:pPr>
    </w:p>
    <w:p>
      <w:pPr>
        <w:pStyle w:val="BodyText"/>
        <w:spacing w:line="225" w:lineRule="auto" w:before="117"/>
        <w:ind w:left="183" w:right="117"/>
        <w:jc w:val="right"/>
      </w:pPr>
      <w:r>
        <w:rPr/>
        <mc:AlternateContent>
          <mc:Choice Requires="wps">
            <w:drawing>
              <wp:anchor distT="0" distB="0" distL="0" distR="0" allowOverlap="1" layoutInCell="1" locked="0" behindDoc="0" simplePos="0" relativeHeight="15768064">
                <wp:simplePos x="0" y="0"/>
                <wp:positionH relativeFrom="page">
                  <wp:posOffset>5608609</wp:posOffset>
                </wp:positionH>
                <wp:positionV relativeFrom="page">
                  <wp:posOffset>2376001</wp:posOffset>
                </wp:positionV>
                <wp:extent cx="511809" cy="2412365"/>
                <wp:effectExtent l="0" t="0" r="0" b="0"/>
                <wp:wrapNone/>
                <wp:docPr id="129" name="Group 129"/>
                <wp:cNvGraphicFramePr>
                  <a:graphicFrameLocks/>
                </wp:cNvGraphicFramePr>
                <a:graphic>
                  <a:graphicData uri="http://schemas.microsoft.com/office/word/2010/wordprocessingGroup">
                    <wpg:wgp>
                      <wpg:cNvPr id="129" name="Group 129"/>
                      <wpg:cNvGrpSpPr/>
                      <wpg:grpSpPr>
                        <a:xfrm>
                          <a:off x="0" y="0"/>
                          <a:ext cx="511809" cy="2412365"/>
                          <a:chExt cx="511809" cy="2412365"/>
                        </a:xfrm>
                      </wpg:grpSpPr>
                      <wps:wsp>
                        <wps:cNvPr id="130" name="Graphic 130"/>
                        <wps:cNvSpPr/>
                        <wps:spPr>
                          <a:xfrm>
                            <a:off x="7393" y="3"/>
                            <a:ext cx="504190" cy="360045"/>
                          </a:xfrm>
                          <a:custGeom>
                            <a:avLst/>
                            <a:gdLst/>
                            <a:ahLst/>
                            <a:cxnLst/>
                            <a:rect l="l" t="t" r="r" b="b"/>
                            <a:pathLst>
                              <a:path w="504190" h="360045">
                                <a:moveTo>
                                  <a:pt x="503999" y="0"/>
                                </a:moveTo>
                                <a:lnTo>
                                  <a:pt x="0" y="0"/>
                                </a:lnTo>
                                <a:lnTo>
                                  <a:pt x="0" y="359994"/>
                                </a:lnTo>
                                <a:lnTo>
                                  <a:pt x="503999" y="359994"/>
                                </a:lnTo>
                                <a:lnTo>
                                  <a:pt x="503999" y="0"/>
                                </a:lnTo>
                                <a:close/>
                              </a:path>
                            </a:pathLst>
                          </a:custGeom>
                          <a:solidFill>
                            <a:srgbClr val="939598"/>
                          </a:solidFill>
                        </wps:spPr>
                        <wps:bodyPr wrap="square" lIns="0" tIns="0" rIns="0" bIns="0" rtlCol="0">
                          <a:prstTxWarp prst="textNoShape">
                            <a:avLst/>
                          </a:prstTxWarp>
                          <a:noAutofit/>
                        </wps:bodyPr>
                      </wps:wsp>
                      <wps:wsp>
                        <wps:cNvPr id="131" name="Graphic 131"/>
                        <wps:cNvSpPr/>
                        <wps:spPr>
                          <a:xfrm>
                            <a:off x="6350" y="0"/>
                            <a:ext cx="1270" cy="2412365"/>
                          </a:xfrm>
                          <a:custGeom>
                            <a:avLst/>
                            <a:gdLst/>
                            <a:ahLst/>
                            <a:cxnLst/>
                            <a:rect l="l" t="t" r="r" b="b"/>
                            <a:pathLst>
                              <a:path w="0" h="2412365">
                                <a:moveTo>
                                  <a:pt x="0" y="0"/>
                                </a:moveTo>
                                <a:lnTo>
                                  <a:pt x="0" y="2411996"/>
                                </a:lnTo>
                              </a:path>
                            </a:pathLst>
                          </a:custGeom>
                          <a:ln w="12700">
                            <a:solidFill>
                              <a:srgbClr val="939598"/>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441.622803pt;margin-top:187.0867pt;width:40.3pt;height:189.95pt;mso-position-horizontal-relative:page;mso-position-vertical-relative:page;z-index:15768064" id="docshapegroup107" coordorigin="8832,3742" coordsize="806,3799">
                <v:rect style="position:absolute;left:8844;top:3741;width:794;height:567" id="docshape108" filled="true" fillcolor="#939598" stroked="false">
                  <v:fill type="solid"/>
                </v:rect>
                <v:line style="position:absolute" from="8842,3742" to="8842,7540" stroked="true" strokeweight="1pt" strokecolor="#939598">
                  <v:stroke dashstyle="solid"/>
                </v:line>
                <w10:wrap type="none"/>
              </v:group>
            </w:pict>
          </mc:Fallback>
        </mc:AlternateContent>
      </w:r>
      <w:r>
        <w:rPr/>
        <mc:AlternateContent>
          <mc:Choice Requires="wps">
            <w:drawing>
              <wp:anchor distT="0" distB="0" distL="0" distR="0" allowOverlap="1" layoutInCell="1" locked="0" behindDoc="0" simplePos="0" relativeHeight="15768576">
                <wp:simplePos x="0" y="0"/>
                <wp:positionH relativeFrom="page">
                  <wp:posOffset>5635147</wp:posOffset>
                </wp:positionH>
                <wp:positionV relativeFrom="page">
                  <wp:posOffset>2795300</wp:posOffset>
                </wp:positionV>
                <wp:extent cx="299720" cy="1995805"/>
                <wp:effectExtent l="0" t="0" r="0" b="0"/>
                <wp:wrapNone/>
                <wp:docPr id="132" name="Textbox 132"/>
                <wp:cNvGraphicFramePr>
                  <a:graphicFrameLocks/>
                </wp:cNvGraphicFramePr>
                <a:graphic>
                  <a:graphicData uri="http://schemas.microsoft.com/office/word/2010/wordprocessingShape">
                    <wps:wsp>
                      <wps:cNvPr id="132" name="Textbox 132"/>
                      <wps:cNvSpPr txBox="1"/>
                      <wps:spPr>
                        <a:xfrm>
                          <a:off x="0" y="0"/>
                          <a:ext cx="299720" cy="1995805"/>
                        </a:xfrm>
                        <a:prstGeom prst="rect">
                          <a:avLst/>
                        </a:prstGeom>
                      </wps:spPr>
                      <wps:txbx>
                        <w:txbxContent>
                          <w:p>
                            <w:pPr>
                              <w:spacing w:before="20"/>
                              <w:ind w:left="20" w:right="0" w:firstLine="0"/>
                              <w:jc w:val="left"/>
                              <w:rPr>
                                <w:rFonts w:ascii="Minion Pro"/>
                                <w:sz w:val="32"/>
                              </w:rPr>
                            </w:pPr>
                            <w:r>
                              <w:rPr>
                                <w:rFonts w:ascii="Minion Pro"/>
                                <w:color w:val="231F20"/>
                                <w:sz w:val="32"/>
                              </w:rPr>
                              <w:t>Commented</w:t>
                            </w:r>
                            <w:r>
                              <w:rPr>
                                <w:rFonts w:ascii="Minion Pro"/>
                                <w:color w:val="231F20"/>
                                <w:spacing w:val="-10"/>
                                <w:sz w:val="32"/>
                              </w:rPr>
                              <w:t> </w:t>
                            </w:r>
                            <w:r>
                              <w:rPr>
                                <w:rFonts w:ascii="Minion Pro"/>
                                <w:color w:val="231F20"/>
                                <w:spacing w:val="-2"/>
                                <w:sz w:val="32"/>
                              </w:rPr>
                              <w:t>documents</w:t>
                            </w:r>
                          </w:p>
                        </w:txbxContent>
                      </wps:txbx>
                      <wps:bodyPr wrap="square" lIns="0" tIns="0" rIns="0" bIns="0" rtlCol="0" vert="vert">
                        <a:noAutofit/>
                      </wps:bodyPr>
                    </wps:wsp>
                  </a:graphicData>
                </a:graphic>
              </wp:anchor>
            </w:drawing>
          </mc:Choice>
          <mc:Fallback>
            <w:pict>
              <v:shape style="position:absolute;margin-left:443.712402pt;margin-top:220.102402pt;width:23.6pt;height:157.15pt;mso-position-horizontal-relative:page;mso-position-vertical-relative:page;z-index:15768576" type="#_x0000_t202" id="docshape109" filled="false" stroked="false">
                <v:textbox inset="0,0,0,0" style="layout-flow:vertical">
                  <w:txbxContent>
                    <w:p>
                      <w:pPr>
                        <w:spacing w:before="20"/>
                        <w:ind w:left="20" w:right="0" w:firstLine="0"/>
                        <w:jc w:val="left"/>
                        <w:rPr>
                          <w:rFonts w:ascii="Minion Pro"/>
                          <w:sz w:val="32"/>
                        </w:rPr>
                      </w:pPr>
                      <w:r>
                        <w:rPr>
                          <w:rFonts w:ascii="Minion Pro"/>
                          <w:color w:val="231F20"/>
                          <w:sz w:val="32"/>
                        </w:rPr>
                        <w:t>Commented</w:t>
                      </w:r>
                      <w:r>
                        <w:rPr>
                          <w:rFonts w:ascii="Minion Pro"/>
                          <w:color w:val="231F20"/>
                          <w:spacing w:val="-10"/>
                          <w:sz w:val="32"/>
                        </w:rPr>
                        <w:t> </w:t>
                      </w:r>
                      <w:r>
                        <w:rPr>
                          <w:rFonts w:ascii="Minion Pro"/>
                          <w:color w:val="231F20"/>
                          <w:spacing w:val="-2"/>
                          <w:sz w:val="32"/>
                        </w:rPr>
                        <w:t>documents</w:t>
                      </w:r>
                    </w:p>
                  </w:txbxContent>
                </v:textbox>
                <w10:wrap type="none"/>
              </v:shape>
            </w:pict>
          </mc:Fallback>
        </mc:AlternateContent>
      </w:r>
      <w:r>
        <w:rPr>
          <w:color w:val="231F20"/>
        </w:rPr>
        <w:t>attività privata e può in tal modo arrecare loro pregiudizio». Da tale affer- mazione</w:t>
      </w:r>
      <w:r>
        <w:rPr>
          <w:color w:val="231F20"/>
          <w:spacing w:val="-11"/>
        </w:rPr>
        <w:t> </w:t>
      </w:r>
      <w:r>
        <w:rPr>
          <w:color w:val="231F20"/>
        </w:rPr>
        <w:t>la</w:t>
      </w:r>
      <w:r>
        <w:rPr>
          <w:color w:val="231F20"/>
          <w:spacing w:val="-11"/>
        </w:rPr>
        <w:t> </w:t>
      </w:r>
      <w:r>
        <w:rPr>
          <w:color w:val="231F20"/>
        </w:rPr>
        <w:t>Corte</w:t>
      </w:r>
      <w:r>
        <w:rPr>
          <w:color w:val="231F20"/>
          <w:spacing w:val="-11"/>
        </w:rPr>
        <w:t> </w:t>
      </w:r>
      <w:r>
        <w:rPr>
          <w:color w:val="231F20"/>
        </w:rPr>
        <w:t>ha</w:t>
      </w:r>
      <w:r>
        <w:rPr>
          <w:color w:val="231F20"/>
          <w:spacing w:val="-11"/>
        </w:rPr>
        <w:t> </w:t>
      </w:r>
      <w:r>
        <w:rPr>
          <w:color w:val="231F20"/>
        </w:rPr>
        <w:t>tratto</w:t>
      </w:r>
      <w:r>
        <w:rPr>
          <w:color w:val="231F20"/>
          <w:spacing w:val="-11"/>
        </w:rPr>
        <w:t> </w:t>
      </w:r>
      <w:r>
        <w:rPr>
          <w:color w:val="231F20"/>
        </w:rPr>
        <w:t>la</w:t>
      </w:r>
      <w:r>
        <w:rPr>
          <w:color w:val="231F20"/>
          <w:spacing w:val="-11"/>
        </w:rPr>
        <w:t> </w:t>
      </w:r>
      <w:r>
        <w:rPr>
          <w:color w:val="231F20"/>
        </w:rPr>
        <w:t>conseguenza</w:t>
      </w:r>
      <w:r>
        <w:rPr>
          <w:color w:val="231F20"/>
          <w:spacing w:val="-11"/>
        </w:rPr>
        <w:t> </w:t>
      </w:r>
      <w:r>
        <w:rPr>
          <w:color w:val="231F20"/>
        </w:rPr>
        <w:t>che</w:t>
      </w:r>
      <w:r>
        <w:rPr>
          <w:color w:val="231F20"/>
          <w:spacing w:val="-11"/>
        </w:rPr>
        <w:t> </w:t>
      </w:r>
      <w:r>
        <w:rPr>
          <w:color w:val="231F20"/>
        </w:rPr>
        <w:t>tali</w:t>
      </w:r>
      <w:r>
        <w:rPr>
          <w:color w:val="231F20"/>
          <w:spacing w:val="-11"/>
        </w:rPr>
        <w:t> </w:t>
      </w:r>
      <w:r>
        <w:rPr>
          <w:color w:val="231F20"/>
        </w:rPr>
        <w:t>terzi</w:t>
      </w:r>
      <w:r>
        <w:rPr>
          <w:color w:val="231F20"/>
          <w:spacing w:val="-11"/>
        </w:rPr>
        <w:t> </w:t>
      </w:r>
      <w:r>
        <w:rPr>
          <w:color w:val="231F20"/>
        </w:rPr>
        <w:t>interessati</w:t>
      </w:r>
      <w:r>
        <w:rPr>
          <w:color w:val="231F20"/>
          <w:spacing w:val="-11"/>
        </w:rPr>
        <w:t> </w:t>
      </w:r>
      <w:r>
        <w:rPr>
          <w:color w:val="231F20"/>
        </w:rPr>
        <w:t>potevano esercitare un’azione di risarcimento del danno causato dalla </w:t>
      </w:r>
      <w:r>
        <w:rPr>
          <w:color w:val="231F20"/>
        </w:rPr>
        <w:t>comunicazio- ne di tali informazioni all’autorità pubblica interpellata (nella fattispecie: l’amministrazione finanziaria lussemburghese) ed era in quella sede che il giudice</w:t>
      </w:r>
      <w:r>
        <w:rPr>
          <w:color w:val="231F20"/>
          <w:spacing w:val="-15"/>
        </w:rPr>
        <w:t> </w:t>
      </w:r>
      <w:r>
        <w:rPr>
          <w:color w:val="231F20"/>
        </w:rPr>
        <w:t>civile</w:t>
      </w:r>
      <w:r>
        <w:rPr>
          <w:color w:val="231F20"/>
          <w:spacing w:val="-15"/>
        </w:rPr>
        <w:t> </w:t>
      </w:r>
      <w:r>
        <w:rPr>
          <w:color w:val="231F20"/>
        </w:rPr>
        <w:t>adito</w:t>
      </w:r>
      <w:r>
        <w:rPr>
          <w:color w:val="231F20"/>
          <w:spacing w:val="-15"/>
        </w:rPr>
        <w:t> </w:t>
      </w:r>
      <w:r>
        <w:rPr>
          <w:color w:val="231F20"/>
        </w:rPr>
        <w:t>avrebbe</w:t>
      </w:r>
      <w:r>
        <w:rPr>
          <w:color w:val="231F20"/>
          <w:spacing w:val="-15"/>
        </w:rPr>
        <w:t> </w:t>
      </w:r>
      <w:r>
        <w:rPr>
          <w:color w:val="231F20"/>
        </w:rPr>
        <w:t>potuto</w:t>
      </w:r>
      <w:r>
        <w:rPr>
          <w:color w:val="231F20"/>
          <w:spacing w:val="-15"/>
        </w:rPr>
        <w:t> </w:t>
      </w:r>
      <w:r>
        <w:rPr>
          <w:color w:val="231F20"/>
        </w:rPr>
        <w:t>verificare</w:t>
      </w:r>
      <w:r>
        <w:rPr>
          <w:color w:val="231F20"/>
          <w:spacing w:val="-15"/>
        </w:rPr>
        <w:t> </w:t>
      </w:r>
      <w:r>
        <w:rPr>
          <w:color w:val="231F20"/>
        </w:rPr>
        <w:t>la</w:t>
      </w:r>
      <w:r>
        <w:rPr>
          <w:color w:val="231F20"/>
          <w:spacing w:val="-15"/>
        </w:rPr>
        <w:t> </w:t>
      </w:r>
      <w:r>
        <w:rPr>
          <w:color w:val="231F20"/>
        </w:rPr>
        <w:t>legittimità</w:t>
      </w:r>
      <w:r>
        <w:rPr>
          <w:color w:val="231F20"/>
          <w:spacing w:val="-15"/>
        </w:rPr>
        <w:t> </w:t>
      </w:r>
      <w:r>
        <w:rPr>
          <w:color w:val="231F20"/>
        </w:rPr>
        <w:t>della</w:t>
      </w:r>
      <w:r>
        <w:rPr>
          <w:color w:val="231F20"/>
          <w:spacing w:val="-15"/>
        </w:rPr>
        <w:t> </w:t>
      </w:r>
      <w:r>
        <w:rPr>
          <w:color w:val="231F20"/>
        </w:rPr>
        <w:t>decisione</w:t>
      </w:r>
      <w:r>
        <w:rPr>
          <w:color w:val="231F20"/>
          <w:spacing w:val="-15"/>
        </w:rPr>
        <w:t> </w:t>
      </w:r>
      <w:r>
        <w:rPr>
          <w:color w:val="231F20"/>
        </w:rPr>
        <w:t>di ingiunzione emessa dalla medesima autorità interpellata.</w:t>
      </w:r>
      <w:r>
        <w:rPr>
          <w:color w:val="231F20"/>
          <w:spacing w:val="-1"/>
        </w:rPr>
        <w:t> </w:t>
      </w:r>
      <w:r>
        <w:rPr>
          <w:color w:val="231F20"/>
        </w:rPr>
        <w:t>Tale facoltà, per</w:t>
      </w:r>
      <w:r>
        <w:rPr>
          <w:color w:val="231F20"/>
          <w:spacing w:val="40"/>
        </w:rPr>
        <w:t> </w:t>
      </w:r>
      <w:r>
        <w:rPr>
          <w:color w:val="231F20"/>
        </w:rPr>
        <w:t>i</w:t>
      </w:r>
      <w:r>
        <w:rPr>
          <w:color w:val="231F20"/>
          <w:spacing w:val="-2"/>
        </w:rPr>
        <w:t> </w:t>
      </w:r>
      <w:r>
        <w:rPr>
          <w:color w:val="231F20"/>
        </w:rPr>
        <w:t>terzi</w:t>
      </w:r>
      <w:r>
        <w:rPr>
          <w:color w:val="231F20"/>
          <w:spacing w:val="-2"/>
        </w:rPr>
        <w:t> </w:t>
      </w:r>
      <w:r>
        <w:rPr>
          <w:color w:val="231F20"/>
        </w:rPr>
        <w:t>interessati,</w:t>
      </w:r>
      <w:r>
        <w:rPr>
          <w:color w:val="231F20"/>
          <w:spacing w:val="-2"/>
        </w:rPr>
        <w:t> </w:t>
      </w:r>
      <w:r>
        <w:rPr>
          <w:color w:val="231F20"/>
        </w:rPr>
        <w:t>di</w:t>
      </w:r>
      <w:r>
        <w:rPr>
          <w:color w:val="231F20"/>
          <w:spacing w:val="-2"/>
        </w:rPr>
        <w:t> </w:t>
      </w:r>
      <w:r>
        <w:rPr>
          <w:color w:val="231F20"/>
        </w:rPr>
        <w:t>avviare</w:t>
      </w:r>
      <w:r>
        <w:rPr>
          <w:color w:val="231F20"/>
          <w:spacing w:val="-2"/>
        </w:rPr>
        <w:t> </w:t>
      </w:r>
      <w:r>
        <w:rPr>
          <w:color w:val="231F20"/>
        </w:rPr>
        <w:t>un’azione</w:t>
      </w:r>
      <w:r>
        <w:rPr>
          <w:color w:val="231F20"/>
          <w:spacing w:val="-2"/>
        </w:rPr>
        <w:t> </w:t>
      </w:r>
      <w:r>
        <w:rPr>
          <w:color w:val="231F20"/>
        </w:rPr>
        <w:t>di</w:t>
      </w:r>
      <w:r>
        <w:rPr>
          <w:color w:val="231F20"/>
          <w:spacing w:val="-2"/>
        </w:rPr>
        <w:t> </w:t>
      </w:r>
      <w:r>
        <w:rPr>
          <w:color w:val="231F20"/>
        </w:rPr>
        <w:t>risarcimento</w:t>
      </w:r>
      <w:r>
        <w:rPr>
          <w:color w:val="231F20"/>
          <w:spacing w:val="-2"/>
        </w:rPr>
        <w:t> </w:t>
      </w:r>
      <w:r>
        <w:rPr>
          <w:color w:val="231F20"/>
        </w:rPr>
        <w:t>danni</w:t>
      </w:r>
      <w:r>
        <w:rPr>
          <w:color w:val="231F20"/>
          <w:spacing w:val="-2"/>
        </w:rPr>
        <w:t> </w:t>
      </w:r>
      <w:r>
        <w:rPr>
          <w:color w:val="231F20"/>
        </w:rPr>
        <w:t>dinanzi</w:t>
      </w:r>
      <w:r>
        <w:rPr>
          <w:color w:val="231F20"/>
          <w:spacing w:val="-2"/>
        </w:rPr>
        <w:t> </w:t>
      </w:r>
      <w:r>
        <w:rPr>
          <w:color w:val="231F20"/>
        </w:rPr>
        <w:t>ad</w:t>
      </w:r>
      <w:r>
        <w:rPr>
          <w:color w:val="231F20"/>
          <w:spacing w:val="-2"/>
        </w:rPr>
        <w:t> </w:t>
      </w:r>
      <w:r>
        <w:rPr>
          <w:color w:val="231F20"/>
        </w:rPr>
        <w:t>un giudice civile poteva in conclusione giustificare, per la Corte, l’esclusione da</w:t>
      </w:r>
      <w:r>
        <w:rPr>
          <w:color w:val="231F20"/>
          <w:spacing w:val="-13"/>
        </w:rPr>
        <w:t> </w:t>
      </w:r>
      <w:r>
        <w:rPr>
          <w:color w:val="231F20"/>
        </w:rPr>
        <w:t>parte</w:t>
      </w:r>
      <w:r>
        <w:rPr>
          <w:color w:val="231F20"/>
          <w:spacing w:val="-13"/>
        </w:rPr>
        <w:t> </w:t>
      </w:r>
      <w:r>
        <w:rPr>
          <w:color w:val="231F20"/>
        </w:rPr>
        <w:t>di</w:t>
      </w:r>
      <w:r>
        <w:rPr>
          <w:color w:val="231F20"/>
          <w:spacing w:val="-13"/>
        </w:rPr>
        <w:t> </w:t>
      </w:r>
      <w:r>
        <w:rPr>
          <w:color w:val="231F20"/>
        </w:rPr>
        <w:t>una</w:t>
      </w:r>
      <w:r>
        <w:rPr>
          <w:color w:val="231F20"/>
          <w:spacing w:val="-13"/>
        </w:rPr>
        <w:t> </w:t>
      </w:r>
      <w:r>
        <w:rPr>
          <w:color w:val="231F20"/>
        </w:rPr>
        <w:t>legislazione</w:t>
      </w:r>
      <w:r>
        <w:rPr>
          <w:color w:val="231F20"/>
          <w:spacing w:val="-13"/>
        </w:rPr>
        <w:t> </w:t>
      </w:r>
      <w:r>
        <w:rPr>
          <w:color w:val="231F20"/>
        </w:rPr>
        <w:t>nazionale</w:t>
      </w:r>
      <w:r>
        <w:rPr>
          <w:color w:val="231F20"/>
          <w:spacing w:val="-13"/>
        </w:rPr>
        <w:t> </w:t>
      </w:r>
      <w:r>
        <w:rPr>
          <w:color w:val="231F20"/>
        </w:rPr>
        <w:t>di</w:t>
      </w:r>
      <w:r>
        <w:rPr>
          <w:color w:val="231F20"/>
          <w:spacing w:val="-13"/>
        </w:rPr>
        <w:t> </w:t>
      </w:r>
      <w:r>
        <w:rPr>
          <w:color w:val="231F20"/>
        </w:rPr>
        <w:t>attuazione</w:t>
      </w:r>
      <w:r>
        <w:rPr>
          <w:color w:val="231F20"/>
          <w:spacing w:val="-13"/>
        </w:rPr>
        <w:t> </w:t>
      </w:r>
      <w:r>
        <w:rPr>
          <w:color w:val="231F20"/>
        </w:rPr>
        <w:t>della</w:t>
      </w:r>
      <w:r>
        <w:rPr>
          <w:color w:val="231F20"/>
          <w:spacing w:val="-13"/>
        </w:rPr>
        <w:t> </w:t>
      </w:r>
      <w:r>
        <w:rPr>
          <w:color w:val="231F20"/>
        </w:rPr>
        <w:t>direttiva</w:t>
      </w:r>
      <w:r>
        <w:rPr>
          <w:color w:val="231F20"/>
          <w:spacing w:val="-13"/>
        </w:rPr>
        <w:t> </w:t>
      </w:r>
      <w:r>
        <w:rPr>
          <w:color w:val="231F20"/>
        </w:rPr>
        <w:t>2011/16/ UE,</w:t>
      </w:r>
      <w:r>
        <w:rPr>
          <w:color w:val="231F20"/>
          <w:spacing w:val="-3"/>
        </w:rPr>
        <w:t> </w:t>
      </w:r>
      <w:r>
        <w:rPr>
          <w:color w:val="231F20"/>
        </w:rPr>
        <w:t>della</w:t>
      </w:r>
      <w:r>
        <w:rPr>
          <w:color w:val="231F20"/>
          <w:spacing w:val="-3"/>
        </w:rPr>
        <w:t> </w:t>
      </w:r>
      <w:r>
        <w:rPr>
          <w:color w:val="231F20"/>
        </w:rPr>
        <w:t>possibilità</w:t>
      </w:r>
      <w:r>
        <w:rPr>
          <w:color w:val="231F20"/>
          <w:spacing w:val="-3"/>
        </w:rPr>
        <w:t> </w:t>
      </w:r>
      <w:r>
        <w:rPr>
          <w:color w:val="231F20"/>
        </w:rPr>
        <w:t>di</w:t>
      </w:r>
      <w:r>
        <w:rPr>
          <w:color w:val="231F20"/>
          <w:spacing w:val="-3"/>
        </w:rPr>
        <w:t> </w:t>
      </w:r>
      <w:r>
        <w:rPr>
          <w:color w:val="231F20"/>
        </w:rPr>
        <w:t>proporre</w:t>
      </w:r>
      <w:r>
        <w:rPr>
          <w:color w:val="231F20"/>
          <w:spacing w:val="-3"/>
        </w:rPr>
        <w:t> </w:t>
      </w:r>
      <w:r>
        <w:rPr>
          <w:color w:val="231F20"/>
        </w:rPr>
        <w:t>un</w:t>
      </w:r>
      <w:r>
        <w:rPr>
          <w:color w:val="231F20"/>
          <w:spacing w:val="-3"/>
        </w:rPr>
        <w:t> </w:t>
      </w:r>
      <w:r>
        <w:rPr>
          <w:color w:val="231F20"/>
        </w:rPr>
        <w:t>ricorso</w:t>
      </w:r>
      <w:r>
        <w:rPr>
          <w:color w:val="231F20"/>
          <w:spacing w:val="-3"/>
        </w:rPr>
        <w:t> </w:t>
      </w:r>
      <w:r>
        <w:rPr>
          <w:color w:val="231F20"/>
        </w:rPr>
        <w:t>diretto</w:t>
      </w:r>
      <w:r>
        <w:rPr>
          <w:color w:val="231F20"/>
          <w:spacing w:val="-3"/>
        </w:rPr>
        <w:t> </w:t>
      </w:r>
      <w:r>
        <w:rPr>
          <w:color w:val="231F20"/>
        </w:rPr>
        <w:t>contro</w:t>
      </w:r>
      <w:r>
        <w:rPr>
          <w:color w:val="231F20"/>
          <w:spacing w:val="-3"/>
        </w:rPr>
        <w:t> </w:t>
      </w:r>
      <w:r>
        <w:rPr>
          <w:color w:val="231F20"/>
        </w:rPr>
        <w:t>la</w:t>
      </w:r>
      <w:r>
        <w:rPr>
          <w:color w:val="231F20"/>
          <w:spacing w:val="-3"/>
        </w:rPr>
        <w:t> </w:t>
      </w:r>
      <w:r>
        <w:rPr>
          <w:color w:val="231F20"/>
        </w:rPr>
        <w:t>decisione</w:t>
      </w:r>
      <w:r>
        <w:rPr>
          <w:color w:val="231F20"/>
          <w:spacing w:val="-3"/>
        </w:rPr>
        <w:t> </w:t>
      </w:r>
      <w:r>
        <w:rPr>
          <w:color w:val="231F20"/>
        </w:rPr>
        <w:t>con la quale l’autorità interpellata aveva ingiunto la comunicazione delle in-</w:t>
      </w:r>
      <w:r>
        <w:rPr>
          <w:color w:val="231F20"/>
          <w:spacing w:val="40"/>
        </w:rPr>
        <w:t> </w:t>
      </w:r>
      <w:r>
        <w:rPr>
          <w:color w:val="231F20"/>
        </w:rPr>
        <w:t>formazioni riguardanti in parte anche i suddetti soggetti terzi interessati</w:t>
      </w:r>
      <w:r>
        <w:rPr>
          <w:color w:val="231F20"/>
          <w:position w:val="8"/>
          <w:sz w:val="14"/>
        </w:rPr>
        <w:t>94</w:t>
      </w:r>
      <w:r>
        <w:rPr>
          <w:color w:val="231F20"/>
        </w:rPr>
        <w:t>. Questa parte della motivazione della sentenza del 6 ottobre 2020, causa</w:t>
      </w:r>
    </w:p>
    <w:p>
      <w:pPr>
        <w:pStyle w:val="BodyText"/>
        <w:spacing w:line="225" w:lineRule="auto" w:before="18"/>
        <w:ind w:left="157" w:right="117"/>
        <w:jc w:val="both"/>
      </w:pPr>
      <w:r>
        <w:rPr>
          <w:color w:val="231F20"/>
        </w:rPr>
        <w:t>C-245/19 suscita interrogativi e perplessità a causa della sua genericità. In primo</w:t>
      </w:r>
      <w:r>
        <w:rPr>
          <w:color w:val="231F20"/>
          <w:spacing w:val="-7"/>
        </w:rPr>
        <w:t> </w:t>
      </w:r>
      <w:r>
        <w:rPr>
          <w:color w:val="231F20"/>
        </w:rPr>
        <w:t>luogo,</w:t>
      </w:r>
      <w:r>
        <w:rPr>
          <w:color w:val="231F20"/>
          <w:spacing w:val="-7"/>
        </w:rPr>
        <w:t> </w:t>
      </w:r>
      <w:r>
        <w:rPr>
          <w:color w:val="231F20"/>
        </w:rPr>
        <w:t>non</w:t>
      </w:r>
      <w:r>
        <w:rPr>
          <w:color w:val="231F20"/>
          <w:spacing w:val="-7"/>
        </w:rPr>
        <w:t> </w:t>
      </w:r>
      <w:r>
        <w:rPr>
          <w:color w:val="231F20"/>
        </w:rPr>
        <w:t>è</w:t>
      </w:r>
      <w:r>
        <w:rPr>
          <w:color w:val="231F20"/>
          <w:spacing w:val="-7"/>
        </w:rPr>
        <w:t> </w:t>
      </w:r>
      <w:r>
        <w:rPr>
          <w:color w:val="231F20"/>
        </w:rPr>
        <w:t>chiaro</w:t>
      </w:r>
      <w:r>
        <w:rPr>
          <w:color w:val="231F20"/>
          <w:spacing w:val="-7"/>
        </w:rPr>
        <w:t> </w:t>
      </w:r>
      <w:r>
        <w:rPr>
          <w:color w:val="231F20"/>
        </w:rPr>
        <w:t>quale</w:t>
      </w:r>
      <w:r>
        <w:rPr>
          <w:color w:val="231F20"/>
          <w:spacing w:val="-7"/>
        </w:rPr>
        <w:t> </w:t>
      </w:r>
      <w:r>
        <w:rPr>
          <w:color w:val="231F20"/>
        </w:rPr>
        <w:t>sarebbe</w:t>
      </w:r>
      <w:r>
        <w:rPr>
          <w:color w:val="231F20"/>
          <w:spacing w:val="-7"/>
        </w:rPr>
        <w:t> </w:t>
      </w:r>
      <w:r>
        <w:rPr>
          <w:color w:val="231F20"/>
        </w:rPr>
        <w:t>il</w:t>
      </w:r>
      <w:r>
        <w:rPr>
          <w:color w:val="231F20"/>
          <w:spacing w:val="-7"/>
        </w:rPr>
        <w:t> </w:t>
      </w:r>
      <w:r>
        <w:rPr>
          <w:color w:val="231F20"/>
        </w:rPr>
        <w:t>comportamento</w:t>
      </w:r>
      <w:r>
        <w:rPr>
          <w:color w:val="231F20"/>
          <w:spacing w:val="-7"/>
        </w:rPr>
        <w:t> </w:t>
      </w:r>
      <w:r>
        <w:rPr>
          <w:color w:val="231F20"/>
        </w:rPr>
        <w:t>illecito</w:t>
      </w:r>
      <w:r>
        <w:rPr>
          <w:color w:val="231F20"/>
          <w:spacing w:val="-7"/>
        </w:rPr>
        <w:t> </w:t>
      </w:r>
      <w:r>
        <w:rPr>
          <w:color w:val="231F20"/>
        </w:rPr>
        <w:t>dell’au- torità</w:t>
      </w:r>
      <w:r>
        <w:rPr>
          <w:color w:val="231F20"/>
          <w:spacing w:val="-15"/>
        </w:rPr>
        <w:t> </w:t>
      </w:r>
      <w:r>
        <w:rPr>
          <w:color w:val="231F20"/>
        </w:rPr>
        <w:t>interpellata</w:t>
      </w:r>
      <w:r>
        <w:rPr>
          <w:color w:val="231F20"/>
          <w:spacing w:val="-15"/>
        </w:rPr>
        <w:t> </w:t>
      </w:r>
      <w:r>
        <w:rPr>
          <w:color w:val="231F20"/>
        </w:rPr>
        <w:t>che</w:t>
      </w:r>
      <w:r>
        <w:rPr>
          <w:color w:val="231F20"/>
          <w:spacing w:val="-15"/>
        </w:rPr>
        <w:t> </w:t>
      </w:r>
      <w:r>
        <w:rPr>
          <w:color w:val="231F20"/>
        </w:rPr>
        <w:t>sarebbe</w:t>
      </w:r>
      <w:r>
        <w:rPr>
          <w:color w:val="231F20"/>
          <w:spacing w:val="-15"/>
        </w:rPr>
        <w:t> </w:t>
      </w:r>
      <w:r>
        <w:rPr>
          <w:color w:val="231F20"/>
        </w:rPr>
        <w:t>alla</w:t>
      </w:r>
      <w:r>
        <w:rPr>
          <w:color w:val="231F20"/>
          <w:spacing w:val="-15"/>
        </w:rPr>
        <w:t> </w:t>
      </w:r>
      <w:r>
        <w:rPr>
          <w:color w:val="231F20"/>
        </w:rPr>
        <w:t>base</w:t>
      </w:r>
      <w:r>
        <w:rPr>
          <w:color w:val="231F20"/>
          <w:spacing w:val="-15"/>
        </w:rPr>
        <w:t> </w:t>
      </w:r>
      <w:r>
        <w:rPr>
          <w:color w:val="231F20"/>
        </w:rPr>
        <w:t>dell’azione</w:t>
      </w:r>
      <w:r>
        <w:rPr>
          <w:color w:val="231F20"/>
          <w:spacing w:val="-15"/>
        </w:rPr>
        <w:t> </w:t>
      </w:r>
      <w:r>
        <w:rPr>
          <w:color w:val="231F20"/>
        </w:rPr>
        <w:t>di</w:t>
      </w:r>
      <w:r>
        <w:rPr>
          <w:color w:val="231F20"/>
          <w:spacing w:val="-15"/>
        </w:rPr>
        <w:t> </w:t>
      </w:r>
      <w:r>
        <w:rPr>
          <w:color w:val="231F20"/>
        </w:rPr>
        <w:t>risarcimento</w:t>
      </w:r>
      <w:r>
        <w:rPr>
          <w:color w:val="231F20"/>
          <w:spacing w:val="-15"/>
        </w:rPr>
        <w:t> </w:t>
      </w:r>
      <w:r>
        <w:rPr>
          <w:color w:val="231F20"/>
        </w:rPr>
        <w:t>danni</w:t>
      </w:r>
      <w:r>
        <w:rPr>
          <w:color w:val="231F20"/>
          <w:spacing w:val="-15"/>
        </w:rPr>
        <w:t> </w:t>
      </w:r>
      <w:r>
        <w:rPr>
          <w:color w:val="231F20"/>
        </w:rPr>
        <w:t>che </w:t>
      </w:r>
      <w:r>
        <w:rPr>
          <w:color w:val="231F20"/>
          <w:spacing w:val="-4"/>
        </w:rPr>
        <w:t>avrebbero</w:t>
      </w:r>
      <w:r>
        <w:rPr>
          <w:color w:val="231F20"/>
          <w:spacing w:val="-6"/>
        </w:rPr>
        <w:t> </w:t>
      </w:r>
      <w:r>
        <w:rPr>
          <w:color w:val="231F20"/>
          <w:spacing w:val="-4"/>
        </w:rPr>
        <w:t>la</w:t>
      </w:r>
      <w:r>
        <w:rPr>
          <w:color w:val="231F20"/>
          <w:spacing w:val="-6"/>
        </w:rPr>
        <w:t> </w:t>
      </w:r>
      <w:r>
        <w:rPr>
          <w:color w:val="231F20"/>
          <w:spacing w:val="-4"/>
        </w:rPr>
        <w:t>facoltà</w:t>
      </w:r>
      <w:r>
        <w:rPr>
          <w:color w:val="231F20"/>
          <w:spacing w:val="-6"/>
        </w:rPr>
        <w:t> </w:t>
      </w:r>
      <w:r>
        <w:rPr>
          <w:color w:val="231F20"/>
          <w:spacing w:val="-4"/>
        </w:rPr>
        <w:t>di</w:t>
      </w:r>
      <w:r>
        <w:rPr>
          <w:color w:val="231F20"/>
          <w:spacing w:val="-6"/>
        </w:rPr>
        <w:t> </w:t>
      </w:r>
      <w:r>
        <w:rPr>
          <w:color w:val="231F20"/>
          <w:spacing w:val="-4"/>
        </w:rPr>
        <w:t>esercitare</w:t>
      </w:r>
      <w:r>
        <w:rPr>
          <w:color w:val="231F20"/>
          <w:spacing w:val="-6"/>
        </w:rPr>
        <w:t> </w:t>
      </w:r>
      <w:r>
        <w:rPr>
          <w:color w:val="231F20"/>
          <w:spacing w:val="-4"/>
        </w:rPr>
        <w:t>dinanzi</w:t>
      </w:r>
      <w:r>
        <w:rPr>
          <w:color w:val="231F20"/>
          <w:spacing w:val="-6"/>
        </w:rPr>
        <w:t> </w:t>
      </w:r>
      <w:r>
        <w:rPr>
          <w:color w:val="231F20"/>
          <w:spacing w:val="-4"/>
        </w:rPr>
        <w:t>al</w:t>
      </w:r>
      <w:r>
        <w:rPr>
          <w:color w:val="231F20"/>
          <w:spacing w:val="-6"/>
        </w:rPr>
        <w:t> </w:t>
      </w:r>
      <w:r>
        <w:rPr>
          <w:color w:val="231F20"/>
          <w:spacing w:val="-4"/>
        </w:rPr>
        <w:t>giudice</w:t>
      </w:r>
      <w:r>
        <w:rPr>
          <w:color w:val="231F20"/>
          <w:spacing w:val="-6"/>
        </w:rPr>
        <w:t> </w:t>
      </w:r>
      <w:r>
        <w:rPr>
          <w:color w:val="231F20"/>
          <w:spacing w:val="-4"/>
        </w:rPr>
        <w:t>civile</w:t>
      </w:r>
      <w:r>
        <w:rPr>
          <w:color w:val="231F20"/>
          <w:spacing w:val="-6"/>
        </w:rPr>
        <w:t> </w:t>
      </w:r>
      <w:r>
        <w:rPr>
          <w:color w:val="231F20"/>
          <w:spacing w:val="-4"/>
        </w:rPr>
        <w:t>i</w:t>
      </w:r>
      <w:r>
        <w:rPr>
          <w:color w:val="231F20"/>
          <w:spacing w:val="-6"/>
        </w:rPr>
        <w:t> </w:t>
      </w:r>
      <w:r>
        <w:rPr>
          <w:color w:val="231F20"/>
          <w:spacing w:val="-4"/>
        </w:rPr>
        <w:t>terzi</w:t>
      </w:r>
      <w:r>
        <w:rPr>
          <w:color w:val="231F20"/>
          <w:spacing w:val="-6"/>
        </w:rPr>
        <w:t> </w:t>
      </w:r>
      <w:r>
        <w:rPr>
          <w:color w:val="231F20"/>
          <w:spacing w:val="-4"/>
        </w:rPr>
        <w:t>interessati</w:t>
      </w:r>
      <w:r>
        <w:rPr>
          <w:color w:val="231F20"/>
          <w:spacing w:val="-6"/>
        </w:rPr>
        <w:t> </w:t>
      </w:r>
      <w:r>
        <w:rPr>
          <w:color w:val="231F20"/>
          <w:spacing w:val="-4"/>
        </w:rPr>
        <w:t>i</w:t>
      </w:r>
      <w:r>
        <w:rPr>
          <w:color w:val="231F20"/>
          <w:spacing w:val="-6"/>
        </w:rPr>
        <w:t> </w:t>
      </w:r>
      <w:r>
        <w:rPr>
          <w:color w:val="231F20"/>
          <w:spacing w:val="-4"/>
        </w:rPr>
        <w:t>cui </w:t>
      </w:r>
      <w:r>
        <w:rPr>
          <w:color w:val="231F20"/>
          <w:spacing w:val="-2"/>
        </w:rPr>
        <w:t>diritti</w:t>
      </w:r>
      <w:r>
        <w:rPr>
          <w:color w:val="231F20"/>
          <w:spacing w:val="-5"/>
        </w:rPr>
        <w:t> </w:t>
      </w:r>
      <w:r>
        <w:rPr>
          <w:color w:val="231F20"/>
          <w:spacing w:val="-2"/>
        </w:rPr>
        <w:t>sarebbero</w:t>
      </w:r>
      <w:r>
        <w:rPr>
          <w:color w:val="231F20"/>
          <w:spacing w:val="-5"/>
        </w:rPr>
        <w:t> </w:t>
      </w:r>
      <w:r>
        <w:rPr>
          <w:color w:val="231F20"/>
          <w:spacing w:val="-2"/>
        </w:rPr>
        <w:t>stati</w:t>
      </w:r>
      <w:r>
        <w:rPr>
          <w:color w:val="231F20"/>
          <w:spacing w:val="-5"/>
        </w:rPr>
        <w:t> </w:t>
      </w:r>
      <w:r>
        <w:rPr>
          <w:color w:val="231F20"/>
          <w:spacing w:val="-2"/>
        </w:rPr>
        <w:t>in</w:t>
      </w:r>
      <w:r>
        <w:rPr>
          <w:color w:val="231F20"/>
          <w:spacing w:val="-5"/>
        </w:rPr>
        <w:t> </w:t>
      </w:r>
      <w:r>
        <w:rPr>
          <w:color w:val="231F20"/>
          <w:spacing w:val="-2"/>
        </w:rPr>
        <w:t>ipotesi</w:t>
      </w:r>
      <w:r>
        <w:rPr>
          <w:color w:val="231F20"/>
          <w:spacing w:val="-5"/>
        </w:rPr>
        <w:t> </w:t>
      </w:r>
      <w:r>
        <w:rPr>
          <w:color w:val="231F20"/>
          <w:spacing w:val="-2"/>
        </w:rPr>
        <w:t>lesi</w:t>
      </w:r>
      <w:r>
        <w:rPr>
          <w:color w:val="231F20"/>
          <w:spacing w:val="-5"/>
        </w:rPr>
        <w:t> </w:t>
      </w:r>
      <w:r>
        <w:rPr>
          <w:color w:val="231F20"/>
          <w:spacing w:val="-2"/>
        </w:rPr>
        <w:t>dalla</w:t>
      </w:r>
      <w:r>
        <w:rPr>
          <w:color w:val="231F20"/>
          <w:spacing w:val="-5"/>
        </w:rPr>
        <w:t> </w:t>
      </w:r>
      <w:r>
        <w:rPr>
          <w:color w:val="231F20"/>
          <w:spacing w:val="-2"/>
        </w:rPr>
        <w:t>comunicazione</w:t>
      </w:r>
      <w:r>
        <w:rPr>
          <w:color w:val="231F20"/>
          <w:spacing w:val="-5"/>
        </w:rPr>
        <w:t> </w:t>
      </w:r>
      <w:r>
        <w:rPr>
          <w:color w:val="231F20"/>
          <w:spacing w:val="-2"/>
        </w:rPr>
        <w:t>di</w:t>
      </w:r>
      <w:r>
        <w:rPr>
          <w:color w:val="231F20"/>
          <w:spacing w:val="-5"/>
        </w:rPr>
        <w:t> </w:t>
      </w:r>
      <w:r>
        <w:rPr>
          <w:color w:val="231F20"/>
          <w:spacing w:val="-2"/>
        </w:rPr>
        <w:t>informazioni</w:t>
      </w:r>
      <w:r>
        <w:rPr>
          <w:color w:val="231F20"/>
          <w:spacing w:val="-5"/>
        </w:rPr>
        <w:t> </w:t>
      </w:r>
      <w:r>
        <w:rPr>
          <w:color w:val="231F20"/>
          <w:spacing w:val="-2"/>
        </w:rPr>
        <w:t>alla </w:t>
      </w:r>
      <w:r>
        <w:rPr>
          <w:color w:val="231F20"/>
          <w:spacing w:val="-4"/>
        </w:rPr>
        <w:t>medesima autorità interpellata da parte del soggetto detentore delle stesse.</w:t>
      </w:r>
      <w:r>
        <w:rPr>
          <w:color w:val="231F20"/>
          <w:spacing w:val="-9"/>
        </w:rPr>
        <w:t> </w:t>
      </w:r>
      <w:r>
        <w:rPr>
          <w:color w:val="231F20"/>
          <w:spacing w:val="-4"/>
        </w:rPr>
        <w:t>Va </w:t>
      </w:r>
      <w:r>
        <w:rPr>
          <w:color w:val="231F20"/>
        </w:rPr>
        <w:t>infatti</w:t>
      </w:r>
      <w:r>
        <w:rPr>
          <w:color w:val="231F20"/>
          <w:spacing w:val="-10"/>
        </w:rPr>
        <w:t> </w:t>
      </w:r>
      <w:r>
        <w:rPr>
          <w:color w:val="231F20"/>
        </w:rPr>
        <w:t>ricordato</w:t>
      </w:r>
      <w:r>
        <w:rPr>
          <w:color w:val="231F20"/>
          <w:spacing w:val="-10"/>
        </w:rPr>
        <w:t> </w:t>
      </w:r>
      <w:r>
        <w:rPr>
          <w:color w:val="231F20"/>
        </w:rPr>
        <w:t>che</w:t>
      </w:r>
      <w:r>
        <w:rPr>
          <w:color w:val="231F20"/>
          <w:spacing w:val="-10"/>
        </w:rPr>
        <w:t> </w:t>
      </w:r>
      <w:r>
        <w:rPr>
          <w:color w:val="231F20"/>
        </w:rPr>
        <w:t>l’autorità</w:t>
      </w:r>
      <w:r>
        <w:rPr>
          <w:color w:val="231F20"/>
          <w:spacing w:val="-10"/>
        </w:rPr>
        <w:t> </w:t>
      </w:r>
      <w:r>
        <w:rPr>
          <w:color w:val="231F20"/>
        </w:rPr>
        <w:t>interpellata,</w:t>
      </w:r>
      <w:r>
        <w:rPr>
          <w:color w:val="231F20"/>
          <w:spacing w:val="-10"/>
        </w:rPr>
        <w:t> </w:t>
      </w:r>
      <w:r>
        <w:rPr>
          <w:color w:val="231F20"/>
        </w:rPr>
        <w:t>in</w:t>
      </w:r>
      <w:r>
        <w:rPr>
          <w:color w:val="231F20"/>
          <w:spacing w:val="-10"/>
        </w:rPr>
        <w:t> </w:t>
      </w:r>
      <w:r>
        <w:rPr>
          <w:color w:val="231F20"/>
        </w:rPr>
        <w:t>forza</w:t>
      </w:r>
      <w:r>
        <w:rPr>
          <w:color w:val="231F20"/>
          <w:spacing w:val="-10"/>
        </w:rPr>
        <w:t> </w:t>
      </w:r>
      <w:r>
        <w:rPr>
          <w:color w:val="231F20"/>
        </w:rPr>
        <w:t>dell’art.</w:t>
      </w:r>
      <w:r>
        <w:rPr>
          <w:color w:val="231F20"/>
          <w:spacing w:val="-10"/>
        </w:rPr>
        <w:t> </w:t>
      </w:r>
      <w:r>
        <w:rPr>
          <w:color w:val="231F20"/>
        </w:rPr>
        <w:t>5</w:t>
      </w:r>
      <w:r>
        <w:rPr>
          <w:color w:val="231F20"/>
          <w:spacing w:val="-10"/>
        </w:rPr>
        <w:t> </w:t>
      </w:r>
      <w:r>
        <w:rPr>
          <w:color w:val="231F20"/>
        </w:rPr>
        <w:t>della</w:t>
      </w:r>
      <w:r>
        <w:rPr>
          <w:color w:val="231F20"/>
          <w:spacing w:val="-10"/>
        </w:rPr>
        <w:t> </w:t>
      </w:r>
      <w:r>
        <w:rPr>
          <w:color w:val="231F20"/>
        </w:rPr>
        <w:t>direttiva </w:t>
      </w:r>
      <w:r>
        <w:rPr>
          <w:color w:val="231F20"/>
          <w:spacing w:val="-4"/>
        </w:rPr>
        <w:t>2011/16/UE,</w:t>
      </w:r>
      <w:r>
        <w:rPr>
          <w:color w:val="231F20"/>
          <w:spacing w:val="-7"/>
        </w:rPr>
        <w:t> </w:t>
      </w:r>
      <w:r>
        <w:rPr>
          <w:color w:val="231F20"/>
          <w:spacing w:val="-4"/>
        </w:rPr>
        <w:t>ha</w:t>
      </w:r>
      <w:r>
        <w:rPr>
          <w:color w:val="231F20"/>
          <w:spacing w:val="-7"/>
        </w:rPr>
        <w:t> </w:t>
      </w:r>
      <w:r>
        <w:rPr>
          <w:color w:val="231F20"/>
          <w:spacing w:val="-4"/>
        </w:rPr>
        <w:t>un</w:t>
      </w:r>
      <w:r>
        <w:rPr>
          <w:color w:val="231F20"/>
          <w:spacing w:val="-7"/>
        </w:rPr>
        <w:t> </w:t>
      </w:r>
      <w:r>
        <w:rPr>
          <w:color w:val="231F20"/>
          <w:spacing w:val="-4"/>
        </w:rPr>
        <w:t>vero</w:t>
      </w:r>
      <w:r>
        <w:rPr>
          <w:color w:val="231F20"/>
          <w:spacing w:val="-7"/>
        </w:rPr>
        <w:t> </w:t>
      </w:r>
      <w:r>
        <w:rPr>
          <w:color w:val="231F20"/>
          <w:spacing w:val="-4"/>
        </w:rPr>
        <w:t>e</w:t>
      </w:r>
      <w:r>
        <w:rPr>
          <w:color w:val="231F20"/>
          <w:spacing w:val="-7"/>
        </w:rPr>
        <w:t> </w:t>
      </w:r>
      <w:r>
        <w:rPr>
          <w:color w:val="231F20"/>
          <w:spacing w:val="-4"/>
        </w:rPr>
        <w:t>proprio</w:t>
      </w:r>
      <w:r>
        <w:rPr>
          <w:color w:val="231F20"/>
          <w:spacing w:val="-7"/>
        </w:rPr>
        <w:t> </w:t>
      </w:r>
      <w:r>
        <w:rPr>
          <w:color w:val="231F20"/>
          <w:spacing w:val="-4"/>
        </w:rPr>
        <w:t>obbligo</w:t>
      </w:r>
      <w:r>
        <w:rPr>
          <w:color w:val="231F20"/>
          <w:spacing w:val="-7"/>
        </w:rPr>
        <w:t> </w:t>
      </w:r>
      <w:r>
        <w:rPr>
          <w:color w:val="231F20"/>
          <w:spacing w:val="-4"/>
        </w:rPr>
        <w:t>giuridico</w:t>
      </w:r>
      <w:r>
        <w:rPr>
          <w:color w:val="231F20"/>
          <w:spacing w:val="-7"/>
        </w:rPr>
        <w:t> </w:t>
      </w:r>
      <w:r>
        <w:rPr>
          <w:color w:val="231F20"/>
          <w:spacing w:val="-4"/>
        </w:rPr>
        <w:t>di</w:t>
      </w:r>
      <w:r>
        <w:rPr>
          <w:color w:val="231F20"/>
          <w:spacing w:val="-7"/>
        </w:rPr>
        <w:t> </w:t>
      </w:r>
      <w:r>
        <w:rPr>
          <w:color w:val="231F20"/>
          <w:spacing w:val="-4"/>
        </w:rPr>
        <w:t>trasmettere</w:t>
      </w:r>
      <w:r>
        <w:rPr>
          <w:color w:val="231F20"/>
          <w:spacing w:val="-7"/>
        </w:rPr>
        <w:t> </w:t>
      </w:r>
      <w:r>
        <w:rPr>
          <w:color w:val="231F20"/>
          <w:spacing w:val="-4"/>
        </w:rPr>
        <w:t>all’autori- </w:t>
      </w:r>
      <w:r>
        <w:rPr>
          <w:color w:val="231F20"/>
          <w:spacing w:val="-2"/>
        </w:rPr>
        <w:t>tà</w:t>
      </w:r>
      <w:r>
        <w:rPr>
          <w:color w:val="231F20"/>
          <w:spacing w:val="-11"/>
        </w:rPr>
        <w:t> </w:t>
      </w:r>
      <w:r>
        <w:rPr>
          <w:color w:val="231F20"/>
          <w:spacing w:val="-2"/>
        </w:rPr>
        <w:t>richiedente</w:t>
      </w:r>
      <w:r>
        <w:rPr>
          <w:color w:val="231F20"/>
          <w:spacing w:val="-11"/>
        </w:rPr>
        <w:t> </w:t>
      </w:r>
      <w:r>
        <w:rPr>
          <w:color w:val="231F20"/>
          <w:spacing w:val="-2"/>
        </w:rPr>
        <w:t>le</w:t>
      </w:r>
      <w:r>
        <w:rPr>
          <w:color w:val="231F20"/>
          <w:spacing w:val="-11"/>
        </w:rPr>
        <w:t> </w:t>
      </w:r>
      <w:r>
        <w:rPr>
          <w:color w:val="231F20"/>
          <w:spacing w:val="-2"/>
        </w:rPr>
        <w:t>informazioni</w:t>
      </w:r>
      <w:r>
        <w:rPr>
          <w:color w:val="231F20"/>
          <w:spacing w:val="-11"/>
        </w:rPr>
        <w:t> </w:t>
      </w:r>
      <w:r>
        <w:rPr>
          <w:color w:val="231F20"/>
          <w:spacing w:val="-2"/>
        </w:rPr>
        <w:t>da</w:t>
      </w:r>
      <w:r>
        <w:rPr>
          <w:color w:val="231F20"/>
          <w:spacing w:val="-11"/>
        </w:rPr>
        <w:t> </w:t>
      </w:r>
      <w:r>
        <w:rPr>
          <w:color w:val="231F20"/>
          <w:spacing w:val="-2"/>
        </w:rPr>
        <w:t>quest’ultima</w:t>
      </w:r>
      <w:r>
        <w:rPr>
          <w:color w:val="231F20"/>
          <w:spacing w:val="-11"/>
        </w:rPr>
        <w:t> </w:t>
      </w:r>
      <w:r>
        <w:rPr>
          <w:color w:val="231F20"/>
          <w:spacing w:val="-2"/>
        </w:rPr>
        <w:t>richieste</w:t>
      </w:r>
      <w:r>
        <w:rPr>
          <w:color w:val="231F20"/>
          <w:spacing w:val="-11"/>
        </w:rPr>
        <w:t> </w:t>
      </w:r>
      <w:r>
        <w:rPr>
          <w:color w:val="231F20"/>
          <w:spacing w:val="-2"/>
        </w:rPr>
        <w:t>«di</w:t>
      </w:r>
      <w:r>
        <w:rPr>
          <w:color w:val="231F20"/>
          <w:spacing w:val="-11"/>
        </w:rPr>
        <w:t> </w:t>
      </w:r>
      <w:r>
        <w:rPr>
          <w:color w:val="231F20"/>
          <w:spacing w:val="-2"/>
        </w:rPr>
        <w:t>cui</w:t>
      </w:r>
      <w:r>
        <w:rPr>
          <w:color w:val="231F20"/>
          <w:spacing w:val="-11"/>
        </w:rPr>
        <w:t> </w:t>
      </w:r>
      <w:r>
        <w:rPr>
          <w:color w:val="231F20"/>
          <w:spacing w:val="-2"/>
        </w:rPr>
        <w:t>sia</w:t>
      </w:r>
      <w:r>
        <w:rPr>
          <w:color w:val="231F20"/>
          <w:spacing w:val="-11"/>
        </w:rPr>
        <w:t> </w:t>
      </w:r>
      <w:r>
        <w:rPr>
          <w:color w:val="231F20"/>
          <w:spacing w:val="-2"/>
        </w:rPr>
        <w:t>in</w:t>
      </w:r>
      <w:r>
        <w:rPr>
          <w:color w:val="231F20"/>
          <w:spacing w:val="-11"/>
        </w:rPr>
        <w:t> </w:t>
      </w:r>
      <w:r>
        <w:rPr>
          <w:color w:val="231F20"/>
          <w:spacing w:val="-2"/>
        </w:rPr>
        <w:t>possesso </w:t>
      </w:r>
      <w:r>
        <w:rPr>
          <w:color w:val="231F20"/>
        </w:rPr>
        <w:t>o</w:t>
      </w:r>
      <w:r>
        <w:rPr>
          <w:color w:val="231F20"/>
          <w:spacing w:val="-15"/>
        </w:rPr>
        <w:t> </w:t>
      </w:r>
      <w:r>
        <w:rPr>
          <w:color w:val="231F20"/>
        </w:rPr>
        <w:t>che</w:t>
      </w:r>
      <w:r>
        <w:rPr>
          <w:color w:val="231F20"/>
          <w:spacing w:val="-15"/>
        </w:rPr>
        <w:t> </w:t>
      </w:r>
      <w:r>
        <w:rPr>
          <w:color w:val="231F20"/>
        </w:rPr>
        <w:t>ottenga</w:t>
      </w:r>
      <w:r>
        <w:rPr>
          <w:color w:val="231F20"/>
          <w:spacing w:val="-15"/>
        </w:rPr>
        <w:t> </w:t>
      </w:r>
      <w:r>
        <w:rPr>
          <w:color w:val="231F20"/>
        </w:rPr>
        <w:t>a</w:t>
      </w:r>
      <w:r>
        <w:rPr>
          <w:color w:val="231F20"/>
          <w:spacing w:val="-15"/>
        </w:rPr>
        <w:t> </w:t>
      </w:r>
      <w:r>
        <w:rPr>
          <w:color w:val="231F20"/>
        </w:rPr>
        <w:t>seguito</w:t>
      </w:r>
      <w:r>
        <w:rPr>
          <w:color w:val="231F20"/>
          <w:spacing w:val="-15"/>
        </w:rPr>
        <w:t> </w:t>
      </w:r>
      <w:r>
        <w:rPr>
          <w:color w:val="231F20"/>
        </w:rPr>
        <w:t>di</w:t>
      </w:r>
      <w:r>
        <w:rPr>
          <w:color w:val="231F20"/>
          <w:spacing w:val="-15"/>
        </w:rPr>
        <w:t> </w:t>
      </w:r>
      <w:r>
        <w:rPr>
          <w:color w:val="231F20"/>
        </w:rPr>
        <w:t>un’indagine</w:t>
      </w:r>
      <w:r>
        <w:rPr>
          <w:color w:val="231F20"/>
          <w:spacing w:val="-15"/>
        </w:rPr>
        <w:t> </w:t>
      </w:r>
      <w:r>
        <w:rPr>
          <w:color w:val="231F20"/>
        </w:rPr>
        <w:t>amministrativa»</w:t>
      </w:r>
      <w:r>
        <w:rPr>
          <w:color w:val="231F20"/>
          <w:position w:val="8"/>
          <w:sz w:val="14"/>
        </w:rPr>
        <w:t>95</w:t>
      </w:r>
      <w:r>
        <w:rPr>
          <w:color w:val="231F20"/>
        </w:rPr>
        <w:t>.</w:t>
      </w:r>
      <w:r>
        <w:rPr>
          <w:color w:val="231F20"/>
          <w:spacing w:val="-8"/>
        </w:rPr>
        <w:t> </w:t>
      </w:r>
      <w:r>
        <w:rPr>
          <w:color w:val="231F20"/>
        </w:rPr>
        <w:t>Questo</w:t>
      </w:r>
      <w:r>
        <w:rPr>
          <w:color w:val="231F20"/>
          <w:spacing w:val="-15"/>
        </w:rPr>
        <w:t> </w:t>
      </w:r>
      <w:r>
        <w:rPr>
          <w:color w:val="231F20"/>
        </w:rPr>
        <w:t>esclude</w:t>
      </w:r>
      <w:r>
        <w:rPr>
          <w:color w:val="231F20"/>
          <w:spacing w:val="-15"/>
        </w:rPr>
        <w:t> </w:t>
      </w:r>
      <w:r>
        <w:rPr>
          <w:color w:val="231F20"/>
        </w:rPr>
        <w:t>in </w:t>
      </w:r>
      <w:r>
        <w:rPr>
          <w:color w:val="231F20"/>
          <w:spacing w:val="-2"/>
        </w:rPr>
        <w:t>radice</w:t>
      </w:r>
      <w:r>
        <w:rPr>
          <w:color w:val="231F20"/>
          <w:spacing w:val="-9"/>
        </w:rPr>
        <w:t> </w:t>
      </w:r>
      <w:r>
        <w:rPr>
          <w:color w:val="231F20"/>
          <w:spacing w:val="-2"/>
        </w:rPr>
        <w:t>che</w:t>
      </w:r>
      <w:r>
        <w:rPr>
          <w:color w:val="231F20"/>
          <w:spacing w:val="-9"/>
        </w:rPr>
        <w:t> </w:t>
      </w:r>
      <w:r>
        <w:rPr>
          <w:color w:val="231F20"/>
          <w:spacing w:val="-2"/>
        </w:rPr>
        <w:t>l’emanazione</w:t>
      </w:r>
      <w:r>
        <w:rPr>
          <w:color w:val="231F20"/>
          <w:spacing w:val="-9"/>
        </w:rPr>
        <w:t> </w:t>
      </w:r>
      <w:r>
        <w:rPr>
          <w:color w:val="231F20"/>
          <w:spacing w:val="-2"/>
        </w:rPr>
        <w:t>della</w:t>
      </w:r>
      <w:r>
        <w:rPr>
          <w:color w:val="231F20"/>
          <w:spacing w:val="-9"/>
        </w:rPr>
        <w:t> </w:t>
      </w:r>
      <w:r>
        <w:rPr>
          <w:color w:val="231F20"/>
          <w:spacing w:val="-2"/>
        </w:rPr>
        <w:t>decisione</w:t>
      </w:r>
      <w:r>
        <w:rPr>
          <w:color w:val="231F20"/>
          <w:spacing w:val="-9"/>
        </w:rPr>
        <w:t> </w:t>
      </w:r>
      <w:r>
        <w:rPr>
          <w:color w:val="231F20"/>
          <w:spacing w:val="-2"/>
        </w:rPr>
        <w:t>di</w:t>
      </w:r>
      <w:r>
        <w:rPr>
          <w:color w:val="231F20"/>
          <w:spacing w:val="-9"/>
        </w:rPr>
        <w:t> </w:t>
      </w:r>
      <w:r>
        <w:rPr>
          <w:color w:val="231F20"/>
          <w:spacing w:val="-2"/>
        </w:rPr>
        <w:t>ingiunzione,</w:t>
      </w:r>
      <w:r>
        <w:rPr>
          <w:color w:val="231F20"/>
          <w:spacing w:val="-9"/>
        </w:rPr>
        <w:t> </w:t>
      </w:r>
      <w:r>
        <w:rPr>
          <w:color w:val="231F20"/>
          <w:spacing w:val="-2"/>
        </w:rPr>
        <w:t>da</w:t>
      </w:r>
      <w:r>
        <w:rPr>
          <w:color w:val="231F20"/>
          <w:spacing w:val="-9"/>
        </w:rPr>
        <w:t> </w:t>
      </w:r>
      <w:r>
        <w:rPr>
          <w:color w:val="231F20"/>
          <w:spacing w:val="-2"/>
        </w:rPr>
        <w:t>parte</w:t>
      </w:r>
      <w:r>
        <w:rPr>
          <w:color w:val="231F20"/>
          <w:spacing w:val="-9"/>
        </w:rPr>
        <w:t> </w:t>
      </w:r>
      <w:r>
        <w:rPr>
          <w:color w:val="231F20"/>
          <w:spacing w:val="-2"/>
        </w:rPr>
        <w:t>dell’autorità interpellata,</w:t>
      </w:r>
      <w:r>
        <w:rPr>
          <w:color w:val="231F20"/>
          <w:spacing w:val="-7"/>
        </w:rPr>
        <w:t> </w:t>
      </w:r>
      <w:r>
        <w:rPr>
          <w:color w:val="231F20"/>
          <w:spacing w:val="-2"/>
        </w:rPr>
        <w:t>possa</w:t>
      </w:r>
      <w:r>
        <w:rPr>
          <w:color w:val="231F20"/>
          <w:spacing w:val="-7"/>
        </w:rPr>
        <w:t> </w:t>
      </w:r>
      <w:r>
        <w:rPr>
          <w:color w:val="231F20"/>
          <w:spacing w:val="-2"/>
        </w:rPr>
        <w:t>costituire</w:t>
      </w:r>
      <w:r>
        <w:rPr>
          <w:color w:val="231F20"/>
          <w:spacing w:val="-7"/>
        </w:rPr>
        <w:t> </w:t>
      </w:r>
      <w:r>
        <w:rPr>
          <w:color w:val="231F20"/>
          <w:spacing w:val="-2"/>
        </w:rPr>
        <w:t>in</w:t>
      </w:r>
      <w:r>
        <w:rPr>
          <w:color w:val="231F20"/>
          <w:spacing w:val="-7"/>
        </w:rPr>
        <w:t> </w:t>
      </w:r>
      <w:r>
        <w:rPr>
          <w:color w:val="231F20"/>
          <w:spacing w:val="-2"/>
        </w:rPr>
        <w:t>sé</w:t>
      </w:r>
      <w:r>
        <w:rPr>
          <w:color w:val="231F20"/>
          <w:spacing w:val="-7"/>
        </w:rPr>
        <w:t> </w:t>
      </w:r>
      <w:r>
        <w:rPr>
          <w:color w:val="231F20"/>
          <w:spacing w:val="-2"/>
        </w:rPr>
        <w:t>un</w:t>
      </w:r>
      <w:r>
        <w:rPr>
          <w:color w:val="231F20"/>
          <w:spacing w:val="-7"/>
        </w:rPr>
        <w:t> </w:t>
      </w:r>
      <w:r>
        <w:rPr>
          <w:color w:val="231F20"/>
          <w:spacing w:val="-2"/>
        </w:rPr>
        <w:t>fatto</w:t>
      </w:r>
      <w:r>
        <w:rPr>
          <w:color w:val="231F20"/>
          <w:spacing w:val="-7"/>
        </w:rPr>
        <w:t> </w:t>
      </w:r>
      <w:r>
        <w:rPr>
          <w:color w:val="231F20"/>
          <w:spacing w:val="-2"/>
        </w:rPr>
        <w:t>illecito</w:t>
      </w:r>
      <w:r>
        <w:rPr>
          <w:color w:val="231F20"/>
          <w:spacing w:val="-7"/>
        </w:rPr>
        <w:t> </w:t>
      </w:r>
      <w:r>
        <w:rPr>
          <w:color w:val="231F20"/>
          <w:spacing w:val="-2"/>
        </w:rPr>
        <w:t>anche</w:t>
      </w:r>
      <w:r>
        <w:rPr>
          <w:color w:val="231F20"/>
          <w:spacing w:val="-7"/>
        </w:rPr>
        <w:t> </w:t>
      </w:r>
      <w:r>
        <w:rPr>
          <w:color w:val="231F20"/>
          <w:spacing w:val="-2"/>
        </w:rPr>
        <w:t>se</w:t>
      </w:r>
      <w:r>
        <w:rPr>
          <w:color w:val="231F20"/>
          <w:spacing w:val="-7"/>
        </w:rPr>
        <w:t> </w:t>
      </w:r>
      <w:r>
        <w:rPr>
          <w:color w:val="231F20"/>
          <w:spacing w:val="-2"/>
        </w:rPr>
        <w:t>la</w:t>
      </w:r>
      <w:r>
        <w:rPr>
          <w:color w:val="231F20"/>
          <w:spacing w:val="-7"/>
        </w:rPr>
        <w:t> </w:t>
      </w:r>
      <w:r>
        <w:rPr>
          <w:color w:val="231F20"/>
          <w:spacing w:val="-2"/>
        </w:rPr>
        <w:t>comunicazione di</w:t>
      </w:r>
      <w:r>
        <w:rPr>
          <w:color w:val="231F20"/>
          <w:spacing w:val="-7"/>
        </w:rPr>
        <w:t> </w:t>
      </w:r>
      <w:r>
        <w:rPr>
          <w:color w:val="231F20"/>
          <w:spacing w:val="-2"/>
        </w:rPr>
        <w:t>informazioni</w:t>
      </w:r>
      <w:r>
        <w:rPr>
          <w:color w:val="231F20"/>
          <w:spacing w:val="-7"/>
        </w:rPr>
        <w:t> </w:t>
      </w:r>
      <w:r>
        <w:rPr>
          <w:color w:val="231F20"/>
          <w:spacing w:val="-2"/>
        </w:rPr>
        <w:t>riguardanti</w:t>
      </w:r>
      <w:r>
        <w:rPr>
          <w:color w:val="231F20"/>
          <w:spacing w:val="-7"/>
        </w:rPr>
        <w:t> </w:t>
      </w:r>
      <w:r>
        <w:rPr>
          <w:color w:val="231F20"/>
          <w:spacing w:val="-2"/>
        </w:rPr>
        <w:t>dei</w:t>
      </w:r>
      <w:r>
        <w:rPr>
          <w:color w:val="231F20"/>
          <w:spacing w:val="-7"/>
        </w:rPr>
        <w:t> </w:t>
      </w:r>
      <w:r>
        <w:rPr>
          <w:color w:val="231F20"/>
          <w:spacing w:val="-2"/>
        </w:rPr>
        <w:t>terzi</w:t>
      </w:r>
      <w:r>
        <w:rPr>
          <w:color w:val="231F20"/>
          <w:spacing w:val="-7"/>
        </w:rPr>
        <w:t> </w:t>
      </w:r>
      <w:r>
        <w:rPr>
          <w:color w:val="231F20"/>
          <w:spacing w:val="-2"/>
        </w:rPr>
        <w:t>interessati</w:t>
      </w:r>
      <w:r>
        <w:rPr>
          <w:color w:val="231F20"/>
          <w:spacing w:val="-7"/>
        </w:rPr>
        <w:t> </w:t>
      </w:r>
      <w:r>
        <w:rPr>
          <w:color w:val="231F20"/>
          <w:spacing w:val="-2"/>
        </w:rPr>
        <w:t>fosse</w:t>
      </w:r>
      <w:r>
        <w:rPr>
          <w:color w:val="231F20"/>
          <w:spacing w:val="-7"/>
        </w:rPr>
        <w:t> </w:t>
      </w:r>
      <w:r>
        <w:rPr>
          <w:color w:val="231F20"/>
          <w:spacing w:val="-2"/>
        </w:rPr>
        <w:t>in</w:t>
      </w:r>
      <w:r>
        <w:rPr>
          <w:color w:val="231F20"/>
          <w:spacing w:val="-7"/>
        </w:rPr>
        <w:t> </w:t>
      </w:r>
      <w:r>
        <w:rPr>
          <w:color w:val="231F20"/>
          <w:spacing w:val="-2"/>
        </w:rPr>
        <w:t>ipotesi</w:t>
      </w:r>
      <w:r>
        <w:rPr>
          <w:color w:val="231F20"/>
          <w:spacing w:val="-7"/>
        </w:rPr>
        <w:t> </w:t>
      </w:r>
      <w:r>
        <w:rPr>
          <w:color w:val="231F20"/>
          <w:spacing w:val="-2"/>
        </w:rPr>
        <w:t>suscettibile</w:t>
      </w:r>
      <w:r>
        <w:rPr>
          <w:color w:val="231F20"/>
          <w:spacing w:val="-7"/>
        </w:rPr>
        <w:t> </w:t>
      </w:r>
      <w:r>
        <w:rPr>
          <w:color w:val="231F20"/>
          <w:spacing w:val="-2"/>
        </w:rPr>
        <w:t>di ledere</w:t>
      </w:r>
      <w:r>
        <w:rPr>
          <w:color w:val="231F20"/>
          <w:spacing w:val="-15"/>
        </w:rPr>
        <w:t> </w:t>
      </w:r>
      <w:r>
        <w:rPr>
          <w:color w:val="231F20"/>
          <w:spacing w:val="-2"/>
        </w:rPr>
        <w:t>i</w:t>
      </w:r>
      <w:r>
        <w:rPr>
          <w:color w:val="231F20"/>
          <w:spacing w:val="-13"/>
        </w:rPr>
        <w:t> </w:t>
      </w:r>
      <w:r>
        <w:rPr>
          <w:color w:val="231F20"/>
          <w:spacing w:val="-2"/>
        </w:rPr>
        <w:t>diritti</w:t>
      </w:r>
      <w:r>
        <w:rPr>
          <w:color w:val="231F20"/>
          <w:spacing w:val="-13"/>
        </w:rPr>
        <w:t> </w:t>
      </w:r>
      <w:r>
        <w:rPr>
          <w:color w:val="231F20"/>
          <w:spacing w:val="-2"/>
        </w:rPr>
        <w:t>di</w:t>
      </w:r>
      <w:r>
        <w:rPr>
          <w:color w:val="231F20"/>
          <w:spacing w:val="-13"/>
        </w:rPr>
        <w:t> </w:t>
      </w:r>
      <w:r>
        <w:rPr>
          <w:color w:val="231F20"/>
          <w:spacing w:val="-2"/>
        </w:rPr>
        <w:t>questi</w:t>
      </w:r>
      <w:r>
        <w:rPr>
          <w:color w:val="231F20"/>
          <w:spacing w:val="-13"/>
        </w:rPr>
        <w:t> </w:t>
      </w:r>
      <w:r>
        <w:rPr>
          <w:color w:val="231F20"/>
          <w:spacing w:val="-2"/>
        </w:rPr>
        <w:t>ultimi.</w:t>
      </w:r>
      <w:r>
        <w:rPr>
          <w:color w:val="231F20"/>
          <w:spacing w:val="-13"/>
        </w:rPr>
        <w:t> </w:t>
      </w:r>
      <w:r>
        <w:rPr>
          <w:color w:val="231F20"/>
          <w:spacing w:val="-2"/>
        </w:rPr>
        <w:t>Forse</w:t>
      </w:r>
      <w:r>
        <w:rPr>
          <w:color w:val="231F20"/>
          <w:spacing w:val="-13"/>
        </w:rPr>
        <w:t> </w:t>
      </w:r>
      <w:r>
        <w:rPr>
          <w:color w:val="231F20"/>
          <w:spacing w:val="-2"/>
        </w:rPr>
        <w:t>l’illecito</w:t>
      </w:r>
      <w:r>
        <w:rPr>
          <w:color w:val="231F20"/>
          <w:spacing w:val="-13"/>
        </w:rPr>
        <w:t> </w:t>
      </w:r>
      <w:r>
        <w:rPr>
          <w:color w:val="231F20"/>
          <w:spacing w:val="-2"/>
        </w:rPr>
        <w:t>potrebbe</w:t>
      </w:r>
      <w:r>
        <w:rPr>
          <w:color w:val="231F20"/>
          <w:spacing w:val="-13"/>
        </w:rPr>
        <w:t> </w:t>
      </w:r>
      <w:r>
        <w:rPr>
          <w:color w:val="231F20"/>
          <w:spacing w:val="-2"/>
        </w:rPr>
        <w:t>consistere</w:t>
      </w:r>
      <w:r>
        <w:rPr>
          <w:color w:val="231F20"/>
          <w:spacing w:val="-13"/>
        </w:rPr>
        <w:t> </w:t>
      </w:r>
      <w:r>
        <w:rPr>
          <w:color w:val="231F20"/>
          <w:spacing w:val="-2"/>
        </w:rPr>
        <w:t>in</w:t>
      </w:r>
      <w:r>
        <w:rPr>
          <w:color w:val="231F20"/>
          <w:spacing w:val="-13"/>
        </w:rPr>
        <w:t> </w:t>
      </w:r>
      <w:r>
        <w:rPr>
          <w:color w:val="231F20"/>
          <w:spacing w:val="-2"/>
        </w:rPr>
        <w:t>un’errata </w:t>
      </w:r>
      <w:r>
        <w:rPr>
          <w:color w:val="231F20"/>
        </w:rPr>
        <w:t>valutazione, da parte dell’autorità interpellata, della «prevedibile pertinen- </w:t>
      </w:r>
      <w:r>
        <w:rPr>
          <w:color w:val="231F20"/>
          <w:spacing w:val="-2"/>
        </w:rPr>
        <w:t>za»</w:t>
      </w:r>
      <w:r>
        <w:rPr>
          <w:color w:val="231F20"/>
          <w:spacing w:val="-15"/>
        </w:rPr>
        <w:t> </w:t>
      </w:r>
      <w:r>
        <w:rPr>
          <w:color w:val="231F20"/>
          <w:spacing w:val="-2"/>
        </w:rPr>
        <w:t>delle</w:t>
      </w:r>
      <w:r>
        <w:rPr>
          <w:color w:val="231F20"/>
          <w:spacing w:val="-13"/>
        </w:rPr>
        <w:t> </w:t>
      </w:r>
      <w:r>
        <w:rPr>
          <w:color w:val="231F20"/>
          <w:spacing w:val="-2"/>
        </w:rPr>
        <w:t>informazioni</w:t>
      </w:r>
      <w:r>
        <w:rPr>
          <w:color w:val="231F20"/>
          <w:spacing w:val="-13"/>
        </w:rPr>
        <w:t> </w:t>
      </w:r>
      <w:r>
        <w:rPr>
          <w:color w:val="231F20"/>
          <w:spacing w:val="-2"/>
        </w:rPr>
        <w:t>richieste</w:t>
      </w:r>
      <w:r>
        <w:rPr>
          <w:color w:val="231F20"/>
          <w:spacing w:val="-13"/>
        </w:rPr>
        <w:t> </w:t>
      </w:r>
      <w:r>
        <w:rPr>
          <w:color w:val="231F20"/>
          <w:spacing w:val="-2"/>
        </w:rPr>
        <w:t>in</w:t>
      </w:r>
      <w:r>
        <w:rPr>
          <w:color w:val="231F20"/>
          <w:spacing w:val="-13"/>
        </w:rPr>
        <w:t> </w:t>
      </w:r>
      <w:r>
        <w:rPr>
          <w:color w:val="231F20"/>
          <w:spacing w:val="-2"/>
        </w:rPr>
        <w:t>relazione</w:t>
      </w:r>
      <w:r>
        <w:rPr>
          <w:color w:val="231F20"/>
          <w:spacing w:val="-13"/>
        </w:rPr>
        <w:t> </w:t>
      </w:r>
      <w:r>
        <w:rPr>
          <w:color w:val="231F20"/>
          <w:spacing w:val="-2"/>
        </w:rPr>
        <w:t>al</w:t>
      </w:r>
      <w:r>
        <w:rPr>
          <w:color w:val="231F20"/>
          <w:spacing w:val="-13"/>
        </w:rPr>
        <w:t> </w:t>
      </w:r>
      <w:r>
        <w:rPr>
          <w:color w:val="231F20"/>
          <w:spacing w:val="-2"/>
        </w:rPr>
        <w:t>procedimento</w:t>
      </w:r>
      <w:r>
        <w:rPr>
          <w:color w:val="231F20"/>
          <w:spacing w:val="-13"/>
        </w:rPr>
        <w:t> </w:t>
      </w:r>
      <w:r>
        <w:rPr>
          <w:color w:val="231F20"/>
          <w:spacing w:val="-2"/>
        </w:rPr>
        <w:t>di</w:t>
      </w:r>
      <w:r>
        <w:rPr>
          <w:color w:val="231F20"/>
          <w:spacing w:val="-13"/>
        </w:rPr>
        <w:t> </w:t>
      </w:r>
      <w:r>
        <w:rPr>
          <w:color w:val="231F20"/>
          <w:spacing w:val="-2"/>
        </w:rPr>
        <w:t>accertamento tributario</w:t>
      </w:r>
      <w:r>
        <w:rPr>
          <w:color w:val="231F20"/>
          <w:spacing w:val="-4"/>
        </w:rPr>
        <w:t> </w:t>
      </w:r>
      <w:r>
        <w:rPr>
          <w:color w:val="231F20"/>
          <w:spacing w:val="-2"/>
        </w:rPr>
        <w:t>condotto</w:t>
      </w:r>
      <w:r>
        <w:rPr>
          <w:color w:val="231F20"/>
          <w:spacing w:val="-4"/>
        </w:rPr>
        <w:t> </w:t>
      </w:r>
      <w:r>
        <w:rPr>
          <w:color w:val="231F20"/>
          <w:spacing w:val="-2"/>
        </w:rPr>
        <w:t>dall’autorità</w:t>
      </w:r>
      <w:r>
        <w:rPr>
          <w:color w:val="231F20"/>
          <w:spacing w:val="-4"/>
        </w:rPr>
        <w:t> </w:t>
      </w:r>
      <w:r>
        <w:rPr>
          <w:color w:val="231F20"/>
          <w:spacing w:val="-2"/>
        </w:rPr>
        <w:t>richiedente</w:t>
      </w:r>
      <w:r>
        <w:rPr>
          <w:color w:val="231F20"/>
          <w:spacing w:val="-4"/>
        </w:rPr>
        <w:t> </w:t>
      </w:r>
      <w:r>
        <w:rPr>
          <w:color w:val="231F20"/>
          <w:spacing w:val="-2"/>
        </w:rPr>
        <w:t>nello</w:t>
      </w:r>
      <w:r>
        <w:rPr>
          <w:color w:val="231F20"/>
          <w:spacing w:val="-4"/>
        </w:rPr>
        <w:t> </w:t>
      </w:r>
      <w:r>
        <w:rPr>
          <w:color w:val="231F20"/>
          <w:spacing w:val="-2"/>
        </w:rPr>
        <w:t>Stato</w:t>
      </w:r>
      <w:r>
        <w:rPr>
          <w:color w:val="231F20"/>
          <w:spacing w:val="-4"/>
        </w:rPr>
        <w:t> </w:t>
      </w:r>
      <w:r>
        <w:rPr>
          <w:color w:val="231F20"/>
          <w:spacing w:val="-2"/>
        </w:rPr>
        <w:t>membro</w:t>
      </w:r>
      <w:r>
        <w:rPr>
          <w:color w:val="231F20"/>
          <w:spacing w:val="-4"/>
        </w:rPr>
        <w:t> </w:t>
      </w:r>
      <w:r>
        <w:rPr>
          <w:color w:val="231F20"/>
          <w:spacing w:val="-2"/>
        </w:rPr>
        <w:t>di</w:t>
      </w:r>
      <w:r>
        <w:rPr>
          <w:color w:val="231F20"/>
          <w:spacing w:val="-4"/>
        </w:rPr>
        <w:t> </w:t>
      </w:r>
      <w:r>
        <w:rPr>
          <w:color w:val="231F20"/>
          <w:spacing w:val="-2"/>
        </w:rPr>
        <w:t>domici- </w:t>
      </w:r>
      <w:r>
        <w:rPr>
          <w:color w:val="231F20"/>
        </w:rPr>
        <w:t>lio</w:t>
      </w:r>
      <w:r>
        <w:rPr>
          <w:color w:val="231F20"/>
          <w:spacing w:val="-12"/>
        </w:rPr>
        <w:t> </w:t>
      </w:r>
      <w:r>
        <w:rPr>
          <w:color w:val="231F20"/>
        </w:rPr>
        <w:t>fiscale</w:t>
      </w:r>
      <w:r>
        <w:rPr>
          <w:color w:val="231F20"/>
          <w:spacing w:val="-12"/>
        </w:rPr>
        <w:t> </w:t>
      </w:r>
      <w:r>
        <w:rPr>
          <w:color w:val="231F20"/>
        </w:rPr>
        <w:t>del</w:t>
      </w:r>
      <w:r>
        <w:rPr>
          <w:color w:val="231F20"/>
          <w:spacing w:val="-12"/>
        </w:rPr>
        <w:t> </w:t>
      </w:r>
      <w:r>
        <w:rPr>
          <w:color w:val="231F20"/>
        </w:rPr>
        <w:t>contribuente</w:t>
      </w:r>
      <w:r>
        <w:rPr>
          <w:color w:val="231F20"/>
          <w:spacing w:val="-12"/>
        </w:rPr>
        <w:t> </w:t>
      </w:r>
      <w:r>
        <w:rPr>
          <w:color w:val="231F20"/>
        </w:rPr>
        <w:t>indagato.</w:t>
      </w:r>
      <w:r>
        <w:rPr>
          <w:color w:val="231F20"/>
          <w:spacing w:val="-14"/>
        </w:rPr>
        <w:t> </w:t>
      </w:r>
      <w:r>
        <w:rPr>
          <w:color w:val="231F20"/>
        </w:rPr>
        <w:t>Va</w:t>
      </w:r>
      <w:r>
        <w:rPr>
          <w:color w:val="231F20"/>
          <w:spacing w:val="-12"/>
        </w:rPr>
        <w:t> </w:t>
      </w:r>
      <w:r>
        <w:rPr>
          <w:color w:val="231F20"/>
        </w:rPr>
        <w:t>tuttavia</w:t>
      </w:r>
      <w:r>
        <w:rPr>
          <w:color w:val="231F20"/>
          <w:spacing w:val="-12"/>
        </w:rPr>
        <w:t> </w:t>
      </w:r>
      <w:r>
        <w:rPr>
          <w:color w:val="231F20"/>
        </w:rPr>
        <w:t>ricordato</w:t>
      </w:r>
      <w:r>
        <w:rPr>
          <w:color w:val="231F20"/>
          <w:spacing w:val="-12"/>
        </w:rPr>
        <w:t> </w:t>
      </w:r>
      <w:r>
        <w:rPr>
          <w:color w:val="231F20"/>
        </w:rPr>
        <w:t>che</w:t>
      </w:r>
      <w:r>
        <w:rPr>
          <w:color w:val="231F20"/>
          <w:spacing w:val="-12"/>
        </w:rPr>
        <w:t> </w:t>
      </w:r>
      <w:r>
        <w:rPr>
          <w:color w:val="231F20"/>
        </w:rPr>
        <w:t>nella</w:t>
      </w:r>
      <w:r>
        <w:rPr>
          <w:color w:val="231F20"/>
          <w:spacing w:val="-12"/>
        </w:rPr>
        <w:t> </w:t>
      </w:r>
      <w:r>
        <w:rPr>
          <w:color w:val="231F20"/>
        </w:rPr>
        <w:t>senten-</w:t>
      </w:r>
    </w:p>
    <w:p>
      <w:pPr>
        <w:pStyle w:val="BodyText"/>
        <w:spacing w:before="6"/>
        <w:rPr>
          <w:sz w:val="19"/>
        </w:rPr>
      </w:pPr>
      <w:r>
        <w:rPr/>
        <mc:AlternateContent>
          <mc:Choice Requires="wps">
            <w:drawing>
              <wp:anchor distT="0" distB="0" distL="0" distR="0" allowOverlap="1" layoutInCell="1" locked="0" behindDoc="1" simplePos="0" relativeHeight="487626752">
                <wp:simplePos x="0" y="0"/>
                <wp:positionH relativeFrom="page">
                  <wp:posOffset>899999</wp:posOffset>
                </wp:positionH>
                <wp:positionV relativeFrom="paragraph">
                  <wp:posOffset>172640</wp:posOffset>
                </wp:positionV>
                <wp:extent cx="792480" cy="1270"/>
                <wp:effectExtent l="0" t="0" r="0" b="0"/>
                <wp:wrapTopAndBottom/>
                <wp:docPr id="133" name="Graphic 133"/>
                <wp:cNvGraphicFramePr>
                  <a:graphicFrameLocks/>
                </wp:cNvGraphicFramePr>
                <a:graphic>
                  <a:graphicData uri="http://schemas.microsoft.com/office/word/2010/wordprocessingShape">
                    <wps:wsp>
                      <wps:cNvPr id="133" name="Graphic 133"/>
                      <wps:cNvSpPr/>
                      <wps:spPr>
                        <a:xfrm>
                          <a:off x="0" y="0"/>
                          <a:ext cx="792480" cy="1270"/>
                        </a:xfrm>
                        <a:custGeom>
                          <a:avLst/>
                          <a:gdLst/>
                          <a:ahLst/>
                          <a:cxnLst/>
                          <a:rect l="l" t="t" r="r" b="b"/>
                          <a:pathLst>
                            <a:path w="792480" h="0">
                              <a:moveTo>
                                <a:pt x="0" y="0"/>
                              </a:moveTo>
                              <a:lnTo>
                                <a:pt x="791997"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shape style="position:absolute;margin-left:70.866096pt;margin-top:13.59374pt;width:62.4pt;height:.1pt;mso-position-horizontal-relative:page;mso-position-vertical-relative:paragraph;z-index:-15689728;mso-wrap-distance-left:0;mso-wrap-distance-right:0" id="docshape110" coordorigin="1417,272" coordsize="1248,0" path="m1417,272l2665,272e" filled="false" stroked="true" strokeweight=".5pt" strokecolor="#231f20">
                <v:path arrowok="t"/>
                <v:stroke dashstyle="solid"/>
                <w10:wrap type="topAndBottom"/>
              </v:shape>
            </w:pict>
          </mc:Fallback>
        </mc:AlternateContent>
      </w:r>
    </w:p>
    <w:p>
      <w:pPr>
        <w:spacing w:line="235" w:lineRule="exact" w:before="190"/>
        <w:ind w:left="157" w:right="0" w:firstLine="0"/>
        <w:jc w:val="both"/>
        <w:rPr>
          <w:sz w:val="19"/>
        </w:rPr>
      </w:pPr>
      <w:r>
        <w:rPr>
          <w:color w:val="231F20"/>
          <w:position w:val="6"/>
          <w:sz w:val="11"/>
        </w:rPr>
        <w:t>94</w:t>
      </w:r>
      <w:r>
        <w:rPr>
          <w:color w:val="231F20"/>
          <w:spacing w:val="53"/>
          <w:position w:val="6"/>
          <w:sz w:val="11"/>
        </w:rPr>
        <w:t>  </w:t>
      </w:r>
      <w:r>
        <w:rPr>
          <w:color w:val="231F20"/>
          <w:sz w:val="19"/>
        </w:rPr>
        <w:t>Corte</w:t>
      </w:r>
      <w:r>
        <w:rPr>
          <w:color w:val="231F20"/>
          <w:spacing w:val="1"/>
          <w:sz w:val="19"/>
        </w:rPr>
        <w:t> </w:t>
      </w:r>
      <w:r>
        <w:rPr>
          <w:color w:val="231F20"/>
          <w:sz w:val="19"/>
        </w:rPr>
        <w:t>giust. UE,</w:t>
      </w:r>
      <w:r>
        <w:rPr>
          <w:color w:val="231F20"/>
          <w:spacing w:val="1"/>
          <w:sz w:val="19"/>
        </w:rPr>
        <w:t> </w:t>
      </w:r>
      <w:r>
        <w:rPr>
          <w:color w:val="231F20"/>
          <w:sz w:val="19"/>
        </w:rPr>
        <w:t>ult. cit., punti da 99 a </w:t>
      </w:r>
      <w:r>
        <w:rPr>
          <w:color w:val="231F20"/>
          <w:spacing w:val="-4"/>
          <w:sz w:val="19"/>
        </w:rPr>
        <w:t>102.</w:t>
      </w:r>
    </w:p>
    <w:p>
      <w:pPr>
        <w:spacing w:line="225" w:lineRule="auto" w:before="4"/>
        <w:ind w:left="157" w:right="117" w:firstLine="0"/>
        <w:jc w:val="both"/>
        <w:rPr>
          <w:i/>
          <w:sz w:val="19"/>
        </w:rPr>
      </w:pPr>
      <w:r>
        <w:rPr>
          <w:color w:val="231F20"/>
          <w:position w:val="6"/>
          <w:sz w:val="11"/>
        </w:rPr>
        <w:t>95</w:t>
      </w:r>
      <w:r>
        <w:rPr>
          <w:color w:val="231F20"/>
          <w:spacing w:val="80"/>
          <w:w w:val="150"/>
          <w:position w:val="6"/>
          <w:sz w:val="11"/>
        </w:rPr>
        <w:t> </w:t>
      </w:r>
      <w:r>
        <w:rPr>
          <w:color w:val="231F20"/>
          <w:sz w:val="19"/>
        </w:rPr>
        <w:t>Se</w:t>
      </w:r>
      <w:r>
        <w:rPr>
          <w:color w:val="231F20"/>
          <w:spacing w:val="-12"/>
          <w:sz w:val="19"/>
        </w:rPr>
        <w:t> </w:t>
      </w:r>
      <w:r>
        <w:rPr>
          <w:color w:val="231F20"/>
          <w:sz w:val="19"/>
        </w:rPr>
        <w:t>la</w:t>
      </w:r>
      <w:r>
        <w:rPr>
          <w:color w:val="231F20"/>
          <w:spacing w:val="-12"/>
          <w:sz w:val="19"/>
        </w:rPr>
        <w:t> </w:t>
      </w:r>
      <w:r>
        <w:rPr>
          <w:color w:val="231F20"/>
          <w:sz w:val="19"/>
        </w:rPr>
        <w:t>versione</w:t>
      </w:r>
      <w:r>
        <w:rPr>
          <w:color w:val="231F20"/>
          <w:spacing w:val="-12"/>
          <w:sz w:val="19"/>
        </w:rPr>
        <w:t> </w:t>
      </w:r>
      <w:r>
        <w:rPr>
          <w:color w:val="231F20"/>
          <w:sz w:val="19"/>
        </w:rPr>
        <w:t>italiana</w:t>
      </w:r>
      <w:r>
        <w:rPr>
          <w:color w:val="231F20"/>
          <w:spacing w:val="-12"/>
          <w:sz w:val="19"/>
        </w:rPr>
        <w:t> </w:t>
      </w:r>
      <w:r>
        <w:rPr>
          <w:color w:val="231F20"/>
          <w:sz w:val="19"/>
        </w:rPr>
        <w:t>dell’art.</w:t>
      </w:r>
      <w:r>
        <w:rPr>
          <w:color w:val="231F20"/>
          <w:spacing w:val="-12"/>
          <w:sz w:val="19"/>
        </w:rPr>
        <w:t> </w:t>
      </w:r>
      <w:r>
        <w:rPr>
          <w:color w:val="231F20"/>
          <w:sz w:val="19"/>
        </w:rPr>
        <w:t>5</w:t>
      </w:r>
      <w:r>
        <w:rPr>
          <w:color w:val="231F20"/>
          <w:spacing w:val="-11"/>
          <w:sz w:val="19"/>
        </w:rPr>
        <w:t> </w:t>
      </w:r>
      <w:r>
        <w:rPr>
          <w:color w:val="231F20"/>
          <w:sz w:val="19"/>
        </w:rPr>
        <w:t>della</w:t>
      </w:r>
      <w:r>
        <w:rPr>
          <w:color w:val="231F20"/>
          <w:spacing w:val="-12"/>
          <w:sz w:val="19"/>
        </w:rPr>
        <w:t> </w:t>
      </w:r>
      <w:r>
        <w:rPr>
          <w:color w:val="231F20"/>
          <w:sz w:val="19"/>
        </w:rPr>
        <w:t>direttiva</w:t>
      </w:r>
      <w:r>
        <w:rPr>
          <w:color w:val="231F20"/>
          <w:spacing w:val="-12"/>
          <w:sz w:val="19"/>
        </w:rPr>
        <w:t> </w:t>
      </w:r>
      <w:r>
        <w:rPr>
          <w:color w:val="231F20"/>
          <w:sz w:val="19"/>
        </w:rPr>
        <w:t>desse</w:t>
      </w:r>
      <w:r>
        <w:rPr>
          <w:color w:val="231F20"/>
          <w:spacing w:val="-12"/>
          <w:sz w:val="19"/>
        </w:rPr>
        <w:t> </w:t>
      </w:r>
      <w:r>
        <w:rPr>
          <w:color w:val="231F20"/>
          <w:sz w:val="19"/>
        </w:rPr>
        <w:t>adito</w:t>
      </w:r>
      <w:r>
        <w:rPr>
          <w:color w:val="231F20"/>
          <w:spacing w:val="-12"/>
          <w:sz w:val="19"/>
        </w:rPr>
        <w:t> </w:t>
      </w:r>
      <w:r>
        <w:rPr>
          <w:color w:val="231F20"/>
          <w:sz w:val="19"/>
        </w:rPr>
        <w:t>a</w:t>
      </w:r>
      <w:r>
        <w:rPr>
          <w:color w:val="231F20"/>
          <w:spacing w:val="-12"/>
          <w:sz w:val="19"/>
        </w:rPr>
        <w:t> </w:t>
      </w:r>
      <w:r>
        <w:rPr>
          <w:color w:val="231F20"/>
          <w:sz w:val="19"/>
        </w:rPr>
        <w:t>dubbi</w:t>
      </w:r>
      <w:r>
        <w:rPr>
          <w:color w:val="231F20"/>
          <w:spacing w:val="-11"/>
          <w:sz w:val="19"/>
        </w:rPr>
        <w:t> </w:t>
      </w:r>
      <w:r>
        <w:rPr>
          <w:color w:val="231F20"/>
          <w:sz w:val="19"/>
        </w:rPr>
        <w:t>circa</w:t>
      </w:r>
      <w:r>
        <w:rPr>
          <w:color w:val="231F20"/>
          <w:spacing w:val="-12"/>
          <w:sz w:val="19"/>
        </w:rPr>
        <w:t> </w:t>
      </w:r>
      <w:r>
        <w:rPr>
          <w:color w:val="231F20"/>
          <w:sz w:val="19"/>
        </w:rPr>
        <w:t>l’esistenza</w:t>
      </w:r>
      <w:r>
        <w:rPr>
          <w:color w:val="231F20"/>
          <w:spacing w:val="-12"/>
          <w:sz w:val="19"/>
        </w:rPr>
        <w:t> </w:t>
      </w:r>
      <w:r>
        <w:rPr>
          <w:color w:val="231F20"/>
          <w:sz w:val="19"/>
        </w:rPr>
        <w:t>di</w:t>
      </w:r>
      <w:r>
        <w:rPr>
          <w:color w:val="231F20"/>
          <w:spacing w:val="-12"/>
          <w:sz w:val="19"/>
        </w:rPr>
        <w:t> </w:t>
      </w:r>
      <w:r>
        <w:rPr>
          <w:color w:val="231F20"/>
          <w:sz w:val="19"/>
        </w:rPr>
        <w:t>un</w:t>
      </w:r>
      <w:r>
        <w:rPr>
          <w:color w:val="231F20"/>
          <w:spacing w:val="-12"/>
          <w:sz w:val="19"/>
        </w:rPr>
        <w:t> </w:t>
      </w:r>
      <w:r>
        <w:rPr>
          <w:color w:val="231F20"/>
          <w:sz w:val="19"/>
        </w:rPr>
        <w:t>vero e proprio obbligo, in capo all’autorità interpellata, di trasmettere le informazioni all’autorità richiedente,</w:t>
      </w:r>
      <w:r>
        <w:rPr>
          <w:color w:val="231F20"/>
          <w:spacing w:val="-4"/>
          <w:sz w:val="19"/>
        </w:rPr>
        <w:t> </w:t>
      </w:r>
      <w:r>
        <w:rPr>
          <w:color w:val="231F20"/>
          <w:sz w:val="19"/>
        </w:rPr>
        <w:t>la</w:t>
      </w:r>
      <w:r>
        <w:rPr>
          <w:color w:val="231F20"/>
          <w:spacing w:val="-4"/>
          <w:sz w:val="19"/>
        </w:rPr>
        <w:t> </w:t>
      </w:r>
      <w:r>
        <w:rPr>
          <w:color w:val="231F20"/>
          <w:sz w:val="19"/>
        </w:rPr>
        <w:t>versione</w:t>
      </w:r>
      <w:r>
        <w:rPr>
          <w:color w:val="231F20"/>
          <w:spacing w:val="-4"/>
          <w:sz w:val="19"/>
        </w:rPr>
        <w:t> </w:t>
      </w:r>
      <w:r>
        <w:rPr>
          <w:color w:val="231F20"/>
          <w:sz w:val="19"/>
        </w:rPr>
        <w:t>inglese</w:t>
      </w:r>
      <w:r>
        <w:rPr>
          <w:color w:val="231F20"/>
          <w:spacing w:val="-4"/>
          <w:sz w:val="19"/>
        </w:rPr>
        <w:t> </w:t>
      </w:r>
      <w:r>
        <w:rPr>
          <w:color w:val="231F20"/>
          <w:sz w:val="19"/>
        </w:rPr>
        <w:t>del</w:t>
      </w:r>
      <w:r>
        <w:rPr>
          <w:color w:val="231F20"/>
          <w:spacing w:val="-4"/>
          <w:sz w:val="19"/>
        </w:rPr>
        <w:t> </w:t>
      </w:r>
      <w:r>
        <w:rPr>
          <w:color w:val="231F20"/>
          <w:sz w:val="19"/>
        </w:rPr>
        <w:t>medesimo</w:t>
      </w:r>
      <w:r>
        <w:rPr>
          <w:color w:val="231F20"/>
          <w:spacing w:val="-4"/>
          <w:sz w:val="19"/>
        </w:rPr>
        <w:t> </w:t>
      </w:r>
      <w:r>
        <w:rPr>
          <w:color w:val="231F20"/>
          <w:sz w:val="19"/>
        </w:rPr>
        <w:t>art.</w:t>
      </w:r>
      <w:r>
        <w:rPr>
          <w:color w:val="231F20"/>
          <w:spacing w:val="-4"/>
          <w:sz w:val="19"/>
        </w:rPr>
        <w:t> </w:t>
      </w:r>
      <w:r>
        <w:rPr>
          <w:color w:val="231F20"/>
          <w:sz w:val="19"/>
        </w:rPr>
        <w:t>5</w:t>
      </w:r>
      <w:r>
        <w:rPr>
          <w:color w:val="231F20"/>
          <w:spacing w:val="-4"/>
          <w:sz w:val="19"/>
        </w:rPr>
        <w:t> </w:t>
      </w:r>
      <w:r>
        <w:rPr>
          <w:color w:val="231F20"/>
          <w:sz w:val="19"/>
        </w:rPr>
        <w:t>è</w:t>
      </w:r>
      <w:r>
        <w:rPr>
          <w:color w:val="231F20"/>
          <w:spacing w:val="-4"/>
          <w:sz w:val="19"/>
        </w:rPr>
        <w:t> </w:t>
      </w:r>
      <w:r>
        <w:rPr>
          <w:color w:val="231F20"/>
          <w:sz w:val="19"/>
        </w:rPr>
        <w:t>chiarissima</w:t>
      </w:r>
      <w:r>
        <w:rPr>
          <w:color w:val="231F20"/>
          <w:spacing w:val="-4"/>
          <w:sz w:val="19"/>
        </w:rPr>
        <w:t> </w:t>
      </w:r>
      <w:r>
        <w:rPr>
          <w:color w:val="231F20"/>
          <w:sz w:val="19"/>
        </w:rPr>
        <w:t>al</w:t>
      </w:r>
      <w:r>
        <w:rPr>
          <w:color w:val="231F20"/>
          <w:spacing w:val="-4"/>
          <w:sz w:val="19"/>
        </w:rPr>
        <w:t> </w:t>
      </w:r>
      <w:r>
        <w:rPr>
          <w:color w:val="231F20"/>
          <w:sz w:val="19"/>
        </w:rPr>
        <w:t>riguardo</w:t>
      </w:r>
      <w:r>
        <w:rPr>
          <w:color w:val="231F20"/>
          <w:spacing w:val="-4"/>
          <w:sz w:val="19"/>
        </w:rPr>
        <w:t> </w:t>
      </w:r>
      <w:r>
        <w:rPr>
          <w:color w:val="231F20"/>
          <w:sz w:val="19"/>
        </w:rPr>
        <w:t>in</w:t>
      </w:r>
      <w:r>
        <w:rPr>
          <w:color w:val="231F20"/>
          <w:spacing w:val="-4"/>
          <w:sz w:val="19"/>
        </w:rPr>
        <w:t> </w:t>
      </w:r>
      <w:r>
        <w:rPr>
          <w:color w:val="231F20"/>
          <w:sz w:val="19"/>
        </w:rPr>
        <w:t>quanto</w:t>
      </w:r>
      <w:r>
        <w:rPr>
          <w:color w:val="231F20"/>
          <w:spacing w:val="-4"/>
          <w:sz w:val="19"/>
        </w:rPr>
        <w:t> </w:t>
      </w:r>
      <w:r>
        <w:rPr>
          <w:color w:val="231F20"/>
          <w:sz w:val="19"/>
        </w:rPr>
        <w:t>utilizza il</w:t>
      </w:r>
      <w:r>
        <w:rPr>
          <w:color w:val="231F20"/>
          <w:spacing w:val="-5"/>
          <w:sz w:val="19"/>
        </w:rPr>
        <w:t> </w:t>
      </w:r>
      <w:r>
        <w:rPr>
          <w:color w:val="231F20"/>
          <w:sz w:val="19"/>
        </w:rPr>
        <w:t>verbo</w:t>
      </w:r>
      <w:r>
        <w:rPr>
          <w:color w:val="231F20"/>
          <w:spacing w:val="-5"/>
          <w:sz w:val="19"/>
        </w:rPr>
        <w:t> </w:t>
      </w:r>
      <w:r>
        <w:rPr>
          <w:color w:val="231F20"/>
          <w:sz w:val="19"/>
        </w:rPr>
        <w:t>ausiliare</w:t>
      </w:r>
      <w:r>
        <w:rPr>
          <w:color w:val="231F20"/>
          <w:spacing w:val="-5"/>
          <w:sz w:val="19"/>
        </w:rPr>
        <w:t> </w:t>
      </w:r>
      <w:r>
        <w:rPr>
          <w:color w:val="231F20"/>
          <w:sz w:val="19"/>
        </w:rPr>
        <w:t>«</w:t>
      </w:r>
      <w:r>
        <w:rPr>
          <w:i/>
          <w:color w:val="231F20"/>
          <w:sz w:val="19"/>
        </w:rPr>
        <w:t>shall</w:t>
      </w:r>
      <w:r>
        <w:rPr>
          <w:color w:val="231F20"/>
          <w:sz w:val="19"/>
        </w:rPr>
        <w:t>»</w:t>
      </w:r>
      <w:r>
        <w:rPr>
          <w:i/>
          <w:color w:val="231F20"/>
          <w:sz w:val="19"/>
        </w:rPr>
        <w:t>:</w:t>
      </w:r>
      <w:r>
        <w:rPr>
          <w:i/>
          <w:color w:val="231F20"/>
          <w:spacing w:val="-5"/>
          <w:sz w:val="19"/>
        </w:rPr>
        <w:t> </w:t>
      </w:r>
      <w:r>
        <w:rPr>
          <w:color w:val="231F20"/>
          <w:sz w:val="19"/>
        </w:rPr>
        <w:t>«...</w:t>
      </w:r>
      <w:r>
        <w:rPr>
          <w:color w:val="231F20"/>
          <w:spacing w:val="-5"/>
          <w:sz w:val="19"/>
        </w:rPr>
        <w:t> </w:t>
      </w:r>
      <w:r>
        <w:rPr>
          <w:color w:val="231F20"/>
          <w:sz w:val="19"/>
        </w:rPr>
        <w:t>the</w:t>
      </w:r>
      <w:r>
        <w:rPr>
          <w:color w:val="231F20"/>
          <w:spacing w:val="-5"/>
          <w:sz w:val="19"/>
        </w:rPr>
        <w:t> </w:t>
      </w:r>
      <w:r>
        <w:rPr>
          <w:i/>
          <w:color w:val="231F20"/>
          <w:sz w:val="19"/>
        </w:rPr>
        <w:t>requested</w:t>
      </w:r>
      <w:r>
        <w:rPr>
          <w:i/>
          <w:color w:val="231F20"/>
          <w:spacing w:val="-5"/>
          <w:sz w:val="19"/>
        </w:rPr>
        <w:t> </w:t>
      </w:r>
      <w:r>
        <w:rPr>
          <w:i/>
          <w:color w:val="231F20"/>
          <w:sz w:val="19"/>
        </w:rPr>
        <w:t>authority</w:t>
      </w:r>
      <w:r>
        <w:rPr>
          <w:i/>
          <w:color w:val="231F20"/>
          <w:spacing w:val="-5"/>
          <w:sz w:val="19"/>
        </w:rPr>
        <w:t> </w:t>
      </w:r>
      <w:r>
        <w:rPr>
          <w:i/>
          <w:color w:val="231F20"/>
          <w:sz w:val="19"/>
        </w:rPr>
        <w:t>shall</w:t>
      </w:r>
      <w:r>
        <w:rPr>
          <w:i/>
          <w:color w:val="231F20"/>
          <w:spacing w:val="-5"/>
          <w:sz w:val="19"/>
        </w:rPr>
        <w:t> </w:t>
      </w:r>
      <w:r>
        <w:rPr>
          <w:i/>
          <w:color w:val="231F20"/>
          <w:sz w:val="19"/>
        </w:rPr>
        <w:t>communicate</w:t>
      </w:r>
      <w:r>
        <w:rPr>
          <w:i/>
          <w:color w:val="231F20"/>
          <w:spacing w:val="-5"/>
          <w:sz w:val="19"/>
        </w:rPr>
        <w:t> </w:t>
      </w:r>
      <w:r>
        <w:rPr>
          <w:i/>
          <w:color w:val="231F20"/>
          <w:sz w:val="19"/>
        </w:rPr>
        <w:t>to</w:t>
      </w:r>
      <w:r>
        <w:rPr>
          <w:i/>
          <w:color w:val="231F20"/>
          <w:spacing w:val="-5"/>
          <w:sz w:val="19"/>
        </w:rPr>
        <w:t> </w:t>
      </w:r>
      <w:r>
        <w:rPr>
          <w:i/>
          <w:color w:val="231F20"/>
          <w:sz w:val="19"/>
        </w:rPr>
        <w:t>the</w:t>
      </w:r>
      <w:r>
        <w:rPr>
          <w:i/>
          <w:color w:val="231F20"/>
          <w:spacing w:val="-5"/>
          <w:sz w:val="19"/>
        </w:rPr>
        <w:t> </w:t>
      </w:r>
      <w:r>
        <w:rPr>
          <w:i/>
          <w:color w:val="231F20"/>
          <w:sz w:val="19"/>
        </w:rPr>
        <w:t>requesting</w:t>
      </w:r>
      <w:r>
        <w:rPr>
          <w:i/>
          <w:color w:val="231F20"/>
          <w:spacing w:val="-5"/>
          <w:sz w:val="19"/>
        </w:rPr>
        <w:t> </w:t>
      </w:r>
      <w:r>
        <w:rPr>
          <w:i/>
          <w:color w:val="231F20"/>
          <w:sz w:val="19"/>
        </w:rPr>
        <w:t>authority</w:t>
      </w:r>
      <w:r>
        <w:rPr>
          <w:i/>
          <w:color w:val="231F20"/>
          <w:sz w:val="19"/>
        </w:rPr>
        <w:t> any information[...]that it has in its possession...».</w:t>
      </w:r>
    </w:p>
    <w:p>
      <w:pPr>
        <w:spacing w:after="0" w:line="225" w:lineRule="auto"/>
        <w:jc w:val="both"/>
        <w:rPr>
          <w:sz w:val="19"/>
        </w:rPr>
        <w:sectPr>
          <w:pgSz w:w="9640" w:h="13610"/>
          <w:pgMar w:header="0" w:footer="625" w:top="1260" w:bottom="820" w:left="1260" w:right="1240"/>
        </w:sectPr>
      </w:pPr>
    </w:p>
    <w:p>
      <w:pPr>
        <w:pStyle w:val="BodyText"/>
        <w:spacing w:line="225" w:lineRule="auto" w:before="117"/>
        <w:ind w:left="100" w:right="174"/>
        <w:jc w:val="both"/>
      </w:pPr>
      <w:r>
        <w:rPr>
          <w:color w:val="231F20"/>
        </w:rPr>
        <w:t>za</w:t>
      </w:r>
      <w:r>
        <w:rPr>
          <w:color w:val="231F20"/>
          <w:spacing w:val="-4"/>
        </w:rPr>
        <w:t> </w:t>
      </w:r>
      <w:r>
        <w:rPr>
          <w:i/>
          <w:color w:val="231F20"/>
        </w:rPr>
        <w:t>Berlioz</w:t>
      </w:r>
      <w:r>
        <w:rPr>
          <w:i/>
          <w:color w:val="231F20"/>
          <w:spacing w:val="-4"/>
        </w:rPr>
        <w:t> </w:t>
      </w:r>
      <w:r>
        <w:rPr>
          <w:color w:val="231F20"/>
        </w:rPr>
        <w:t>sopra</w:t>
      </w:r>
      <w:r>
        <w:rPr>
          <w:color w:val="231F20"/>
          <w:spacing w:val="-4"/>
        </w:rPr>
        <w:t> </w:t>
      </w:r>
      <w:r>
        <w:rPr>
          <w:color w:val="231F20"/>
        </w:rPr>
        <w:t>esaminata,</w:t>
      </w:r>
      <w:r>
        <w:rPr>
          <w:color w:val="231F20"/>
          <w:spacing w:val="-4"/>
        </w:rPr>
        <w:t> </w:t>
      </w:r>
      <w:r>
        <w:rPr>
          <w:color w:val="231F20"/>
        </w:rPr>
        <w:t>la</w:t>
      </w:r>
      <w:r>
        <w:rPr>
          <w:color w:val="231F20"/>
          <w:spacing w:val="-4"/>
        </w:rPr>
        <w:t> </w:t>
      </w:r>
      <w:r>
        <w:rPr>
          <w:color w:val="231F20"/>
        </w:rPr>
        <w:t>Corte</w:t>
      </w:r>
      <w:r>
        <w:rPr>
          <w:color w:val="231F20"/>
          <w:spacing w:val="-4"/>
        </w:rPr>
        <w:t> </w:t>
      </w:r>
      <w:r>
        <w:rPr>
          <w:color w:val="231F20"/>
        </w:rPr>
        <w:t>di</w:t>
      </w:r>
      <w:r>
        <w:rPr>
          <w:color w:val="231F20"/>
          <w:spacing w:val="-4"/>
        </w:rPr>
        <w:t> </w:t>
      </w:r>
      <w:r>
        <w:rPr>
          <w:color w:val="231F20"/>
        </w:rPr>
        <w:t>giustizia</w:t>
      </w:r>
      <w:r>
        <w:rPr>
          <w:color w:val="231F20"/>
          <w:spacing w:val="-4"/>
        </w:rPr>
        <w:t> </w:t>
      </w:r>
      <w:r>
        <w:rPr>
          <w:color w:val="231F20"/>
        </w:rPr>
        <w:t>ha</w:t>
      </w:r>
      <w:r>
        <w:rPr>
          <w:color w:val="231F20"/>
          <w:spacing w:val="-4"/>
        </w:rPr>
        <w:t> </w:t>
      </w:r>
      <w:r>
        <w:rPr>
          <w:color w:val="231F20"/>
        </w:rPr>
        <w:t>riconosciuto</w:t>
      </w:r>
      <w:r>
        <w:rPr>
          <w:color w:val="231F20"/>
          <w:spacing w:val="-4"/>
        </w:rPr>
        <w:t> </w:t>
      </w:r>
      <w:r>
        <w:rPr>
          <w:color w:val="231F20"/>
        </w:rPr>
        <w:t>all’autorità richiedente un ampio margine di apprezzamento discrezionale nella scelta delle</w:t>
      </w:r>
      <w:r>
        <w:rPr>
          <w:color w:val="231F20"/>
          <w:spacing w:val="-7"/>
        </w:rPr>
        <w:t> </w:t>
      </w:r>
      <w:r>
        <w:rPr>
          <w:color w:val="231F20"/>
        </w:rPr>
        <w:t>informazioni</w:t>
      </w:r>
      <w:r>
        <w:rPr>
          <w:color w:val="231F20"/>
          <w:spacing w:val="-7"/>
        </w:rPr>
        <w:t> </w:t>
      </w:r>
      <w:r>
        <w:rPr>
          <w:color w:val="231F20"/>
        </w:rPr>
        <w:t>da</w:t>
      </w:r>
      <w:r>
        <w:rPr>
          <w:color w:val="231F20"/>
          <w:spacing w:val="-7"/>
        </w:rPr>
        <w:t> </w:t>
      </w:r>
      <w:r>
        <w:rPr>
          <w:color w:val="231F20"/>
        </w:rPr>
        <w:t>richiedere</w:t>
      </w:r>
      <w:r>
        <w:rPr>
          <w:color w:val="231F20"/>
          <w:spacing w:val="-7"/>
        </w:rPr>
        <w:t> </w:t>
      </w:r>
      <w:r>
        <w:rPr>
          <w:color w:val="231F20"/>
        </w:rPr>
        <w:t>all’amministrazione</w:t>
      </w:r>
      <w:r>
        <w:rPr>
          <w:color w:val="231F20"/>
          <w:spacing w:val="-7"/>
        </w:rPr>
        <w:t> </w:t>
      </w:r>
      <w:r>
        <w:rPr>
          <w:color w:val="231F20"/>
        </w:rPr>
        <w:t>finanziaria</w:t>
      </w:r>
      <w:r>
        <w:rPr>
          <w:color w:val="231F20"/>
          <w:spacing w:val="-7"/>
        </w:rPr>
        <w:t> </w:t>
      </w:r>
      <w:r>
        <w:rPr>
          <w:color w:val="231F20"/>
        </w:rPr>
        <w:t>di</w:t>
      </w:r>
      <w:r>
        <w:rPr>
          <w:color w:val="231F20"/>
          <w:spacing w:val="-7"/>
        </w:rPr>
        <w:t> </w:t>
      </w:r>
      <w:r>
        <w:rPr>
          <w:color w:val="231F20"/>
        </w:rPr>
        <w:t>un</w:t>
      </w:r>
      <w:r>
        <w:rPr>
          <w:color w:val="231F20"/>
          <w:spacing w:val="-7"/>
        </w:rPr>
        <w:t> </w:t>
      </w:r>
      <w:r>
        <w:rPr>
          <w:color w:val="231F20"/>
        </w:rPr>
        <w:t>altro Stato</w:t>
      </w:r>
      <w:r>
        <w:rPr>
          <w:color w:val="231F20"/>
          <w:spacing w:val="-2"/>
        </w:rPr>
        <w:t> </w:t>
      </w:r>
      <w:r>
        <w:rPr>
          <w:color w:val="231F20"/>
        </w:rPr>
        <w:t>membro</w:t>
      </w:r>
      <w:r>
        <w:rPr>
          <w:color w:val="231F20"/>
          <w:position w:val="8"/>
          <w:sz w:val="14"/>
        </w:rPr>
        <w:t>96</w:t>
      </w:r>
      <w:r>
        <w:rPr>
          <w:color w:val="231F20"/>
        </w:rPr>
        <w:t>,</w:t>
      </w:r>
      <w:r>
        <w:rPr>
          <w:color w:val="231F20"/>
          <w:spacing w:val="-2"/>
        </w:rPr>
        <w:t> </w:t>
      </w:r>
      <w:r>
        <w:rPr>
          <w:color w:val="231F20"/>
        </w:rPr>
        <w:t>di</w:t>
      </w:r>
      <w:r>
        <w:rPr>
          <w:color w:val="231F20"/>
          <w:spacing w:val="-2"/>
        </w:rPr>
        <w:t> </w:t>
      </w:r>
      <w:r>
        <w:rPr>
          <w:color w:val="231F20"/>
        </w:rPr>
        <w:t>modo</w:t>
      </w:r>
      <w:r>
        <w:rPr>
          <w:color w:val="231F20"/>
          <w:spacing w:val="-2"/>
        </w:rPr>
        <w:t> </w:t>
      </w:r>
      <w:r>
        <w:rPr>
          <w:color w:val="231F20"/>
        </w:rPr>
        <w:t>che</w:t>
      </w:r>
      <w:r>
        <w:rPr>
          <w:color w:val="231F20"/>
          <w:spacing w:val="-2"/>
        </w:rPr>
        <w:t> </w:t>
      </w:r>
      <w:r>
        <w:rPr>
          <w:color w:val="231F20"/>
        </w:rPr>
        <w:t>a</w:t>
      </w:r>
      <w:r>
        <w:rPr>
          <w:color w:val="231F20"/>
          <w:spacing w:val="-2"/>
        </w:rPr>
        <w:t> </w:t>
      </w:r>
      <w:r>
        <w:rPr>
          <w:color w:val="231F20"/>
        </w:rPr>
        <w:t>quest’ultima</w:t>
      </w:r>
      <w:r>
        <w:rPr>
          <w:color w:val="231F20"/>
          <w:spacing w:val="-2"/>
        </w:rPr>
        <w:t> </w:t>
      </w:r>
      <w:r>
        <w:rPr>
          <w:color w:val="231F20"/>
        </w:rPr>
        <w:t>residua</w:t>
      </w:r>
      <w:r>
        <w:rPr>
          <w:color w:val="231F20"/>
          <w:spacing w:val="-2"/>
        </w:rPr>
        <w:t> </w:t>
      </w:r>
      <w:r>
        <w:rPr>
          <w:color w:val="231F20"/>
        </w:rPr>
        <w:t>un</w:t>
      </w:r>
      <w:r>
        <w:rPr>
          <w:color w:val="231F20"/>
          <w:spacing w:val="-2"/>
        </w:rPr>
        <w:t> </w:t>
      </w:r>
      <w:r>
        <w:rPr>
          <w:color w:val="231F20"/>
        </w:rPr>
        <w:t>esiguo</w:t>
      </w:r>
      <w:r>
        <w:rPr>
          <w:color w:val="231F20"/>
          <w:spacing w:val="-2"/>
        </w:rPr>
        <w:t> </w:t>
      </w:r>
      <w:r>
        <w:rPr>
          <w:color w:val="231F20"/>
        </w:rPr>
        <w:t>margine</w:t>
      </w:r>
      <w:r>
        <w:rPr>
          <w:color w:val="231F20"/>
          <w:spacing w:val="-2"/>
        </w:rPr>
        <w:t> </w:t>
      </w:r>
      <w:r>
        <w:rPr>
          <w:color w:val="231F20"/>
        </w:rPr>
        <w:t>di </w:t>
      </w:r>
      <w:r>
        <w:rPr>
          <w:color w:val="231F20"/>
          <w:spacing w:val="-2"/>
        </w:rPr>
        <w:t>apprezzamento</w:t>
      </w:r>
      <w:r>
        <w:rPr>
          <w:color w:val="231F20"/>
          <w:spacing w:val="-11"/>
        </w:rPr>
        <w:t> </w:t>
      </w:r>
      <w:r>
        <w:rPr>
          <w:color w:val="231F20"/>
          <w:spacing w:val="-2"/>
        </w:rPr>
        <w:t>limitato</w:t>
      </w:r>
      <w:r>
        <w:rPr>
          <w:color w:val="231F20"/>
          <w:spacing w:val="-11"/>
        </w:rPr>
        <w:t> </w:t>
      </w:r>
      <w:r>
        <w:rPr>
          <w:color w:val="231F20"/>
          <w:spacing w:val="-2"/>
        </w:rPr>
        <w:t>alla</w:t>
      </w:r>
      <w:r>
        <w:rPr>
          <w:color w:val="231F20"/>
          <w:spacing w:val="-11"/>
        </w:rPr>
        <w:t> </w:t>
      </w:r>
      <w:r>
        <w:rPr>
          <w:color w:val="231F20"/>
          <w:spacing w:val="-2"/>
        </w:rPr>
        <w:t>verifica</w:t>
      </w:r>
      <w:r>
        <w:rPr>
          <w:color w:val="231F20"/>
          <w:spacing w:val="-11"/>
        </w:rPr>
        <w:t> </w:t>
      </w:r>
      <w:r>
        <w:rPr>
          <w:color w:val="231F20"/>
          <w:spacing w:val="-2"/>
        </w:rPr>
        <w:t>di</w:t>
      </w:r>
      <w:r>
        <w:rPr>
          <w:color w:val="231F20"/>
          <w:spacing w:val="-11"/>
        </w:rPr>
        <w:t> </w:t>
      </w:r>
      <w:r>
        <w:rPr>
          <w:color w:val="231F20"/>
          <w:spacing w:val="-2"/>
        </w:rPr>
        <w:t>un’eventuale</w:t>
      </w:r>
      <w:r>
        <w:rPr>
          <w:color w:val="231F20"/>
          <w:spacing w:val="-11"/>
        </w:rPr>
        <w:t> </w:t>
      </w:r>
      <w:r>
        <w:rPr>
          <w:color w:val="231F20"/>
          <w:spacing w:val="-2"/>
        </w:rPr>
        <w:t>totale</w:t>
      </w:r>
      <w:r>
        <w:rPr>
          <w:color w:val="231F20"/>
          <w:spacing w:val="-11"/>
        </w:rPr>
        <w:t> </w:t>
      </w:r>
      <w:r>
        <w:rPr>
          <w:color w:val="231F20"/>
          <w:spacing w:val="-2"/>
        </w:rPr>
        <w:t>assenza</w:t>
      </w:r>
      <w:r>
        <w:rPr>
          <w:color w:val="231F20"/>
          <w:spacing w:val="-11"/>
        </w:rPr>
        <w:t> </w:t>
      </w:r>
      <w:r>
        <w:rPr>
          <w:color w:val="231F20"/>
          <w:spacing w:val="-2"/>
        </w:rPr>
        <w:t>di</w:t>
      </w:r>
      <w:r>
        <w:rPr>
          <w:color w:val="231F20"/>
          <w:spacing w:val="-11"/>
        </w:rPr>
        <w:t> </w:t>
      </w:r>
      <w:r>
        <w:rPr>
          <w:color w:val="231F20"/>
          <w:spacing w:val="-2"/>
        </w:rPr>
        <w:t>«qualsi- asi</w:t>
      </w:r>
      <w:r>
        <w:rPr>
          <w:color w:val="231F20"/>
          <w:spacing w:val="-5"/>
        </w:rPr>
        <w:t> </w:t>
      </w:r>
      <w:r>
        <w:rPr>
          <w:color w:val="231F20"/>
          <w:spacing w:val="-2"/>
        </w:rPr>
        <w:t>prevedibile</w:t>
      </w:r>
      <w:r>
        <w:rPr>
          <w:color w:val="231F20"/>
          <w:spacing w:val="-5"/>
        </w:rPr>
        <w:t> </w:t>
      </w:r>
      <w:r>
        <w:rPr>
          <w:color w:val="231F20"/>
          <w:spacing w:val="-2"/>
        </w:rPr>
        <w:t>pertinenza»</w:t>
      </w:r>
      <w:r>
        <w:rPr>
          <w:color w:val="231F20"/>
          <w:spacing w:val="-4"/>
        </w:rPr>
        <w:t> </w:t>
      </w:r>
      <w:r>
        <w:rPr>
          <w:color w:val="231F20"/>
          <w:spacing w:val="-2"/>
        </w:rPr>
        <w:t>delle</w:t>
      </w:r>
      <w:r>
        <w:rPr>
          <w:color w:val="231F20"/>
          <w:spacing w:val="-5"/>
        </w:rPr>
        <w:t> </w:t>
      </w:r>
      <w:r>
        <w:rPr>
          <w:color w:val="231F20"/>
          <w:spacing w:val="-2"/>
        </w:rPr>
        <w:t>informazioni</w:t>
      </w:r>
      <w:r>
        <w:rPr>
          <w:color w:val="231F20"/>
          <w:spacing w:val="-5"/>
        </w:rPr>
        <w:t> </w:t>
      </w:r>
      <w:r>
        <w:rPr>
          <w:color w:val="231F20"/>
          <w:spacing w:val="-2"/>
        </w:rPr>
        <w:t>richieste</w:t>
      </w:r>
      <w:r>
        <w:rPr>
          <w:color w:val="231F20"/>
          <w:spacing w:val="-5"/>
        </w:rPr>
        <w:t> </w:t>
      </w:r>
      <w:r>
        <w:rPr>
          <w:color w:val="231F20"/>
          <w:spacing w:val="-2"/>
        </w:rPr>
        <w:t>dall’amministrazione </w:t>
      </w:r>
      <w:r>
        <w:rPr>
          <w:color w:val="231F20"/>
        </w:rPr>
        <w:t>dello</w:t>
      </w:r>
      <w:r>
        <w:rPr>
          <w:color w:val="231F20"/>
          <w:spacing w:val="-4"/>
        </w:rPr>
        <w:t> </w:t>
      </w:r>
      <w:r>
        <w:rPr>
          <w:color w:val="231F20"/>
        </w:rPr>
        <w:t>Stato</w:t>
      </w:r>
      <w:r>
        <w:rPr>
          <w:color w:val="231F20"/>
          <w:spacing w:val="-4"/>
        </w:rPr>
        <w:t> </w:t>
      </w:r>
      <w:r>
        <w:rPr>
          <w:color w:val="231F20"/>
        </w:rPr>
        <w:t>membro</w:t>
      </w:r>
      <w:r>
        <w:rPr>
          <w:color w:val="231F20"/>
          <w:spacing w:val="-4"/>
        </w:rPr>
        <w:t> </w:t>
      </w:r>
      <w:r>
        <w:rPr>
          <w:color w:val="231F20"/>
        </w:rPr>
        <w:t>di</w:t>
      </w:r>
      <w:r>
        <w:rPr>
          <w:color w:val="231F20"/>
          <w:spacing w:val="-4"/>
        </w:rPr>
        <w:t> </w:t>
      </w:r>
      <w:r>
        <w:rPr>
          <w:color w:val="231F20"/>
        </w:rPr>
        <w:t>domicilio</w:t>
      </w:r>
      <w:r>
        <w:rPr>
          <w:color w:val="231F20"/>
          <w:spacing w:val="-4"/>
        </w:rPr>
        <w:t> </w:t>
      </w:r>
      <w:r>
        <w:rPr>
          <w:color w:val="231F20"/>
        </w:rPr>
        <w:t>fiscale</w:t>
      </w:r>
      <w:r>
        <w:rPr>
          <w:color w:val="231F20"/>
          <w:spacing w:val="-4"/>
        </w:rPr>
        <w:t> </w:t>
      </w:r>
      <w:r>
        <w:rPr>
          <w:color w:val="231F20"/>
        </w:rPr>
        <w:t>del</w:t>
      </w:r>
      <w:r>
        <w:rPr>
          <w:color w:val="231F20"/>
          <w:spacing w:val="-4"/>
        </w:rPr>
        <w:t> </w:t>
      </w:r>
      <w:r>
        <w:rPr>
          <w:color w:val="231F20"/>
        </w:rPr>
        <w:t>contribuente</w:t>
      </w:r>
      <w:r>
        <w:rPr>
          <w:color w:val="231F20"/>
          <w:position w:val="8"/>
          <w:sz w:val="14"/>
        </w:rPr>
        <w:t>97</w:t>
      </w:r>
      <w:r>
        <w:rPr>
          <w:color w:val="231F20"/>
        </w:rPr>
        <w:t>.</w:t>
      </w:r>
      <w:r>
        <w:rPr>
          <w:color w:val="231F20"/>
          <w:spacing w:val="-4"/>
        </w:rPr>
        <w:t> </w:t>
      </w:r>
      <w:r>
        <w:rPr>
          <w:color w:val="231F20"/>
        </w:rPr>
        <w:t>L’eventuale</w:t>
      </w:r>
      <w:r>
        <w:rPr>
          <w:color w:val="231F20"/>
          <w:spacing w:val="-4"/>
        </w:rPr>
        <w:t> </w:t>
      </w:r>
      <w:r>
        <w:rPr>
          <w:color w:val="231F20"/>
        </w:rPr>
        <w:t>re- sponsabilità</w:t>
      </w:r>
      <w:r>
        <w:rPr>
          <w:color w:val="231F20"/>
          <w:spacing w:val="-10"/>
        </w:rPr>
        <w:t> </w:t>
      </w:r>
      <w:r>
        <w:rPr>
          <w:color w:val="231F20"/>
        </w:rPr>
        <w:t>per</w:t>
      </w:r>
      <w:r>
        <w:rPr>
          <w:color w:val="231F20"/>
          <w:spacing w:val="-10"/>
        </w:rPr>
        <w:t> </w:t>
      </w:r>
      <w:r>
        <w:rPr>
          <w:color w:val="231F20"/>
        </w:rPr>
        <w:t>danni</w:t>
      </w:r>
      <w:r>
        <w:rPr>
          <w:color w:val="231F20"/>
          <w:spacing w:val="-10"/>
        </w:rPr>
        <w:t> </w:t>
      </w:r>
      <w:r>
        <w:rPr>
          <w:color w:val="231F20"/>
        </w:rPr>
        <w:t>che</w:t>
      </w:r>
      <w:r>
        <w:rPr>
          <w:color w:val="231F20"/>
          <w:spacing w:val="-10"/>
        </w:rPr>
        <w:t> </w:t>
      </w:r>
      <w:r>
        <w:rPr>
          <w:color w:val="231F20"/>
        </w:rPr>
        <w:t>potrebbe</w:t>
      </w:r>
      <w:r>
        <w:rPr>
          <w:color w:val="231F20"/>
          <w:spacing w:val="-10"/>
        </w:rPr>
        <w:t> </w:t>
      </w:r>
      <w:r>
        <w:rPr>
          <w:color w:val="231F20"/>
        </w:rPr>
        <w:t>essere</w:t>
      </w:r>
      <w:r>
        <w:rPr>
          <w:color w:val="231F20"/>
          <w:spacing w:val="-10"/>
        </w:rPr>
        <w:t> </w:t>
      </w:r>
      <w:r>
        <w:rPr>
          <w:color w:val="231F20"/>
        </w:rPr>
        <w:t>rimproverata</w:t>
      </w:r>
      <w:r>
        <w:rPr>
          <w:color w:val="231F20"/>
          <w:spacing w:val="-10"/>
        </w:rPr>
        <w:t> </w:t>
      </w:r>
      <w:r>
        <w:rPr>
          <w:color w:val="231F20"/>
        </w:rPr>
        <w:t>dai</w:t>
      </w:r>
      <w:r>
        <w:rPr>
          <w:color w:val="231F20"/>
          <w:spacing w:val="-10"/>
        </w:rPr>
        <w:t> </w:t>
      </w:r>
      <w:r>
        <w:rPr>
          <w:color w:val="231F20"/>
        </w:rPr>
        <w:t>terzi</w:t>
      </w:r>
      <w:r>
        <w:rPr>
          <w:color w:val="231F20"/>
          <w:spacing w:val="-10"/>
        </w:rPr>
        <w:t> </w:t>
      </w:r>
      <w:r>
        <w:rPr>
          <w:color w:val="231F20"/>
        </w:rPr>
        <w:t>interessati </w:t>
      </w:r>
      <w:r>
        <w:rPr>
          <w:color w:val="231F20"/>
          <w:spacing w:val="-4"/>
        </w:rPr>
        <w:t>all’autorità interpellata sarebbe quindi unicamente quella di non aver rilevato </w:t>
      </w:r>
      <w:r>
        <w:rPr>
          <w:color w:val="231F20"/>
          <w:spacing w:val="-2"/>
        </w:rPr>
        <w:t>un’assenza</w:t>
      </w:r>
      <w:r>
        <w:rPr>
          <w:color w:val="231F20"/>
          <w:spacing w:val="-7"/>
        </w:rPr>
        <w:t> </w:t>
      </w:r>
      <w:r>
        <w:rPr>
          <w:color w:val="231F20"/>
          <w:spacing w:val="-2"/>
        </w:rPr>
        <w:t>manifesta</w:t>
      </w:r>
      <w:r>
        <w:rPr>
          <w:color w:val="231F20"/>
          <w:spacing w:val="-7"/>
        </w:rPr>
        <w:t> </w:t>
      </w:r>
      <w:r>
        <w:rPr>
          <w:color w:val="231F20"/>
          <w:spacing w:val="-2"/>
        </w:rPr>
        <w:t>di</w:t>
      </w:r>
      <w:r>
        <w:rPr>
          <w:color w:val="231F20"/>
          <w:spacing w:val="-7"/>
        </w:rPr>
        <w:t> </w:t>
      </w:r>
      <w:r>
        <w:rPr>
          <w:color w:val="231F20"/>
          <w:spacing w:val="-2"/>
        </w:rPr>
        <w:t>«prevedibile</w:t>
      </w:r>
      <w:r>
        <w:rPr>
          <w:color w:val="231F20"/>
          <w:spacing w:val="-7"/>
        </w:rPr>
        <w:t> </w:t>
      </w:r>
      <w:r>
        <w:rPr>
          <w:color w:val="231F20"/>
          <w:spacing w:val="-2"/>
        </w:rPr>
        <w:t>pertinenza»</w:t>
      </w:r>
      <w:r>
        <w:rPr>
          <w:color w:val="231F20"/>
          <w:spacing w:val="-7"/>
        </w:rPr>
        <w:t> </w:t>
      </w:r>
      <w:r>
        <w:rPr>
          <w:color w:val="231F20"/>
          <w:spacing w:val="-2"/>
        </w:rPr>
        <w:t>delle</w:t>
      </w:r>
      <w:r>
        <w:rPr>
          <w:color w:val="231F20"/>
          <w:spacing w:val="-7"/>
        </w:rPr>
        <w:t> </w:t>
      </w:r>
      <w:r>
        <w:rPr>
          <w:color w:val="231F20"/>
          <w:spacing w:val="-2"/>
        </w:rPr>
        <w:t>informazioni</w:t>
      </w:r>
      <w:r>
        <w:rPr>
          <w:color w:val="231F20"/>
          <w:spacing w:val="-7"/>
        </w:rPr>
        <w:t> </w:t>
      </w:r>
      <w:r>
        <w:rPr>
          <w:color w:val="231F20"/>
          <w:spacing w:val="-2"/>
        </w:rPr>
        <w:t>richieste </w:t>
      </w:r>
      <w:r>
        <w:rPr>
          <w:color w:val="231F20"/>
        </w:rPr>
        <w:t>dall’autorità</w:t>
      </w:r>
      <w:r>
        <w:rPr>
          <w:color w:val="231F20"/>
          <w:spacing w:val="-10"/>
        </w:rPr>
        <w:t> </w:t>
      </w:r>
      <w:r>
        <w:rPr>
          <w:color w:val="231F20"/>
        </w:rPr>
        <w:t>richiedente,</w:t>
      </w:r>
      <w:r>
        <w:rPr>
          <w:color w:val="231F20"/>
          <w:spacing w:val="-10"/>
        </w:rPr>
        <w:t> </w:t>
      </w:r>
      <w:r>
        <w:rPr>
          <w:color w:val="231F20"/>
        </w:rPr>
        <w:t>il</w:t>
      </w:r>
      <w:r>
        <w:rPr>
          <w:color w:val="231F20"/>
          <w:spacing w:val="-10"/>
        </w:rPr>
        <w:t> </w:t>
      </w:r>
      <w:r>
        <w:rPr>
          <w:color w:val="231F20"/>
        </w:rPr>
        <w:t>che</w:t>
      </w:r>
      <w:r>
        <w:rPr>
          <w:color w:val="231F20"/>
          <w:spacing w:val="-10"/>
        </w:rPr>
        <w:t> </w:t>
      </w:r>
      <w:r>
        <w:rPr>
          <w:color w:val="231F20"/>
        </w:rPr>
        <w:t>comporta</w:t>
      </w:r>
      <w:r>
        <w:rPr>
          <w:color w:val="231F20"/>
          <w:spacing w:val="-10"/>
        </w:rPr>
        <w:t> </w:t>
      </w:r>
      <w:r>
        <w:rPr>
          <w:color w:val="231F20"/>
        </w:rPr>
        <w:t>un</w:t>
      </w:r>
      <w:r>
        <w:rPr>
          <w:color w:val="231F20"/>
          <w:spacing w:val="-10"/>
        </w:rPr>
        <w:t> </w:t>
      </w:r>
      <w:r>
        <w:rPr>
          <w:color w:val="231F20"/>
        </w:rPr>
        <w:t>onere</w:t>
      </w:r>
      <w:r>
        <w:rPr>
          <w:color w:val="231F20"/>
          <w:spacing w:val="-10"/>
        </w:rPr>
        <w:t> </w:t>
      </w:r>
      <w:r>
        <w:rPr>
          <w:color w:val="231F20"/>
        </w:rPr>
        <w:t>della</w:t>
      </w:r>
      <w:r>
        <w:rPr>
          <w:color w:val="231F20"/>
          <w:spacing w:val="-10"/>
        </w:rPr>
        <w:t> </w:t>
      </w:r>
      <w:r>
        <w:rPr>
          <w:color w:val="231F20"/>
        </w:rPr>
        <w:t>prova</w:t>
      </w:r>
      <w:r>
        <w:rPr>
          <w:color w:val="231F20"/>
          <w:spacing w:val="-10"/>
        </w:rPr>
        <w:t> </w:t>
      </w:r>
      <w:r>
        <w:rPr>
          <w:color w:val="231F20"/>
        </w:rPr>
        <w:t>decisamente</w:t>
      </w:r>
    </w:p>
    <w:p>
      <w:pPr>
        <w:pStyle w:val="BodyText"/>
        <w:spacing w:line="225" w:lineRule="auto" w:before="14"/>
        <w:ind w:left="100" w:right="174"/>
        <w:jc w:val="both"/>
      </w:pPr>
      <w:r>
        <w:rPr>
          <w:color w:val="231F20"/>
        </w:rPr>
        <w:t>«diabolico»</w:t>
      </w:r>
      <w:r>
        <w:rPr>
          <w:color w:val="231F20"/>
          <w:spacing w:val="-13"/>
        </w:rPr>
        <w:t> </w:t>
      </w:r>
      <w:r>
        <w:rPr>
          <w:color w:val="231F20"/>
        </w:rPr>
        <w:t>per</w:t>
      </w:r>
      <w:r>
        <w:rPr>
          <w:color w:val="231F20"/>
          <w:spacing w:val="-13"/>
        </w:rPr>
        <w:t> </w:t>
      </w:r>
      <w:r>
        <w:rPr>
          <w:color w:val="231F20"/>
        </w:rPr>
        <w:t>tali</w:t>
      </w:r>
      <w:r>
        <w:rPr>
          <w:color w:val="231F20"/>
          <w:spacing w:val="-13"/>
        </w:rPr>
        <w:t> </w:t>
      </w:r>
      <w:r>
        <w:rPr>
          <w:color w:val="231F20"/>
        </w:rPr>
        <w:t>terzi</w:t>
      </w:r>
      <w:r>
        <w:rPr>
          <w:color w:val="231F20"/>
          <w:spacing w:val="-13"/>
        </w:rPr>
        <w:t> </w:t>
      </w:r>
      <w:r>
        <w:rPr>
          <w:color w:val="231F20"/>
        </w:rPr>
        <w:t>interessati,</w:t>
      </w:r>
      <w:r>
        <w:rPr>
          <w:color w:val="231F20"/>
          <w:spacing w:val="-13"/>
        </w:rPr>
        <w:t> </w:t>
      </w:r>
      <w:r>
        <w:rPr>
          <w:color w:val="231F20"/>
        </w:rPr>
        <w:t>in</w:t>
      </w:r>
      <w:r>
        <w:rPr>
          <w:color w:val="231F20"/>
          <w:spacing w:val="-13"/>
        </w:rPr>
        <w:t> </w:t>
      </w:r>
      <w:r>
        <w:rPr>
          <w:color w:val="231F20"/>
        </w:rPr>
        <w:t>ipotesi</w:t>
      </w:r>
      <w:r>
        <w:rPr>
          <w:color w:val="231F20"/>
          <w:spacing w:val="-13"/>
        </w:rPr>
        <w:t> </w:t>
      </w:r>
      <w:r>
        <w:rPr>
          <w:color w:val="231F20"/>
        </w:rPr>
        <w:t>lesi</w:t>
      </w:r>
      <w:r>
        <w:rPr>
          <w:color w:val="231F20"/>
          <w:spacing w:val="-13"/>
        </w:rPr>
        <w:t> </w:t>
      </w:r>
      <w:r>
        <w:rPr>
          <w:color w:val="231F20"/>
        </w:rPr>
        <w:t>dalla</w:t>
      </w:r>
      <w:r>
        <w:rPr>
          <w:color w:val="231F20"/>
          <w:spacing w:val="-13"/>
        </w:rPr>
        <w:t> </w:t>
      </w:r>
      <w:r>
        <w:rPr>
          <w:color w:val="231F20"/>
        </w:rPr>
        <w:t>comunicazione</w:t>
      </w:r>
      <w:r>
        <w:rPr>
          <w:color w:val="231F20"/>
          <w:spacing w:val="-13"/>
        </w:rPr>
        <w:t> </w:t>
      </w:r>
      <w:r>
        <w:rPr>
          <w:color w:val="231F20"/>
        </w:rPr>
        <w:t>delle informazioni</w:t>
      </w:r>
      <w:r>
        <w:rPr>
          <w:color w:val="231F20"/>
          <w:spacing w:val="-2"/>
        </w:rPr>
        <w:t> </w:t>
      </w:r>
      <w:r>
        <w:rPr>
          <w:color w:val="231F20"/>
        </w:rPr>
        <w:t>relative</w:t>
      </w:r>
      <w:r>
        <w:rPr>
          <w:color w:val="231F20"/>
          <w:spacing w:val="-2"/>
        </w:rPr>
        <w:t> </w:t>
      </w:r>
      <w:r>
        <w:rPr>
          <w:color w:val="231F20"/>
        </w:rPr>
        <w:t>ai</w:t>
      </w:r>
      <w:r>
        <w:rPr>
          <w:color w:val="231F20"/>
          <w:spacing w:val="-2"/>
        </w:rPr>
        <w:t> </w:t>
      </w:r>
      <w:r>
        <w:rPr>
          <w:color w:val="231F20"/>
        </w:rPr>
        <w:t>loro</w:t>
      </w:r>
      <w:r>
        <w:rPr>
          <w:color w:val="231F20"/>
          <w:spacing w:val="-2"/>
        </w:rPr>
        <w:t> </w:t>
      </w:r>
      <w:r>
        <w:rPr>
          <w:color w:val="231F20"/>
        </w:rPr>
        <w:t>rapporti</w:t>
      </w:r>
      <w:r>
        <w:rPr>
          <w:color w:val="231F20"/>
          <w:spacing w:val="-2"/>
        </w:rPr>
        <w:t> </w:t>
      </w:r>
      <w:r>
        <w:rPr>
          <w:color w:val="231F20"/>
        </w:rPr>
        <w:t>d’affari</w:t>
      </w:r>
      <w:r>
        <w:rPr>
          <w:color w:val="231F20"/>
          <w:spacing w:val="-2"/>
        </w:rPr>
        <w:t> </w:t>
      </w:r>
      <w:r>
        <w:rPr>
          <w:color w:val="231F20"/>
        </w:rPr>
        <w:t>con</w:t>
      </w:r>
      <w:r>
        <w:rPr>
          <w:color w:val="231F20"/>
          <w:spacing w:val="-2"/>
        </w:rPr>
        <w:t> </w:t>
      </w:r>
      <w:r>
        <w:rPr>
          <w:color w:val="231F20"/>
        </w:rPr>
        <w:t>il</w:t>
      </w:r>
      <w:r>
        <w:rPr>
          <w:color w:val="231F20"/>
          <w:spacing w:val="-2"/>
        </w:rPr>
        <w:t> </w:t>
      </w:r>
      <w:r>
        <w:rPr>
          <w:color w:val="231F20"/>
        </w:rPr>
        <w:t>contribuente</w:t>
      </w:r>
      <w:r>
        <w:rPr>
          <w:color w:val="231F20"/>
          <w:spacing w:val="-2"/>
        </w:rPr>
        <w:t> </w:t>
      </w:r>
      <w:r>
        <w:rPr>
          <w:color w:val="231F20"/>
        </w:rPr>
        <w:t>indagato. </w:t>
      </w:r>
      <w:r>
        <w:rPr>
          <w:color w:val="231F20"/>
          <w:spacing w:val="-2"/>
        </w:rPr>
        <w:t>Onere</w:t>
      </w:r>
      <w:r>
        <w:rPr>
          <w:color w:val="231F20"/>
          <w:spacing w:val="-8"/>
        </w:rPr>
        <w:t> </w:t>
      </w:r>
      <w:r>
        <w:rPr>
          <w:color w:val="231F20"/>
          <w:spacing w:val="-2"/>
        </w:rPr>
        <w:t>della</w:t>
      </w:r>
      <w:r>
        <w:rPr>
          <w:color w:val="231F20"/>
          <w:spacing w:val="-8"/>
        </w:rPr>
        <w:t> </w:t>
      </w:r>
      <w:r>
        <w:rPr>
          <w:color w:val="231F20"/>
          <w:spacing w:val="-2"/>
        </w:rPr>
        <w:t>prova</w:t>
      </w:r>
      <w:r>
        <w:rPr>
          <w:color w:val="231F20"/>
          <w:spacing w:val="-8"/>
        </w:rPr>
        <w:t> </w:t>
      </w:r>
      <w:r>
        <w:rPr>
          <w:color w:val="231F20"/>
          <w:spacing w:val="-2"/>
        </w:rPr>
        <w:t>relativo</w:t>
      </w:r>
      <w:r>
        <w:rPr>
          <w:color w:val="231F20"/>
          <w:spacing w:val="-8"/>
        </w:rPr>
        <w:t> </w:t>
      </w:r>
      <w:r>
        <w:rPr>
          <w:color w:val="231F20"/>
          <w:spacing w:val="-2"/>
        </w:rPr>
        <w:t>all’illecito</w:t>
      </w:r>
      <w:r>
        <w:rPr>
          <w:color w:val="231F20"/>
          <w:spacing w:val="-8"/>
        </w:rPr>
        <w:t> </w:t>
      </w:r>
      <w:r>
        <w:rPr>
          <w:color w:val="231F20"/>
          <w:spacing w:val="-2"/>
        </w:rPr>
        <w:t>compiuto</w:t>
      </w:r>
      <w:r>
        <w:rPr>
          <w:color w:val="231F20"/>
          <w:spacing w:val="-8"/>
        </w:rPr>
        <w:t> </w:t>
      </w:r>
      <w:r>
        <w:rPr>
          <w:color w:val="231F20"/>
          <w:spacing w:val="-2"/>
        </w:rPr>
        <w:t>dall’autorità</w:t>
      </w:r>
      <w:r>
        <w:rPr>
          <w:color w:val="231F20"/>
          <w:spacing w:val="-8"/>
        </w:rPr>
        <w:t> </w:t>
      </w:r>
      <w:r>
        <w:rPr>
          <w:color w:val="231F20"/>
          <w:spacing w:val="-2"/>
        </w:rPr>
        <w:t>interpellata,</w:t>
      </w:r>
      <w:r>
        <w:rPr>
          <w:color w:val="231F20"/>
          <w:spacing w:val="-8"/>
        </w:rPr>
        <w:t> </w:t>
      </w:r>
      <w:r>
        <w:rPr>
          <w:color w:val="231F20"/>
          <w:spacing w:val="-2"/>
        </w:rPr>
        <w:t>che </w:t>
      </w:r>
      <w:r>
        <w:rPr>
          <w:color w:val="231F20"/>
        </w:rPr>
        <w:t>si</w:t>
      </w:r>
      <w:r>
        <w:rPr>
          <w:color w:val="231F20"/>
          <w:spacing w:val="-14"/>
        </w:rPr>
        <w:t> </w:t>
      </w:r>
      <w:r>
        <w:rPr>
          <w:color w:val="231F20"/>
        </w:rPr>
        <w:t>aggiunge</w:t>
      </w:r>
      <w:r>
        <w:rPr>
          <w:color w:val="231F20"/>
          <w:spacing w:val="-14"/>
        </w:rPr>
        <w:t> </w:t>
      </w:r>
      <w:r>
        <w:rPr>
          <w:color w:val="231F20"/>
        </w:rPr>
        <w:t>all’ulteriore</w:t>
      </w:r>
      <w:r>
        <w:rPr>
          <w:color w:val="231F20"/>
          <w:spacing w:val="-14"/>
        </w:rPr>
        <w:t> </w:t>
      </w:r>
      <w:r>
        <w:rPr>
          <w:color w:val="231F20"/>
        </w:rPr>
        <w:t>onere</w:t>
      </w:r>
      <w:r>
        <w:rPr>
          <w:color w:val="231F20"/>
          <w:spacing w:val="-14"/>
        </w:rPr>
        <w:t> </w:t>
      </w:r>
      <w:r>
        <w:rPr>
          <w:color w:val="231F20"/>
        </w:rPr>
        <w:t>della</w:t>
      </w:r>
      <w:r>
        <w:rPr>
          <w:color w:val="231F20"/>
          <w:spacing w:val="-14"/>
        </w:rPr>
        <w:t> </w:t>
      </w:r>
      <w:r>
        <w:rPr>
          <w:color w:val="231F20"/>
        </w:rPr>
        <w:t>prova</w:t>
      </w:r>
      <w:r>
        <w:rPr>
          <w:color w:val="231F20"/>
          <w:spacing w:val="-14"/>
        </w:rPr>
        <w:t> </w:t>
      </w:r>
      <w:r>
        <w:rPr>
          <w:color w:val="231F20"/>
        </w:rPr>
        <w:t>relativo,</w:t>
      </w:r>
      <w:r>
        <w:rPr>
          <w:color w:val="231F20"/>
          <w:spacing w:val="-14"/>
        </w:rPr>
        <w:t> </w:t>
      </w:r>
      <w:r>
        <w:rPr>
          <w:color w:val="231F20"/>
        </w:rPr>
        <w:t>sia</w:t>
      </w:r>
      <w:r>
        <w:rPr>
          <w:color w:val="231F20"/>
          <w:spacing w:val="-14"/>
        </w:rPr>
        <w:t> </w:t>
      </w:r>
      <w:r>
        <w:rPr>
          <w:color w:val="231F20"/>
        </w:rPr>
        <w:t>all’effettivo</w:t>
      </w:r>
      <w:r>
        <w:rPr>
          <w:color w:val="231F20"/>
          <w:spacing w:val="-14"/>
        </w:rPr>
        <w:t> </w:t>
      </w:r>
      <w:r>
        <w:rPr>
          <w:color w:val="231F20"/>
        </w:rPr>
        <w:t>danno</w:t>
      </w:r>
      <w:r>
        <w:rPr>
          <w:color w:val="231F20"/>
          <w:spacing w:val="-14"/>
        </w:rPr>
        <w:t> </w:t>
      </w:r>
      <w:r>
        <w:rPr>
          <w:color w:val="231F20"/>
        </w:rPr>
        <w:t>su- bito</w:t>
      </w:r>
      <w:r>
        <w:rPr>
          <w:color w:val="231F20"/>
          <w:spacing w:val="-15"/>
        </w:rPr>
        <w:t> </w:t>
      </w:r>
      <w:r>
        <w:rPr>
          <w:color w:val="231F20"/>
        </w:rPr>
        <w:t>dai</w:t>
      </w:r>
      <w:r>
        <w:rPr>
          <w:color w:val="231F20"/>
          <w:spacing w:val="-15"/>
        </w:rPr>
        <w:t> </w:t>
      </w:r>
      <w:r>
        <w:rPr>
          <w:color w:val="231F20"/>
        </w:rPr>
        <w:t>terzi</w:t>
      </w:r>
      <w:r>
        <w:rPr>
          <w:color w:val="231F20"/>
          <w:spacing w:val="-15"/>
        </w:rPr>
        <w:t> </w:t>
      </w:r>
      <w:r>
        <w:rPr>
          <w:color w:val="231F20"/>
        </w:rPr>
        <w:t>interessati</w:t>
      </w:r>
      <w:r>
        <w:rPr>
          <w:color w:val="231F20"/>
          <w:spacing w:val="-15"/>
        </w:rPr>
        <w:t> </w:t>
      </w:r>
      <w:r>
        <w:rPr>
          <w:color w:val="231F20"/>
        </w:rPr>
        <w:t>a</w:t>
      </w:r>
      <w:r>
        <w:rPr>
          <w:color w:val="231F20"/>
          <w:spacing w:val="-15"/>
        </w:rPr>
        <w:t> </w:t>
      </w:r>
      <w:r>
        <w:rPr>
          <w:color w:val="231F20"/>
        </w:rPr>
        <w:t>seguito</w:t>
      </w:r>
      <w:r>
        <w:rPr>
          <w:color w:val="231F20"/>
          <w:spacing w:val="-15"/>
        </w:rPr>
        <w:t> </w:t>
      </w:r>
      <w:r>
        <w:rPr>
          <w:color w:val="231F20"/>
        </w:rPr>
        <w:t>della</w:t>
      </w:r>
      <w:r>
        <w:rPr>
          <w:color w:val="231F20"/>
          <w:spacing w:val="-15"/>
        </w:rPr>
        <w:t> </w:t>
      </w:r>
      <w:r>
        <w:rPr>
          <w:color w:val="231F20"/>
        </w:rPr>
        <w:t>comunicazione</w:t>
      </w:r>
      <w:r>
        <w:rPr>
          <w:color w:val="231F20"/>
          <w:spacing w:val="-15"/>
        </w:rPr>
        <w:t> </w:t>
      </w:r>
      <w:r>
        <w:rPr>
          <w:color w:val="231F20"/>
        </w:rPr>
        <w:t>delle</w:t>
      </w:r>
      <w:r>
        <w:rPr>
          <w:color w:val="231F20"/>
          <w:spacing w:val="-15"/>
        </w:rPr>
        <w:t> </w:t>
      </w:r>
      <w:r>
        <w:rPr>
          <w:color w:val="231F20"/>
        </w:rPr>
        <w:t>informazioni</w:t>
      </w:r>
      <w:r>
        <w:rPr>
          <w:color w:val="231F20"/>
          <w:spacing w:val="-15"/>
        </w:rPr>
        <w:t> </w:t>
      </w:r>
      <w:r>
        <w:rPr>
          <w:color w:val="231F20"/>
        </w:rPr>
        <w:t>ad un’amministrazione</w:t>
      </w:r>
      <w:r>
        <w:rPr>
          <w:color w:val="231F20"/>
          <w:spacing w:val="-14"/>
        </w:rPr>
        <w:t> </w:t>
      </w:r>
      <w:r>
        <w:rPr>
          <w:color w:val="231F20"/>
        </w:rPr>
        <w:t>comunque</w:t>
      </w:r>
      <w:r>
        <w:rPr>
          <w:color w:val="231F20"/>
          <w:spacing w:val="-14"/>
        </w:rPr>
        <w:t> </w:t>
      </w:r>
      <w:r>
        <w:rPr>
          <w:color w:val="231F20"/>
        </w:rPr>
        <w:t>vincolata</w:t>
      </w:r>
      <w:r>
        <w:rPr>
          <w:color w:val="231F20"/>
          <w:spacing w:val="-14"/>
        </w:rPr>
        <w:t> </w:t>
      </w:r>
      <w:r>
        <w:rPr>
          <w:color w:val="231F20"/>
        </w:rPr>
        <w:t>al</w:t>
      </w:r>
      <w:r>
        <w:rPr>
          <w:color w:val="231F20"/>
          <w:spacing w:val="-14"/>
        </w:rPr>
        <w:t> </w:t>
      </w:r>
      <w:r>
        <w:rPr>
          <w:color w:val="231F20"/>
        </w:rPr>
        <w:t>segreto</w:t>
      </w:r>
      <w:r>
        <w:rPr>
          <w:color w:val="231F20"/>
          <w:spacing w:val="-14"/>
        </w:rPr>
        <w:t> </w:t>
      </w:r>
      <w:r>
        <w:rPr>
          <w:color w:val="231F20"/>
        </w:rPr>
        <w:t>d’ufficio</w:t>
      </w:r>
      <w:r>
        <w:rPr>
          <w:color w:val="231F20"/>
          <w:spacing w:val="-14"/>
        </w:rPr>
        <w:t> </w:t>
      </w:r>
      <w:r>
        <w:rPr>
          <w:color w:val="231F20"/>
        </w:rPr>
        <w:t>ex</w:t>
      </w:r>
      <w:r>
        <w:rPr>
          <w:color w:val="231F20"/>
          <w:spacing w:val="-14"/>
        </w:rPr>
        <w:t> </w:t>
      </w:r>
      <w:r>
        <w:rPr>
          <w:color w:val="231F20"/>
        </w:rPr>
        <w:t>art.</w:t>
      </w:r>
      <w:r>
        <w:rPr>
          <w:color w:val="231F20"/>
          <w:spacing w:val="-14"/>
        </w:rPr>
        <w:t> </w:t>
      </w:r>
      <w:r>
        <w:rPr>
          <w:color w:val="231F20"/>
        </w:rPr>
        <w:t>16,</w:t>
      </w:r>
      <w:r>
        <w:rPr>
          <w:color w:val="231F20"/>
          <w:spacing w:val="-14"/>
        </w:rPr>
        <w:t> </w:t>
      </w:r>
      <w:r>
        <w:rPr>
          <w:color w:val="231F20"/>
        </w:rPr>
        <w:t>par. 1, della direttiva, sia al nesso di causalità intercorrente fra la comunicazio- ne</w:t>
      </w:r>
      <w:r>
        <w:rPr>
          <w:color w:val="231F20"/>
          <w:spacing w:val="-6"/>
        </w:rPr>
        <w:t> </w:t>
      </w:r>
      <w:r>
        <w:rPr>
          <w:color w:val="231F20"/>
        </w:rPr>
        <w:t>di</w:t>
      </w:r>
      <w:r>
        <w:rPr>
          <w:color w:val="231F20"/>
          <w:spacing w:val="-6"/>
        </w:rPr>
        <w:t> </w:t>
      </w:r>
      <w:r>
        <w:rPr>
          <w:color w:val="231F20"/>
        </w:rPr>
        <w:t>tali</w:t>
      </w:r>
      <w:r>
        <w:rPr>
          <w:color w:val="231F20"/>
          <w:spacing w:val="-6"/>
        </w:rPr>
        <w:t> </w:t>
      </w:r>
      <w:r>
        <w:rPr>
          <w:color w:val="231F20"/>
        </w:rPr>
        <w:t>informazioni</w:t>
      </w:r>
      <w:r>
        <w:rPr>
          <w:color w:val="231F20"/>
          <w:spacing w:val="-6"/>
        </w:rPr>
        <w:t> </w:t>
      </w:r>
      <w:r>
        <w:rPr>
          <w:color w:val="231F20"/>
        </w:rPr>
        <w:t>e</w:t>
      </w:r>
      <w:r>
        <w:rPr>
          <w:color w:val="231F20"/>
          <w:spacing w:val="-6"/>
        </w:rPr>
        <w:t> </w:t>
      </w:r>
      <w:r>
        <w:rPr>
          <w:color w:val="231F20"/>
        </w:rPr>
        <w:t>l’ipotetico</w:t>
      </w:r>
      <w:r>
        <w:rPr>
          <w:color w:val="231F20"/>
          <w:spacing w:val="-6"/>
        </w:rPr>
        <w:t> </w:t>
      </w:r>
      <w:r>
        <w:rPr>
          <w:color w:val="231F20"/>
        </w:rPr>
        <w:t>danno</w:t>
      </w:r>
      <w:r>
        <w:rPr>
          <w:color w:val="231F20"/>
          <w:spacing w:val="-6"/>
        </w:rPr>
        <w:t> </w:t>
      </w:r>
      <w:r>
        <w:rPr>
          <w:color w:val="231F20"/>
        </w:rPr>
        <w:t>subito</w:t>
      </w:r>
      <w:r>
        <w:rPr>
          <w:color w:val="231F20"/>
          <w:spacing w:val="-6"/>
        </w:rPr>
        <w:t> </w:t>
      </w:r>
      <w:r>
        <w:rPr>
          <w:color w:val="231F20"/>
        </w:rPr>
        <w:t>da</w:t>
      </w:r>
      <w:r>
        <w:rPr>
          <w:color w:val="231F20"/>
          <w:spacing w:val="-6"/>
        </w:rPr>
        <w:t> </w:t>
      </w:r>
      <w:r>
        <w:rPr>
          <w:color w:val="231F20"/>
        </w:rPr>
        <w:t>tali</w:t>
      </w:r>
      <w:r>
        <w:rPr>
          <w:color w:val="231F20"/>
          <w:spacing w:val="-6"/>
        </w:rPr>
        <w:t> </w:t>
      </w:r>
      <w:r>
        <w:rPr>
          <w:color w:val="231F20"/>
        </w:rPr>
        <w:t>terzi</w:t>
      </w:r>
      <w:r>
        <w:rPr>
          <w:color w:val="231F20"/>
          <w:spacing w:val="-6"/>
        </w:rPr>
        <w:t> </w:t>
      </w:r>
      <w:r>
        <w:rPr>
          <w:color w:val="231F20"/>
        </w:rPr>
        <w:t>interessati.</w:t>
      </w:r>
      <w:r>
        <w:rPr>
          <w:color w:val="231F20"/>
          <w:spacing w:val="-6"/>
        </w:rPr>
        <w:t> </w:t>
      </w:r>
      <w:r>
        <w:rPr>
          <w:color w:val="231F20"/>
        </w:rPr>
        <w:t>In conclusione</w:t>
      </w:r>
      <w:r>
        <w:rPr>
          <w:color w:val="231F20"/>
          <w:spacing w:val="-15"/>
        </w:rPr>
        <w:t> </w:t>
      </w:r>
      <w:r>
        <w:rPr>
          <w:color w:val="231F20"/>
        </w:rPr>
        <w:t>su</w:t>
      </w:r>
      <w:r>
        <w:rPr>
          <w:color w:val="231F20"/>
          <w:spacing w:val="-15"/>
        </w:rPr>
        <w:t> </w:t>
      </w:r>
      <w:r>
        <w:rPr>
          <w:color w:val="231F20"/>
        </w:rPr>
        <w:t>questo</w:t>
      </w:r>
      <w:r>
        <w:rPr>
          <w:color w:val="231F20"/>
          <w:spacing w:val="-15"/>
        </w:rPr>
        <w:t> </w:t>
      </w:r>
      <w:r>
        <w:rPr>
          <w:color w:val="231F20"/>
        </w:rPr>
        <w:t>punto,</w:t>
      </w:r>
      <w:r>
        <w:rPr>
          <w:color w:val="231F20"/>
          <w:spacing w:val="-15"/>
        </w:rPr>
        <w:t> </w:t>
      </w:r>
      <w:r>
        <w:rPr>
          <w:color w:val="231F20"/>
        </w:rPr>
        <w:t>risulta</w:t>
      </w:r>
      <w:r>
        <w:rPr>
          <w:color w:val="231F20"/>
          <w:spacing w:val="-15"/>
        </w:rPr>
        <w:t> </w:t>
      </w:r>
      <w:r>
        <w:rPr>
          <w:color w:val="231F20"/>
        </w:rPr>
        <w:t>dai</w:t>
      </w:r>
      <w:r>
        <w:rPr>
          <w:color w:val="231F20"/>
          <w:spacing w:val="-15"/>
        </w:rPr>
        <w:t> </w:t>
      </w:r>
      <w:r>
        <w:rPr>
          <w:color w:val="231F20"/>
        </w:rPr>
        <w:t>problemi</w:t>
      </w:r>
      <w:r>
        <w:rPr>
          <w:color w:val="231F20"/>
          <w:spacing w:val="-15"/>
        </w:rPr>
        <w:t> </w:t>
      </w:r>
      <w:r>
        <w:rPr>
          <w:color w:val="231F20"/>
        </w:rPr>
        <w:t>sopra</w:t>
      </w:r>
      <w:r>
        <w:rPr>
          <w:color w:val="231F20"/>
          <w:spacing w:val="-15"/>
        </w:rPr>
        <w:t> </w:t>
      </w:r>
      <w:r>
        <w:rPr>
          <w:color w:val="231F20"/>
        </w:rPr>
        <w:t>evocati</w:t>
      </w:r>
      <w:r>
        <w:rPr>
          <w:color w:val="231F20"/>
          <w:spacing w:val="-15"/>
        </w:rPr>
        <w:t> </w:t>
      </w:r>
      <w:r>
        <w:rPr>
          <w:color w:val="231F20"/>
        </w:rPr>
        <w:t>che</w:t>
      </w:r>
      <w:r>
        <w:rPr>
          <w:color w:val="231F20"/>
          <w:spacing w:val="-15"/>
        </w:rPr>
        <w:t> </w:t>
      </w:r>
      <w:r>
        <w:rPr>
          <w:color w:val="231F20"/>
        </w:rPr>
        <w:t>la</w:t>
      </w:r>
      <w:r>
        <w:rPr>
          <w:color w:val="231F20"/>
          <w:spacing w:val="-15"/>
        </w:rPr>
        <w:t> </w:t>
      </w:r>
      <w:r>
        <w:rPr>
          <w:color w:val="231F20"/>
        </w:rPr>
        <w:t>tutela giurisdizionale</w:t>
      </w:r>
      <w:r>
        <w:rPr>
          <w:color w:val="231F20"/>
          <w:spacing w:val="-6"/>
        </w:rPr>
        <w:t> </w:t>
      </w:r>
      <w:r>
        <w:rPr>
          <w:color w:val="231F20"/>
        </w:rPr>
        <w:t>riconosciuta</w:t>
      </w:r>
      <w:r>
        <w:rPr>
          <w:color w:val="231F20"/>
          <w:spacing w:val="-6"/>
        </w:rPr>
        <w:t> </w:t>
      </w:r>
      <w:r>
        <w:rPr>
          <w:color w:val="231F20"/>
        </w:rPr>
        <w:t>dalla</w:t>
      </w:r>
      <w:r>
        <w:rPr>
          <w:color w:val="231F20"/>
          <w:spacing w:val="-6"/>
        </w:rPr>
        <w:t> </w:t>
      </w:r>
      <w:r>
        <w:rPr>
          <w:color w:val="231F20"/>
        </w:rPr>
        <w:t>Corte</w:t>
      </w:r>
      <w:r>
        <w:rPr>
          <w:color w:val="231F20"/>
          <w:spacing w:val="-6"/>
        </w:rPr>
        <w:t> </w:t>
      </w:r>
      <w:r>
        <w:rPr>
          <w:color w:val="231F20"/>
        </w:rPr>
        <w:t>di</w:t>
      </w:r>
      <w:r>
        <w:rPr>
          <w:color w:val="231F20"/>
          <w:spacing w:val="-6"/>
        </w:rPr>
        <w:t> </w:t>
      </w:r>
      <w:r>
        <w:rPr>
          <w:color w:val="231F20"/>
        </w:rPr>
        <w:t>giustizia</w:t>
      </w:r>
      <w:r>
        <w:rPr>
          <w:color w:val="231F20"/>
          <w:spacing w:val="-6"/>
        </w:rPr>
        <w:t> </w:t>
      </w:r>
      <w:r>
        <w:rPr>
          <w:color w:val="231F20"/>
        </w:rPr>
        <w:t>a</w:t>
      </w:r>
      <w:r>
        <w:rPr>
          <w:color w:val="231F20"/>
          <w:spacing w:val="-6"/>
        </w:rPr>
        <w:t> </w:t>
      </w:r>
      <w:r>
        <w:rPr>
          <w:color w:val="231F20"/>
        </w:rPr>
        <w:t>questi</w:t>
      </w:r>
      <w:r>
        <w:rPr>
          <w:color w:val="231F20"/>
          <w:spacing w:val="-6"/>
        </w:rPr>
        <w:t> </w:t>
      </w:r>
      <w:r>
        <w:rPr>
          <w:color w:val="231F20"/>
        </w:rPr>
        <w:t>terzi</w:t>
      </w:r>
      <w:r>
        <w:rPr>
          <w:color w:val="231F20"/>
          <w:spacing w:val="-6"/>
        </w:rPr>
        <w:t> </w:t>
      </w:r>
      <w:r>
        <w:rPr>
          <w:color w:val="231F20"/>
        </w:rPr>
        <w:t>interessati </w:t>
      </w:r>
      <w:r>
        <w:rPr>
          <w:color w:val="231F20"/>
          <w:spacing w:val="-2"/>
        </w:rPr>
        <w:t>dallo</w:t>
      </w:r>
      <w:r>
        <w:rPr>
          <w:color w:val="231F20"/>
          <w:spacing w:val="-6"/>
        </w:rPr>
        <w:t> </w:t>
      </w:r>
      <w:r>
        <w:rPr>
          <w:color w:val="231F20"/>
          <w:spacing w:val="-2"/>
        </w:rPr>
        <w:t>scambio</w:t>
      </w:r>
      <w:r>
        <w:rPr>
          <w:color w:val="231F20"/>
          <w:spacing w:val="-6"/>
        </w:rPr>
        <w:t> </w:t>
      </w:r>
      <w:r>
        <w:rPr>
          <w:color w:val="231F20"/>
          <w:spacing w:val="-2"/>
        </w:rPr>
        <w:t>di</w:t>
      </w:r>
      <w:r>
        <w:rPr>
          <w:color w:val="231F20"/>
          <w:spacing w:val="-6"/>
        </w:rPr>
        <w:t> </w:t>
      </w:r>
      <w:r>
        <w:rPr>
          <w:color w:val="231F20"/>
          <w:spacing w:val="-2"/>
        </w:rPr>
        <w:t>informazioni</w:t>
      </w:r>
      <w:r>
        <w:rPr>
          <w:color w:val="231F20"/>
          <w:spacing w:val="-6"/>
        </w:rPr>
        <w:t> </w:t>
      </w:r>
      <w:r>
        <w:rPr>
          <w:color w:val="231F20"/>
          <w:spacing w:val="-2"/>
        </w:rPr>
        <w:t>fra</w:t>
      </w:r>
      <w:r>
        <w:rPr>
          <w:color w:val="231F20"/>
          <w:spacing w:val="-6"/>
        </w:rPr>
        <w:t> </w:t>
      </w:r>
      <w:r>
        <w:rPr>
          <w:color w:val="231F20"/>
          <w:spacing w:val="-2"/>
        </w:rPr>
        <w:t>amministrazioni</w:t>
      </w:r>
      <w:r>
        <w:rPr>
          <w:color w:val="231F20"/>
          <w:spacing w:val="-6"/>
        </w:rPr>
        <w:t> </w:t>
      </w:r>
      <w:r>
        <w:rPr>
          <w:color w:val="231F20"/>
          <w:spacing w:val="-2"/>
        </w:rPr>
        <w:t>finanziarie</w:t>
      </w:r>
      <w:r>
        <w:rPr>
          <w:color w:val="231F20"/>
          <w:spacing w:val="-6"/>
        </w:rPr>
        <w:t> </w:t>
      </w:r>
      <w:r>
        <w:rPr>
          <w:color w:val="231F20"/>
          <w:spacing w:val="-2"/>
        </w:rPr>
        <w:t>di</w:t>
      </w:r>
      <w:r>
        <w:rPr>
          <w:color w:val="231F20"/>
          <w:spacing w:val="-6"/>
        </w:rPr>
        <w:t> </w:t>
      </w:r>
      <w:r>
        <w:rPr>
          <w:color w:val="231F20"/>
          <w:spacing w:val="-2"/>
        </w:rPr>
        <w:t>Stati</w:t>
      </w:r>
      <w:r>
        <w:rPr>
          <w:color w:val="231F20"/>
          <w:spacing w:val="-6"/>
        </w:rPr>
        <w:t> </w:t>
      </w:r>
      <w:r>
        <w:rPr>
          <w:color w:val="231F20"/>
          <w:spacing w:val="-2"/>
        </w:rPr>
        <w:t>mem- </w:t>
      </w:r>
      <w:r>
        <w:rPr>
          <w:color w:val="231F20"/>
        </w:rPr>
        <w:t>bri diversi, si rivela in pratica quasi inesistente.</w:t>
      </w:r>
    </w:p>
    <w:p>
      <w:pPr>
        <w:pStyle w:val="BodyText"/>
        <w:spacing w:before="46"/>
      </w:pPr>
    </w:p>
    <w:p>
      <w:pPr>
        <w:spacing w:line="230" w:lineRule="auto" w:before="0"/>
        <w:ind w:left="100" w:right="284" w:firstLine="0"/>
        <w:jc w:val="left"/>
        <w:rPr>
          <w:i/>
          <w:sz w:val="24"/>
        </w:rPr>
      </w:pPr>
      <w:r>
        <w:rPr>
          <w:i/>
          <w:color w:val="231F20"/>
          <w:sz w:val="24"/>
        </w:rPr>
        <w:t>2.2.4. Definizione del livello di precisione delle informazioni che possono</w:t>
      </w:r>
      <w:r>
        <w:rPr>
          <w:i/>
          <w:color w:val="231F20"/>
          <w:sz w:val="24"/>
        </w:rPr>
        <w:t> essere</w:t>
      </w:r>
      <w:r>
        <w:rPr>
          <w:i/>
          <w:color w:val="231F20"/>
          <w:spacing w:val="-6"/>
          <w:sz w:val="24"/>
        </w:rPr>
        <w:t> </w:t>
      </w:r>
      <w:r>
        <w:rPr>
          <w:i/>
          <w:color w:val="231F20"/>
          <w:sz w:val="24"/>
        </w:rPr>
        <w:t>richieste</w:t>
      </w:r>
      <w:r>
        <w:rPr>
          <w:i/>
          <w:color w:val="231F20"/>
          <w:spacing w:val="-6"/>
          <w:sz w:val="24"/>
        </w:rPr>
        <w:t> </w:t>
      </w:r>
      <w:r>
        <w:rPr>
          <w:i/>
          <w:color w:val="231F20"/>
          <w:sz w:val="24"/>
        </w:rPr>
        <w:t>dall’autorità</w:t>
      </w:r>
      <w:r>
        <w:rPr>
          <w:i/>
          <w:color w:val="231F20"/>
          <w:spacing w:val="-6"/>
          <w:sz w:val="24"/>
        </w:rPr>
        <w:t> </w:t>
      </w:r>
      <w:r>
        <w:rPr>
          <w:i/>
          <w:color w:val="231F20"/>
          <w:sz w:val="24"/>
        </w:rPr>
        <w:t>interpellata</w:t>
      </w:r>
      <w:r>
        <w:rPr>
          <w:i/>
          <w:color w:val="231F20"/>
          <w:spacing w:val="-6"/>
          <w:sz w:val="24"/>
        </w:rPr>
        <w:t> </w:t>
      </w:r>
      <w:r>
        <w:rPr>
          <w:i/>
          <w:color w:val="231F20"/>
          <w:sz w:val="24"/>
        </w:rPr>
        <w:t>al</w:t>
      </w:r>
      <w:r>
        <w:rPr>
          <w:i/>
          <w:color w:val="231F20"/>
          <w:spacing w:val="-6"/>
          <w:sz w:val="24"/>
        </w:rPr>
        <w:t> </w:t>
      </w:r>
      <w:r>
        <w:rPr>
          <w:i/>
          <w:color w:val="231F20"/>
          <w:sz w:val="24"/>
        </w:rPr>
        <w:t>detentore</w:t>
      </w:r>
      <w:r>
        <w:rPr>
          <w:i/>
          <w:color w:val="231F20"/>
          <w:spacing w:val="-6"/>
          <w:sz w:val="24"/>
        </w:rPr>
        <w:t> </w:t>
      </w:r>
      <w:r>
        <w:rPr>
          <w:i/>
          <w:color w:val="231F20"/>
          <w:sz w:val="24"/>
        </w:rPr>
        <w:t>delle</w:t>
      </w:r>
      <w:r>
        <w:rPr>
          <w:i/>
          <w:color w:val="231F20"/>
          <w:spacing w:val="-6"/>
          <w:sz w:val="24"/>
        </w:rPr>
        <w:t> </w:t>
      </w:r>
      <w:r>
        <w:rPr>
          <w:i/>
          <w:color w:val="231F20"/>
          <w:sz w:val="24"/>
        </w:rPr>
        <w:t>informazioni</w:t>
      </w:r>
      <w:r>
        <w:rPr>
          <w:i/>
          <w:color w:val="231F20"/>
          <w:spacing w:val="-6"/>
          <w:sz w:val="24"/>
        </w:rPr>
        <w:t> </w:t>
      </w:r>
      <w:r>
        <w:rPr>
          <w:i/>
          <w:color w:val="231F20"/>
          <w:sz w:val="24"/>
        </w:rPr>
        <w:t>stesse</w:t>
      </w:r>
    </w:p>
    <w:p>
      <w:pPr>
        <w:pStyle w:val="BodyText"/>
        <w:spacing w:line="225" w:lineRule="auto" w:before="172"/>
        <w:ind w:left="100" w:right="174"/>
        <w:jc w:val="both"/>
      </w:pPr>
      <w:r>
        <w:rPr>
          <w:color w:val="231F20"/>
        </w:rPr>
        <w:t>La</w:t>
      </w:r>
      <w:r>
        <w:rPr>
          <w:color w:val="231F20"/>
          <w:spacing w:val="-10"/>
        </w:rPr>
        <w:t> </w:t>
      </w:r>
      <w:r>
        <w:rPr>
          <w:color w:val="231F20"/>
        </w:rPr>
        <w:t>seconda</w:t>
      </w:r>
      <w:r>
        <w:rPr>
          <w:color w:val="231F20"/>
          <w:spacing w:val="-10"/>
        </w:rPr>
        <w:t> </w:t>
      </w:r>
      <w:r>
        <w:rPr>
          <w:color w:val="231F20"/>
        </w:rPr>
        <w:t>questione</w:t>
      </w:r>
      <w:r>
        <w:rPr>
          <w:color w:val="231F20"/>
          <w:spacing w:val="-10"/>
        </w:rPr>
        <w:t> </w:t>
      </w:r>
      <w:r>
        <w:rPr>
          <w:color w:val="231F20"/>
        </w:rPr>
        <w:t>interpretativa</w:t>
      </w:r>
      <w:r>
        <w:rPr>
          <w:color w:val="231F20"/>
          <w:spacing w:val="-10"/>
        </w:rPr>
        <w:t> </w:t>
      </w:r>
      <w:r>
        <w:rPr>
          <w:color w:val="231F20"/>
        </w:rPr>
        <w:t>posta</w:t>
      </w:r>
      <w:r>
        <w:rPr>
          <w:color w:val="231F20"/>
          <w:spacing w:val="-10"/>
        </w:rPr>
        <w:t> </w:t>
      </w:r>
      <w:r>
        <w:rPr>
          <w:color w:val="231F20"/>
        </w:rPr>
        <w:t>alla</w:t>
      </w:r>
      <w:r>
        <w:rPr>
          <w:color w:val="231F20"/>
          <w:spacing w:val="-10"/>
        </w:rPr>
        <w:t> </w:t>
      </w:r>
      <w:r>
        <w:rPr>
          <w:color w:val="231F20"/>
        </w:rPr>
        <w:t>Corte</w:t>
      </w:r>
      <w:r>
        <w:rPr>
          <w:color w:val="231F20"/>
          <w:spacing w:val="-10"/>
        </w:rPr>
        <w:t> </w:t>
      </w:r>
      <w:r>
        <w:rPr>
          <w:color w:val="231F20"/>
        </w:rPr>
        <w:t>di</w:t>
      </w:r>
      <w:r>
        <w:rPr>
          <w:color w:val="231F20"/>
          <w:spacing w:val="-10"/>
        </w:rPr>
        <w:t> </w:t>
      </w:r>
      <w:r>
        <w:rPr>
          <w:color w:val="231F20"/>
        </w:rPr>
        <w:t>giustizia</w:t>
      </w:r>
      <w:r>
        <w:rPr>
          <w:color w:val="231F20"/>
          <w:spacing w:val="-10"/>
        </w:rPr>
        <w:t> </w:t>
      </w:r>
      <w:r>
        <w:rPr>
          <w:color w:val="231F20"/>
        </w:rPr>
        <w:t>dalla</w:t>
      </w:r>
      <w:r>
        <w:rPr>
          <w:color w:val="231F20"/>
          <w:spacing w:val="-10"/>
        </w:rPr>
        <w:t> </w:t>
      </w:r>
      <w:r>
        <w:rPr>
          <w:color w:val="231F20"/>
        </w:rPr>
        <w:t>Corte </w:t>
      </w:r>
      <w:r>
        <w:rPr>
          <w:color w:val="231F20"/>
          <w:spacing w:val="-4"/>
        </w:rPr>
        <w:t>amministrativa d’appello del Lussemburgo ha riguardato ancora una volta gli </w:t>
      </w:r>
      <w:r>
        <w:rPr>
          <w:color w:val="231F20"/>
          <w:spacing w:val="-2"/>
        </w:rPr>
        <w:t>artt.</w:t>
      </w:r>
      <w:r>
        <w:rPr>
          <w:color w:val="231F20"/>
          <w:spacing w:val="-15"/>
        </w:rPr>
        <w:t> </w:t>
      </w:r>
      <w:r>
        <w:rPr>
          <w:color w:val="231F20"/>
          <w:spacing w:val="-2"/>
        </w:rPr>
        <w:t>1</w:t>
      </w:r>
      <w:r>
        <w:rPr>
          <w:color w:val="231F20"/>
          <w:spacing w:val="-13"/>
        </w:rPr>
        <w:t> </w:t>
      </w:r>
      <w:r>
        <w:rPr>
          <w:color w:val="231F20"/>
          <w:spacing w:val="-2"/>
        </w:rPr>
        <w:t>e</w:t>
      </w:r>
      <w:r>
        <w:rPr>
          <w:color w:val="231F20"/>
          <w:spacing w:val="-13"/>
        </w:rPr>
        <w:t> </w:t>
      </w:r>
      <w:r>
        <w:rPr>
          <w:color w:val="231F20"/>
          <w:spacing w:val="-2"/>
        </w:rPr>
        <w:t>5</w:t>
      </w:r>
      <w:r>
        <w:rPr>
          <w:color w:val="231F20"/>
          <w:spacing w:val="-13"/>
        </w:rPr>
        <w:t> </w:t>
      </w:r>
      <w:r>
        <w:rPr>
          <w:color w:val="231F20"/>
          <w:spacing w:val="-2"/>
        </w:rPr>
        <w:t>della</w:t>
      </w:r>
      <w:r>
        <w:rPr>
          <w:color w:val="231F20"/>
          <w:spacing w:val="-13"/>
        </w:rPr>
        <w:t> </w:t>
      </w:r>
      <w:r>
        <w:rPr>
          <w:color w:val="231F20"/>
          <w:spacing w:val="-2"/>
        </w:rPr>
        <w:t>direttiva</w:t>
      </w:r>
      <w:r>
        <w:rPr>
          <w:color w:val="231F20"/>
          <w:spacing w:val="-13"/>
        </w:rPr>
        <w:t> </w:t>
      </w:r>
      <w:r>
        <w:rPr>
          <w:color w:val="231F20"/>
          <w:spacing w:val="-2"/>
        </w:rPr>
        <w:t>2011/16/UE</w:t>
      </w:r>
      <w:r>
        <w:rPr>
          <w:color w:val="231F20"/>
          <w:spacing w:val="-13"/>
        </w:rPr>
        <w:t> </w:t>
      </w:r>
      <w:r>
        <w:rPr>
          <w:color w:val="231F20"/>
          <w:spacing w:val="-2"/>
        </w:rPr>
        <w:t>al</w:t>
      </w:r>
      <w:r>
        <w:rPr>
          <w:color w:val="231F20"/>
          <w:spacing w:val="-13"/>
        </w:rPr>
        <w:t> </w:t>
      </w:r>
      <w:r>
        <w:rPr>
          <w:color w:val="231F20"/>
          <w:spacing w:val="-2"/>
        </w:rPr>
        <w:t>fine</w:t>
      </w:r>
      <w:r>
        <w:rPr>
          <w:color w:val="231F20"/>
          <w:spacing w:val="-13"/>
        </w:rPr>
        <w:t> </w:t>
      </w:r>
      <w:r>
        <w:rPr>
          <w:color w:val="231F20"/>
          <w:spacing w:val="-2"/>
        </w:rPr>
        <w:t>di</w:t>
      </w:r>
      <w:r>
        <w:rPr>
          <w:color w:val="231F20"/>
          <w:spacing w:val="-13"/>
        </w:rPr>
        <w:t> </w:t>
      </w:r>
      <w:r>
        <w:rPr>
          <w:color w:val="231F20"/>
          <w:spacing w:val="-2"/>
        </w:rPr>
        <w:t>definire</w:t>
      </w:r>
      <w:r>
        <w:rPr>
          <w:color w:val="231F20"/>
          <w:spacing w:val="-13"/>
        </w:rPr>
        <w:t> </w:t>
      </w:r>
      <w:r>
        <w:rPr>
          <w:color w:val="231F20"/>
          <w:spacing w:val="-2"/>
        </w:rPr>
        <w:t>il</w:t>
      </w:r>
      <w:r>
        <w:rPr>
          <w:color w:val="231F20"/>
          <w:spacing w:val="-13"/>
        </w:rPr>
        <w:t> </w:t>
      </w:r>
      <w:r>
        <w:rPr>
          <w:color w:val="231F20"/>
          <w:spacing w:val="-2"/>
        </w:rPr>
        <w:t>livello</w:t>
      </w:r>
      <w:r>
        <w:rPr>
          <w:color w:val="231F20"/>
          <w:spacing w:val="-13"/>
        </w:rPr>
        <w:t> </w:t>
      </w:r>
      <w:r>
        <w:rPr>
          <w:color w:val="231F20"/>
          <w:spacing w:val="-2"/>
        </w:rPr>
        <w:t>di</w:t>
      </w:r>
      <w:r>
        <w:rPr>
          <w:color w:val="231F20"/>
          <w:spacing w:val="-13"/>
        </w:rPr>
        <w:t> </w:t>
      </w:r>
      <w:r>
        <w:rPr>
          <w:color w:val="231F20"/>
          <w:spacing w:val="-2"/>
        </w:rPr>
        <w:t>precisione che</w:t>
      </w:r>
      <w:r>
        <w:rPr>
          <w:color w:val="231F20"/>
          <w:spacing w:val="-10"/>
        </w:rPr>
        <w:t> </w:t>
      </w:r>
      <w:r>
        <w:rPr>
          <w:color w:val="231F20"/>
          <w:spacing w:val="-2"/>
        </w:rPr>
        <w:t>devono</w:t>
      </w:r>
      <w:r>
        <w:rPr>
          <w:color w:val="231F20"/>
          <w:spacing w:val="-10"/>
        </w:rPr>
        <w:t> </w:t>
      </w:r>
      <w:r>
        <w:rPr>
          <w:color w:val="231F20"/>
          <w:spacing w:val="-2"/>
        </w:rPr>
        <w:t>presentare,</w:t>
      </w:r>
      <w:r>
        <w:rPr>
          <w:color w:val="231F20"/>
          <w:spacing w:val="-10"/>
        </w:rPr>
        <w:t> </w:t>
      </w:r>
      <w:r>
        <w:rPr>
          <w:color w:val="231F20"/>
          <w:spacing w:val="-2"/>
        </w:rPr>
        <w:t>sia</w:t>
      </w:r>
      <w:r>
        <w:rPr>
          <w:color w:val="231F20"/>
          <w:spacing w:val="-10"/>
        </w:rPr>
        <w:t> </w:t>
      </w:r>
      <w:r>
        <w:rPr>
          <w:color w:val="231F20"/>
          <w:spacing w:val="-2"/>
        </w:rPr>
        <w:t>le</w:t>
      </w:r>
      <w:r>
        <w:rPr>
          <w:color w:val="231F20"/>
          <w:spacing w:val="-10"/>
        </w:rPr>
        <w:t> </w:t>
      </w:r>
      <w:r>
        <w:rPr>
          <w:color w:val="231F20"/>
          <w:spacing w:val="-2"/>
        </w:rPr>
        <w:t>richieste</w:t>
      </w:r>
      <w:r>
        <w:rPr>
          <w:color w:val="231F20"/>
          <w:spacing w:val="-10"/>
        </w:rPr>
        <w:t> </w:t>
      </w:r>
      <w:r>
        <w:rPr>
          <w:color w:val="231F20"/>
          <w:spacing w:val="-2"/>
        </w:rPr>
        <w:t>di</w:t>
      </w:r>
      <w:r>
        <w:rPr>
          <w:color w:val="231F20"/>
          <w:spacing w:val="-10"/>
        </w:rPr>
        <w:t> </w:t>
      </w:r>
      <w:r>
        <w:rPr>
          <w:color w:val="231F20"/>
          <w:spacing w:val="-2"/>
        </w:rPr>
        <w:t>informazioni</w:t>
      </w:r>
      <w:r>
        <w:rPr>
          <w:color w:val="231F20"/>
          <w:spacing w:val="-10"/>
        </w:rPr>
        <w:t> </w:t>
      </w:r>
      <w:r>
        <w:rPr>
          <w:color w:val="231F20"/>
          <w:spacing w:val="-2"/>
        </w:rPr>
        <w:t>trasmesse</w:t>
      </w:r>
      <w:r>
        <w:rPr>
          <w:color w:val="231F20"/>
          <w:spacing w:val="-10"/>
        </w:rPr>
        <w:t> </w:t>
      </w:r>
      <w:r>
        <w:rPr>
          <w:color w:val="231F20"/>
          <w:spacing w:val="-2"/>
        </w:rPr>
        <w:t>dall’autorità </w:t>
      </w:r>
      <w:r>
        <w:rPr>
          <w:color w:val="231F20"/>
        </w:rPr>
        <w:t>richiedente</w:t>
      </w:r>
      <w:r>
        <w:rPr>
          <w:color w:val="231F20"/>
          <w:spacing w:val="-15"/>
        </w:rPr>
        <w:t> </w:t>
      </w:r>
      <w:r>
        <w:rPr>
          <w:color w:val="231F20"/>
        </w:rPr>
        <w:t>all’autorità</w:t>
      </w:r>
      <w:r>
        <w:rPr>
          <w:color w:val="231F20"/>
          <w:spacing w:val="-15"/>
        </w:rPr>
        <w:t> </w:t>
      </w:r>
      <w:r>
        <w:rPr>
          <w:color w:val="231F20"/>
        </w:rPr>
        <w:t>interpellata,</w:t>
      </w:r>
      <w:r>
        <w:rPr>
          <w:color w:val="231F20"/>
          <w:spacing w:val="-15"/>
        </w:rPr>
        <w:t> </w:t>
      </w:r>
      <w:r>
        <w:rPr>
          <w:color w:val="231F20"/>
        </w:rPr>
        <w:t>sia</w:t>
      </w:r>
      <w:r>
        <w:rPr>
          <w:color w:val="231F20"/>
          <w:spacing w:val="-15"/>
        </w:rPr>
        <w:t> </w:t>
      </w:r>
      <w:r>
        <w:rPr>
          <w:color w:val="231F20"/>
        </w:rPr>
        <w:t>le</w:t>
      </w:r>
      <w:r>
        <w:rPr>
          <w:color w:val="231F20"/>
          <w:spacing w:val="-15"/>
        </w:rPr>
        <w:t> </w:t>
      </w:r>
      <w:r>
        <w:rPr>
          <w:color w:val="231F20"/>
        </w:rPr>
        <w:t>decisioni</w:t>
      </w:r>
      <w:r>
        <w:rPr>
          <w:color w:val="231F20"/>
          <w:spacing w:val="-15"/>
        </w:rPr>
        <w:t> </w:t>
      </w:r>
      <w:r>
        <w:rPr>
          <w:color w:val="231F20"/>
        </w:rPr>
        <w:t>di</w:t>
      </w:r>
      <w:r>
        <w:rPr>
          <w:color w:val="231F20"/>
          <w:spacing w:val="-15"/>
        </w:rPr>
        <w:t> </w:t>
      </w:r>
      <w:r>
        <w:rPr>
          <w:color w:val="231F20"/>
        </w:rPr>
        <w:t>ingiunzione</w:t>
      </w:r>
      <w:r>
        <w:rPr>
          <w:color w:val="231F20"/>
          <w:spacing w:val="-15"/>
        </w:rPr>
        <w:t> </w:t>
      </w:r>
      <w:r>
        <w:rPr>
          <w:color w:val="231F20"/>
        </w:rPr>
        <w:t>notificate </w:t>
      </w:r>
      <w:r>
        <w:rPr>
          <w:color w:val="231F20"/>
          <w:spacing w:val="-4"/>
        </w:rPr>
        <w:t>sulla</w:t>
      </w:r>
      <w:r>
        <w:rPr>
          <w:color w:val="231F20"/>
          <w:spacing w:val="-8"/>
        </w:rPr>
        <w:t> </w:t>
      </w:r>
      <w:r>
        <w:rPr>
          <w:color w:val="231F20"/>
          <w:spacing w:val="-4"/>
        </w:rPr>
        <w:t>base</w:t>
      </w:r>
      <w:r>
        <w:rPr>
          <w:color w:val="231F20"/>
          <w:spacing w:val="-8"/>
        </w:rPr>
        <w:t> </w:t>
      </w:r>
      <w:r>
        <w:rPr>
          <w:color w:val="231F20"/>
          <w:spacing w:val="-4"/>
        </w:rPr>
        <w:t>di</w:t>
      </w:r>
      <w:r>
        <w:rPr>
          <w:color w:val="231F20"/>
          <w:spacing w:val="-8"/>
        </w:rPr>
        <w:t> </w:t>
      </w:r>
      <w:r>
        <w:rPr>
          <w:color w:val="231F20"/>
          <w:spacing w:val="-4"/>
        </w:rPr>
        <w:t>dette</w:t>
      </w:r>
      <w:r>
        <w:rPr>
          <w:color w:val="231F20"/>
          <w:spacing w:val="-8"/>
        </w:rPr>
        <w:t> </w:t>
      </w:r>
      <w:r>
        <w:rPr>
          <w:color w:val="231F20"/>
          <w:spacing w:val="-4"/>
        </w:rPr>
        <w:t>richieste</w:t>
      </w:r>
      <w:r>
        <w:rPr>
          <w:color w:val="231F20"/>
          <w:spacing w:val="-8"/>
        </w:rPr>
        <w:t> </w:t>
      </w:r>
      <w:r>
        <w:rPr>
          <w:color w:val="231F20"/>
          <w:spacing w:val="-4"/>
        </w:rPr>
        <w:t>dall’autorità</w:t>
      </w:r>
      <w:r>
        <w:rPr>
          <w:color w:val="231F20"/>
          <w:spacing w:val="-8"/>
        </w:rPr>
        <w:t> </w:t>
      </w:r>
      <w:r>
        <w:rPr>
          <w:color w:val="231F20"/>
          <w:spacing w:val="-4"/>
        </w:rPr>
        <w:t>interpellata</w:t>
      </w:r>
      <w:r>
        <w:rPr>
          <w:color w:val="231F20"/>
          <w:spacing w:val="-8"/>
        </w:rPr>
        <w:t> </w:t>
      </w:r>
      <w:r>
        <w:rPr>
          <w:color w:val="231F20"/>
          <w:spacing w:val="-4"/>
        </w:rPr>
        <w:t>al</w:t>
      </w:r>
      <w:r>
        <w:rPr>
          <w:color w:val="231F20"/>
          <w:spacing w:val="-8"/>
        </w:rPr>
        <w:t> </w:t>
      </w:r>
      <w:r>
        <w:rPr>
          <w:color w:val="231F20"/>
          <w:spacing w:val="-4"/>
        </w:rPr>
        <w:t>soggetto</w:t>
      </w:r>
      <w:r>
        <w:rPr>
          <w:color w:val="231F20"/>
          <w:spacing w:val="-8"/>
        </w:rPr>
        <w:t> </w:t>
      </w:r>
      <w:r>
        <w:rPr>
          <w:color w:val="231F20"/>
          <w:spacing w:val="-4"/>
        </w:rPr>
        <w:t>detentore</w:t>
      </w:r>
      <w:r>
        <w:rPr>
          <w:color w:val="231F20"/>
          <w:spacing w:val="-8"/>
        </w:rPr>
        <w:t> </w:t>
      </w:r>
      <w:r>
        <w:rPr>
          <w:color w:val="231F20"/>
          <w:spacing w:val="-4"/>
        </w:rPr>
        <w:t>delle informazioni,</w:t>
      </w:r>
      <w:r>
        <w:rPr>
          <w:color w:val="231F20"/>
          <w:spacing w:val="-6"/>
        </w:rPr>
        <w:t> </w:t>
      </w:r>
      <w:r>
        <w:rPr>
          <w:color w:val="231F20"/>
          <w:spacing w:val="-4"/>
        </w:rPr>
        <w:t>alla</w:t>
      </w:r>
      <w:r>
        <w:rPr>
          <w:color w:val="231F20"/>
          <w:spacing w:val="-6"/>
        </w:rPr>
        <w:t> </w:t>
      </w:r>
      <w:r>
        <w:rPr>
          <w:color w:val="231F20"/>
          <w:spacing w:val="-4"/>
        </w:rPr>
        <w:t>luce</w:t>
      </w:r>
      <w:r>
        <w:rPr>
          <w:color w:val="231F20"/>
          <w:spacing w:val="-6"/>
        </w:rPr>
        <w:t> </w:t>
      </w:r>
      <w:r>
        <w:rPr>
          <w:color w:val="231F20"/>
          <w:spacing w:val="-4"/>
        </w:rPr>
        <w:t>dell’esigenza</w:t>
      </w:r>
      <w:r>
        <w:rPr>
          <w:color w:val="231F20"/>
          <w:spacing w:val="-6"/>
        </w:rPr>
        <w:t> </w:t>
      </w:r>
      <w:r>
        <w:rPr>
          <w:color w:val="231F20"/>
          <w:spacing w:val="-4"/>
        </w:rPr>
        <w:t>di</w:t>
      </w:r>
      <w:r>
        <w:rPr>
          <w:color w:val="231F20"/>
          <w:spacing w:val="-6"/>
        </w:rPr>
        <w:t> </w:t>
      </w:r>
      <w:r>
        <w:rPr>
          <w:color w:val="231F20"/>
          <w:spacing w:val="-4"/>
        </w:rPr>
        <w:t>«prevedibile</w:t>
      </w:r>
      <w:r>
        <w:rPr>
          <w:color w:val="231F20"/>
          <w:spacing w:val="-6"/>
        </w:rPr>
        <w:t> </w:t>
      </w:r>
      <w:r>
        <w:rPr>
          <w:color w:val="231F20"/>
          <w:spacing w:val="-4"/>
        </w:rPr>
        <w:t>pertinenza»</w:t>
      </w:r>
      <w:r>
        <w:rPr>
          <w:color w:val="231F20"/>
          <w:spacing w:val="-6"/>
        </w:rPr>
        <w:t> </w:t>
      </w:r>
      <w:r>
        <w:rPr>
          <w:color w:val="231F20"/>
          <w:spacing w:val="-4"/>
        </w:rPr>
        <w:t>delle</w:t>
      </w:r>
      <w:r>
        <w:rPr>
          <w:color w:val="231F20"/>
          <w:spacing w:val="-6"/>
        </w:rPr>
        <w:t> </w:t>
      </w:r>
      <w:r>
        <w:rPr>
          <w:color w:val="231F20"/>
          <w:spacing w:val="-4"/>
        </w:rPr>
        <w:t>informa- </w:t>
      </w:r>
      <w:r>
        <w:rPr>
          <w:color w:val="231F20"/>
        </w:rPr>
        <w:t>zioni</w:t>
      </w:r>
      <w:r>
        <w:rPr>
          <w:color w:val="231F20"/>
          <w:spacing w:val="-7"/>
        </w:rPr>
        <w:t> </w:t>
      </w:r>
      <w:r>
        <w:rPr>
          <w:color w:val="231F20"/>
        </w:rPr>
        <w:t>stesse</w:t>
      </w:r>
      <w:r>
        <w:rPr>
          <w:color w:val="231F20"/>
          <w:spacing w:val="-7"/>
        </w:rPr>
        <w:t> </w:t>
      </w:r>
      <w:r>
        <w:rPr>
          <w:color w:val="231F20"/>
        </w:rPr>
        <w:t>prevista</w:t>
      </w:r>
      <w:r>
        <w:rPr>
          <w:color w:val="231F20"/>
          <w:spacing w:val="-7"/>
        </w:rPr>
        <w:t> </w:t>
      </w:r>
      <w:r>
        <w:rPr>
          <w:color w:val="231F20"/>
        </w:rPr>
        <w:t>dalle</w:t>
      </w:r>
      <w:r>
        <w:rPr>
          <w:color w:val="231F20"/>
          <w:spacing w:val="-7"/>
        </w:rPr>
        <w:t> </w:t>
      </w:r>
      <w:r>
        <w:rPr>
          <w:color w:val="231F20"/>
        </w:rPr>
        <w:t>due</w:t>
      </w:r>
      <w:r>
        <w:rPr>
          <w:color w:val="231F20"/>
          <w:spacing w:val="-7"/>
        </w:rPr>
        <w:t> </w:t>
      </w:r>
      <w:r>
        <w:rPr>
          <w:color w:val="231F20"/>
        </w:rPr>
        <w:t>suddette</w:t>
      </w:r>
      <w:r>
        <w:rPr>
          <w:color w:val="231F20"/>
          <w:spacing w:val="-7"/>
        </w:rPr>
        <w:t> </w:t>
      </w:r>
      <w:r>
        <w:rPr>
          <w:color w:val="231F20"/>
        </w:rPr>
        <w:t>disposizioni</w:t>
      </w:r>
      <w:r>
        <w:rPr>
          <w:color w:val="231F20"/>
          <w:spacing w:val="-7"/>
        </w:rPr>
        <w:t> </w:t>
      </w:r>
      <w:r>
        <w:rPr>
          <w:color w:val="231F20"/>
        </w:rPr>
        <w:t>della</w:t>
      </w:r>
      <w:r>
        <w:rPr>
          <w:color w:val="231F20"/>
          <w:spacing w:val="-7"/>
        </w:rPr>
        <w:t> </w:t>
      </w:r>
      <w:r>
        <w:rPr>
          <w:color w:val="231F20"/>
        </w:rPr>
        <w:t>direttiva.</w:t>
      </w:r>
      <w:r>
        <w:rPr>
          <w:color w:val="231F20"/>
          <w:spacing w:val="-7"/>
        </w:rPr>
        <w:t> </w:t>
      </w:r>
      <w:r>
        <w:rPr>
          <w:color w:val="231F20"/>
        </w:rPr>
        <w:t>I</w:t>
      </w:r>
      <w:r>
        <w:rPr>
          <w:color w:val="231F20"/>
          <w:spacing w:val="-7"/>
        </w:rPr>
        <w:t> </w:t>
      </w:r>
      <w:r>
        <w:rPr>
          <w:color w:val="231F20"/>
        </w:rPr>
        <w:t>giudici dell’Unione</w:t>
      </w:r>
      <w:r>
        <w:rPr>
          <w:color w:val="231F20"/>
          <w:spacing w:val="-7"/>
        </w:rPr>
        <w:t> </w:t>
      </w:r>
      <w:r>
        <w:rPr>
          <w:color w:val="231F20"/>
        </w:rPr>
        <w:t>si</w:t>
      </w:r>
      <w:r>
        <w:rPr>
          <w:color w:val="231F20"/>
          <w:spacing w:val="-6"/>
        </w:rPr>
        <w:t> </w:t>
      </w:r>
      <w:r>
        <w:rPr>
          <w:color w:val="231F20"/>
        </w:rPr>
        <w:t>sono</w:t>
      </w:r>
      <w:r>
        <w:rPr>
          <w:color w:val="231F20"/>
          <w:spacing w:val="-6"/>
        </w:rPr>
        <w:t> </w:t>
      </w:r>
      <w:r>
        <w:rPr>
          <w:color w:val="231F20"/>
        </w:rPr>
        <w:t>basati,</w:t>
      </w:r>
      <w:r>
        <w:rPr>
          <w:color w:val="231F20"/>
          <w:spacing w:val="-7"/>
        </w:rPr>
        <w:t> </w:t>
      </w:r>
      <w:r>
        <w:rPr>
          <w:color w:val="231F20"/>
        </w:rPr>
        <w:t>in</w:t>
      </w:r>
      <w:r>
        <w:rPr>
          <w:color w:val="231F20"/>
          <w:spacing w:val="-6"/>
        </w:rPr>
        <w:t> </w:t>
      </w:r>
      <w:r>
        <w:rPr>
          <w:color w:val="231F20"/>
        </w:rPr>
        <w:t>primo</w:t>
      </w:r>
      <w:r>
        <w:rPr>
          <w:color w:val="231F20"/>
          <w:spacing w:val="-6"/>
        </w:rPr>
        <w:t> </w:t>
      </w:r>
      <w:r>
        <w:rPr>
          <w:color w:val="231F20"/>
        </w:rPr>
        <w:t>luogo,</w:t>
      </w:r>
      <w:r>
        <w:rPr>
          <w:color w:val="231F20"/>
          <w:spacing w:val="-7"/>
        </w:rPr>
        <w:t> </w:t>
      </w:r>
      <w:r>
        <w:rPr>
          <w:color w:val="231F20"/>
        </w:rPr>
        <w:t>sul</w:t>
      </w:r>
      <w:r>
        <w:rPr>
          <w:color w:val="231F20"/>
          <w:spacing w:val="-6"/>
        </w:rPr>
        <w:t> </w:t>
      </w:r>
      <w:r>
        <w:rPr>
          <w:color w:val="231F20"/>
        </w:rPr>
        <w:t>dettato</w:t>
      </w:r>
      <w:r>
        <w:rPr>
          <w:color w:val="231F20"/>
          <w:spacing w:val="-6"/>
        </w:rPr>
        <w:t> </w:t>
      </w:r>
      <w:r>
        <w:rPr>
          <w:color w:val="231F20"/>
        </w:rPr>
        <w:t>letterale</w:t>
      </w:r>
      <w:r>
        <w:rPr>
          <w:color w:val="231F20"/>
          <w:spacing w:val="-7"/>
        </w:rPr>
        <w:t> </w:t>
      </w:r>
      <w:r>
        <w:rPr>
          <w:color w:val="231F20"/>
        </w:rPr>
        <w:t>del</w:t>
      </w:r>
      <w:r>
        <w:rPr>
          <w:color w:val="231F20"/>
          <w:spacing w:val="-6"/>
        </w:rPr>
        <w:t> </w:t>
      </w:r>
      <w:r>
        <w:rPr>
          <w:color w:val="231F20"/>
        </w:rPr>
        <w:t>punto</w:t>
      </w:r>
      <w:r>
        <w:rPr>
          <w:color w:val="231F20"/>
          <w:spacing w:val="-6"/>
        </w:rPr>
        <w:t> </w:t>
      </w:r>
      <w:r>
        <w:rPr>
          <w:color w:val="231F20"/>
          <w:spacing w:val="-10"/>
        </w:rPr>
        <w:t>9</w:t>
      </w:r>
    </w:p>
    <w:p>
      <w:pPr>
        <w:pStyle w:val="BodyText"/>
        <w:spacing w:before="11"/>
        <w:rPr>
          <w:sz w:val="4"/>
        </w:rPr>
      </w:pPr>
      <w:r>
        <w:rPr/>
        <mc:AlternateContent>
          <mc:Choice Requires="wps">
            <w:drawing>
              <wp:anchor distT="0" distB="0" distL="0" distR="0" allowOverlap="1" layoutInCell="1" locked="0" behindDoc="1" simplePos="0" relativeHeight="487628288">
                <wp:simplePos x="0" y="0"/>
                <wp:positionH relativeFrom="page">
                  <wp:posOffset>864000</wp:posOffset>
                </wp:positionH>
                <wp:positionV relativeFrom="paragraph">
                  <wp:posOffset>54947</wp:posOffset>
                </wp:positionV>
                <wp:extent cx="792480" cy="1270"/>
                <wp:effectExtent l="0" t="0" r="0" b="0"/>
                <wp:wrapTopAndBottom/>
                <wp:docPr id="134" name="Graphic 134"/>
                <wp:cNvGraphicFramePr>
                  <a:graphicFrameLocks/>
                </wp:cNvGraphicFramePr>
                <a:graphic>
                  <a:graphicData uri="http://schemas.microsoft.com/office/word/2010/wordprocessingShape">
                    <wps:wsp>
                      <wps:cNvPr id="134" name="Graphic 134"/>
                      <wps:cNvSpPr/>
                      <wps:spPr>
                        <a:xfrm>
                          <a:off x="0" y="0"/>
                          <a:ext cx="792480" cy="1270"/>
                        </a:xfrm>
                        <a:custGeom>
                          <a:avLst/>
                          <a:gdLst/>
                          <a:ahLst/>
                          <a:cxnLst/>
                          <a:rect l="l" t="t" r="r" b="b"/>
                          <a:pathLst>
                            <a:path w="792480" h="0">
                              <a:moveTo>
                                <a:pt x="0" y="0"/>
                              </a:moveTo>
                              <a:lnTo>
                                <a:pt x="791997"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shape style="position:absolute;margin-left:68.031502pt;margin-top:4.326540pt;width:62.4pt;height:.1pt;mso-position-horizontal-relative:page;mso-position-vertical-relative:paragraph;z-index:-15688192;mso-wrap-distance-left:0;mso-wrap-distance-right:0" id="docshape111" coordorigin="1361,87" coordsize="1248,0" path="m1361,87l2608,87e" filled="false" stroked="true" strokeweight=".5pt" strokecolor="#231f20">
                <v:path arrowok="t"/>
                <v:stroke dashstyle="solid"/>
                <w10:wrap type="topAndBottom"/>
              </v:shape>
            </w:pict>
          </mc:Fallback>
        </mc:AlternateContent>
      </w:r>
    </w:p>
    <w:p>
      <w:pPr>
        <w:spacing w:line="235" w:lineRule="exact" w:before="190"/>
        <w:ind w:left="100" w:right="0" w:firstLine="0"/>
        <w:jc w:val="left"/>
        <w:rPr>
          <w:sz w:val="19"/>
        </w:rPr>
      </w:pPr>
      <w:r>
        <w:rPr>
          <w:color w:val="231F20"/>
          <w:position w:val="6"/>
          <w:sz w:val="11"/>
        </w:rPr>
        <w:t>96</w:t>
      </w:r>
      <w:r>
        <w:rPr>
          <w:color w:val="231F20"/>
          <w:spacing w:val="53"/>
          <w:position w:val="6"/>
          <w:sz w:val="11"/>
        </w:rPr>
        <w:t>  </w:t>
      </w:r>
      <w:r>
        <w:rPr>
          <w:color w:val="231F20"/>
          <w:sz w:val="19"/>
        </w:rPr>
        <w:t>Corte</w:t>
      </w:r>
      <w:r>
        <w:rPr>
          <w:color w:val="231F20"/>
          <w:spacing w:val="1"/>
          <w:sz w:val="19"/>
        </w:rPr>
        <w:t> </w:t>
      </w:r>
      <w:r>
        <w:rPr>
          <w:color w:val="231F20"/>
          <w:sz w:val="19"/>
        </w:rPr>
        <w:t>giust. UE, sent. del</w:t>
      </w:r>
      <w:r>
        <w:rPr>
          <w:color w:val="231F20"/>
          <w:spacing w:val="1"/>
          <w:sz w:val="19"/>
        </w:rPr>
        <w:t> </w:t>
      </w:r>
      <w:r>
        <w:rPr>
          <w:color w:val="231F20"/>
          <w:sz w:val="19"/>
        </w:rPr>
        <w:t>16 maggio 2017, causa C-682/15, cit., punto </w:t>
      </w:r>
      <w:r>
        <w:rPr>
          <w:color w:val="231F20"/>
          <w:spacing w:val="-5"/>
          <w:sz w:val="19"/>
        </w:rPr>
        <w:t>70.</w:t>
      </w:r>
    </w:p>
    <w:p>
      <w:pPr>
        <w:spacing w:line="235" w:lineRule="exact" w:before="0"/>
        <w:ind w:left="100" w:right="0" w:firstLine="0"/>
        <w:jc w:val="left"/>
        <w:rPr>
          <w:sz w:val="19"/>
        </w:rPr>
      </w:pPr>
      <w:r>
        <w:rPr>
          <w:color w:val="231F20"/>
          <w:position w:val="6"/>
          <w:sz w:val="11"/>
        </w:rPr>
        <w:t>97</w:t>
      </w:r>
      <w:r>
        <w:rPr>
          <w:color w:val="231F20"/>
          <w:spacing w:val="53"/>
          <w:position w:val="6"/>
          <w:sz w:val="11"/>
        </w:rPr>
        <w:t>  </w:t>
      </w:r>
      <w:r>
        <w:rPr>
          <w:color w:val="231F20"/>
          <w:sz w:val="19"/>
        </w:rPr>
        <w:t>Corte</w:t>
      </w:r>
      <w:r>
        <w:rPr>
          <w:color w:val="231F20"/>
          <w:spacing w:val="1"/>
          <w:sz w:val="19"/>
        </w:rPr>
        <w:t> </w:t>
      </w:r>
      <w:r>
        <w:rPr>
          <w:color w:val="231F20"/>
          <w:sz w:val="19"/>
        </w:rPr>
        <w:t>giust.</w:t>
      </w:r>
      <w:r>
        <w:rPr>
          <w:color w:val="231F20"/>
          <w:spacing w:val="1"/>
          <w:sz w:val="19"/>
        </w:rPr>
        <w:t> </w:t>
      </w:r>
      <w:r>
        <w:rPr>
          <w:color w:val="231F20"/>
          <w:sz w:val="19"/>
        </w:rPr>
        <w:t>UE, ult. cit., punto </w:t>
      </w:r>
      <w:r>
        <w:rPr>
          <w:color w:val="231F20"/>
          <w:spacing w:val="-5"/>
          <w:sz w:val="19"/>
        </w:rPr>
        <w:t>82.</w:t>
      </w:r>
    </w:p>
    <w:p>
      <w:pPr>
        <w:spacing w:after="0" w:line="235" w:lineRule="exact"/>
        <w:jc w:val="left"/>
        <w:rPr>
          <w:sz w:val="19"/>
        </w:rPr>
        <w:sectPr>
          <w:pgSz w:w="9640" w:h="13610"/>
          <w:pgMar w:header="0" w:footer="625" w:top="1260" w:bottom="820" w:left="1260" w:right="1240"/>
        </w:sectPr>
      </w:pPr>
    </w:p>
    <w:p>
      <w:pPr>
        <w:pStyle w:val="BodyText"/>
        <w:spacing w:line="225" w:lineRule="auto" w:before="117"/>
        <w:ind w:left="157" w:right="117"/>
        <w:jc w:val="both"/>
      </w:pPr>
      <w:r>
        <w:rPr/>
        <mc:AlternateContent>
          <mc:Choice Requires="wps">
            <w:drawing>
              <wp:anchor distT="0" distB="0" distL="0" distR="0" allowOverlap="1" layoutInCell="1" locked="0" behindDoc="0" simplePos="0" relativeHeight="15770112">
                <wp:simplePos x="0" y="0"/>
                <wp:positionH relativeFrom="page">
                  <wp:posOffset>5608609</wp:posOffset>
                </wp:positionH>
                <wp:positionV relativeFrom="page">
                  <wp:posOffset>2376001</wp:posOffset>
                </wp:positionV>
                <wp:extent cx="511809" cy="2412365"/>
                <wp:effectExtent l="0" t="0" r="0" b="0"/>
                <wp:wrapNone/>
                <wp:docPr id="135" name="Group 135"/>
                <wp:cNvGraphicFramePr>
                  <a:graphicFrameLocks/>
                </wp:cNvGraphicFramePr>
                <a:graphic>
                  <a:graphicData uri="http://schemas.microsoft.com/office/word/2010/wordprocessingGroup">
                    <wpg:wgp>
                      <wpg:cNvPr id="135" name="Group 135"/>
                      <wpg:cNvGrpSpPr/>
                      <wpg:grpSpPr>
                        <a:xfrm>
                          <a:off x="0" y="0"/>
                          <a:ext cx="511809" cy="2412365"/>
                          <a:chExt cx="511809" cy="2412365"/>
                        </a:xfrm>
                      </wpg:grpSpPr>
                      <wps:wsp>
                        <wps:cNvPr id="136" name="Graphic 136"/>
                        <wps:cNvSpPr/>
                        <wps:spPr>
                          <a:xfrm>
                            <a:off x="7393" y="3"/>
                            <a:ext cx="504190" cy="360045"/>
                          </a:xfrm>
                          <a:custGeom>
                            <a:avLst/>
                            <a:gdLst/>
                            <a:ahLst/>
                            <a:cxnLst/>
                            <a:rect l="l" t="t" r="r" b="b"/>
                            <a:pathLst>
                              <a:path w="504190" h="360045">
                                <a:moveTo>
                                  <a:pt x="503999" y="0"/>
                                </a:moveTo>
                                <a:lnTo>
                                  <a:pt x="0" y="0"/>
                                </a:lnTo>
                                <a:lnTo>
                                  <a:pt x="0" y="359994"/>
                                </a:lnTo>
                                <a:lnTo>
                                  <a:pt x="503999" y="359994"/>
                                </a:lnTo>
                                <a:lnTo>
                                  <a:pt x="503999" y="0"/>
                                </a:lnTo>
                                <a:close/>
                              </a:path>
                            </a:pathLst>
                          </a:custGeom>
                          <a:solidFill>
                            <a:srgbClr val="939598"/>
                          </a:solidFill>
                        </wps:spPr>
                        <wps:bodyPr wrap="square" lIns="0" tIns="0" rIns="0" bIns="0" rtlCol="0">
                          <a:prstTxWarp prst="textNoShape">
                            <a:avLst/>
                          </a:prstTxWarp>
                          <a:noAutofit/>
                        </wps:bodyPr>
                      </wps:wsp>
                      <wps:wsp>
                        <wps:cNvPr id="137" name="Graphic 137"/>
                        <wps:cNvSpPr/>
                        <wps:spPr>
                          <a:xfrm>
                            <a:off x="6350" y="0"/>
                            <a:ext cx="1270" cy="2412365"/>
                          </a:xfrm>
                          <a:custGeom>
                            <a:avLst/>
                            <a:gdLst/>
                            <a:ahLst/>
                            <a:cxnLst/>
                            <a:rect l="l" t="t" r="r" b="b"/>
                            <a:pathLst>
                              <a:path w="0" h="2412365">
                                <a:moveTo>
                                  <a:pt x="0" y="0"/>
                                </a:moveTo>
                                <a:lnTo>
                                  <a:pt x="0" y="2411996"/>
                                </a:lnTo>
                              </a:path>
                            </a:pathLst>
                          </a:custGeom>
                          <a:ln w="12700">
                            <a:solidFill>
                              <a:srgbClr val="939598"/>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441.622803pt;margin-top:187.0867pt;width:40.3pt;height:189.95pt;mso-position-horizontal-relative:page;mso-position-vertical-relative:page;z-index:15770112" id="docshapegroup112" coordorigin="8832,3742" coordsize="806,3799">
                <v:rect style="position:absolute;left:8844;top:3741;width:794;height:567" id="docshape113" filled="true" fillcolor="#939598" stroked="false">
                  <v:fill type="solid"/>
                </v:rect>
                <v:line style="position:absolute" from="8842,3742" to="8842,7540" stroked="true" strokeweight="1pt" strokecolor="#939598">
                  <v:stroke dashstyle="solid"/>
                </v:line>
                <w10:wrap type="none"/>
              </v:group>
            </w:pict>
          </mc:Fallback>
        </mc:AlternateContent>
      </w:r>
      <w:r>
        <w:rPr/>
        <mc:AlternateContent>
          <mc:Choice Requires="wps">
            <w:drawing>
              <wp:anchor distT="0" distB="0" distL="0" distR="0" allowOverlap="1" layoutInCell="1" locked="0" behindDoc="0" simplePos="0" relativeHeight="15770624">
                <wp:simplePos x="0" y="0"/>
                <wp:positionH relativeFrom="page">
                  <wp:posOffset>5635147</wp:posOffset>
                </wp:positionH>
                <wp:positionV relativeFrom="page">
                  <wp:posOffset>2795300</wp:posOffset>
                </wp:positionV>
                <wp:extent cx="299720" cy="1995805"/>
                <wp:effectExtent l="0" t="0" r="0" b="0"/>
                <wp:wrapNone/>
                <wp:docPr id="138" name="Textbox 138"/>
                <wp:cNvGraphicFramePr>
                  <a:graphicFrameLocks/>
                </wp:cNvGraphicFramePr>
                <a:graphic>
                  <a:graphicData uri="http://schemas.microsoft.com/office/word/2010/wordprocessingShape">
                    <wps:wsp>
                      <wps:cNvPr id="138" name="Textbox 138"/>
                      <wps:cNvSpPr txBox="1"/>
                      <wps:spPr>
                        <a:xfrm>
                          <a:off x="0" y="0"/>
                          <a:ext cx="299720" cy="1995805"/>
                        </a:xfrm>
                        <a:prstGeom prst="rect">
                          <a:avLst/>
                        </a:prstGeom>
                      </wps:spPr>
                      <wps:txbx>
                        <w:txbxContent>
                          <w:p>
                            <w:pPr>
                              <w:spacing w:before="20"/>
                              <w:ind w:left="20" w:right="0" w:firstLine="0"/>
                              <w:jc w:val="left"/>
                              <w:rPr>
                                <w:rFonts w:ascii="Minion Pro"/>
                                <w:sz w:val="32"/>
                              </w:rPr>
                            </w:pPr>
                            <w:r>
                              <w:rPr>
                                <w:rFonts w:ascii="Minion Pro"/>
                                <w:color w:val="231F20"/>
                                <w:sz w:val="32"/>
                              </w:rPr>
                              <w:t>Commented</w:t>
                            </w:r>
                            <w:r>
                              <w:rPr>
                                <w:rFonts w:ascii="Minion Pro"/>
                                <w:color w:val="231F20"/>
                                <w:spacing w:val="-10"/>
                                <w:sz w:val="32"/>
                              </w:rPr>
                              <w:t> </w:t>
                            </w:r>
                            <w:r>
                              <w:rPr>
                                <w:rFonts w:ascii="Minion Pro"/>
                                <w:color w:val="231F20"/>
                                <w:spacing w:val="-2"/>
                                <w:sz w:val="32"/>
                              </w:rPr>
                              <w:t>documents</w:t>
                            </w:r>
                          </w:p>
                        </w:txbxContent>
                      </wps:txbx>
                      <wps:bodyPr wrap="square" lIns="0" tIns="0" rIns="0" bIns="0" rtlCol="0" vert="vert">
                        <a:noAutofit/>
                      </wps:bodyPr>
                    </wps:wsp>
                  </a:graphicData>
                </a:graphic>
              </wp:anchor>
            </w:drawing>
          </mc:Choice>
          <mc:Fallback>
            <w:pict>
              <v:shape style="position:absolute;margin-left:443.712402pt;margin-top:220.102402pt;width:23.6pt;height:157.15pt;mso-position-horizontal-relative:page;mso-position-vertical-relative:page;z-index:15770624" type="#_x0000_t202" id="docshape114" filled="false" stroked="false">
                <v:textbox inset="0,0,0,0" style="layout-flow:vertical">
                  <w:txbxContent>
                    <w:p>
                      <w:pPr>
                        <w:spacing w:before="20"/>
                        <w:ind w:left="20" w:right="0" w:firstLine="0"/>
                        <w:jc w:val="left"/>
                        <w:rPr>
                          <w:rFonts w:ascii="Minion Pro"/>
                          <w:sz w:val="32"/>
                        </w:rPr>
                      </w:pPr>
                      <w:r>
                        <w:rPr>
                          <w:rFonts w:ascii="Minion Pro"/>
                          <w:color w:val="231F20"/>
                          <w:sz w:val="32"/>
                        </w:rPr>
                        <w:t>Commented</w:t>
                      </w:r>
                      <w:r>
                        <w:rPr>
                          <w:rFonts w:ascii="Minion Pro"/>
                          <w:color w:val="231F20"/>
                          <w:spacing w:val="-10"/>
                          <w:sz w:val="32"/>
                        </w:rPr>
                        <w:t> </w:t>
                      </w:r>
                      <w:r>
                        <w:rPr>
                          <w:rFonts w:ascii="Minion Pro"/>
                          <w:color w:val="231F20"/>
                          <w:spacing w:val="-2"/>
                          <w:sz w:val="32"/>
                        </w:rPr>
                        <w:t>documents</w:t>
                      </w:r>
                    </w:p>
                  </w:txbxContent>
                </v:textbox>
                <w10:wrap type="none"/>
              </v:shape>
            </w:pict>
          </mc:Fallback>
        </mc:AlternateContent>
      </w:r>
      <w:r>
        <w:rPr>
          <w:color w:val="231F20"/>
          <w:spacing w:val="-2"/>
        </w:rPr>
        <w:t>della</w:t>
      </w:r>
      <w:r>
        <w:rPr>
          <w:color w:val="231F20"/>
          <w:spacing w:val="-11"/>
        </w:rPr>
        <w:t> </w:t>
      </w:r>
      <w:r>
        <w:rPr>
          <w:color w:val="231F20"/>
          <w:spacing w:val="-2"/>
        </w:rPr>
        <w:t>motivazione</w:t>
      </w:r>
      <w:r>
        <w:rPr>
          <w:color w:val="231F20"/>
          <w:spacing w:val="-11"/>
        </w:rPr>
        <w:t> </w:t>
      </w:r>
      <w:r>
        <w:rPr>
          <w:color w:val="231F20"/>
          <w:spacing w:val="-2"/>
        </w:rPr>
        <w:t>della</w:t>
      </w:r>
      <w:r>
        <w:rPr>
          <w:color w:val="231F20"/>
          <w:spacing w:val="-11"/>
        </w:rPr>
        <w:t> </w:t>
      </w:r>
      <w:r>
        <w:rPr>
          <w:color w:val="231F20"/>
          <w:spacing w:val="-2"/>
        </w:rPr>
        <w:t>direttiva</w:t>
      </w:r>
      <w:r>
        <w:rPr>
          <w:color w:val="231F20"/>
          <w:spacing w:val="-11"/>
        </w:rPr>
        <w:t> </w:t>
      </w:r>
      <w:r>
        <w:rPr>
          <w:color w:val="231F20"/>
          <w:spacing w:val="-2"/>
        </w:rPr>
        <w:t>2011/16/UE</w:t>
      </w:r>
      <w:r>
        <w:rPr>
          <w:color w:val="231F20"/>
          <w:spacing w:val="-11"/>
        </w:rPr>
        <w:t> </w:t>
      </w:r>
      <w:r>
        <w:rPr>
          <w:color w:val="231F20"/>
          <w:spacing w:val="-2"/>
        </w:rPr>
        <w:t>per</w:t>
      </w:r>
      <w:r>
        <w:rPr>
          <w:color w:val="231F20"/>
          <w:spacing w:val="-11"/>
        </w:rPr>
        <w:t> </w:t>
      </w:r>
      <w:r>
        <w:rPr>
          <w:color w:val="231F20"/>
          <w:spacing w:val="-2"/>
        </w:rPr>
        <w:t>definire</w:t>
      </w:r>
      <w:r>
        <w:rPr>
          <w:color w:val="231F20"/>
          <w:spacing w:val="-11"/>
        </w:rPr>
        <w:t> </w:t>
      </w:r>
      <w:r>
        <w:rPr>
          <w:color w:val="231F20"/>
          <w:spacing w:val="-2"/>
        </w:rPr>
        <w:t>un</w:t>
      </w:r>
      <w:r>
        <w:rPr>
          <w:color w:val="231F20"/>
          <w:spacing w:val="-11"/>
        </w:rPr>
        <w:t> </w:t>
      </w:r>
      <w:r>
        <w:rPr>
          <w:color w:val="231F20"/>
          <w:spacing w:val="-2"/>
        </w:rPr>
        <w:t>«intervento</w:t>
      </w:r>
      <w:r>
        <w:rPr>
          <w:color w:val="231F20"/>
          <w:spacing w:val="-11"/>
        </w:rPr>
        <w:t> </w:t>
      </w:r>
      <w:r>
        <w:rPr>
          <w:color w:val="231F20"/>
          <w:spacing w:val="-2"/>
        </w:rPr>
        <w:t>ar- </w:t>
      </w:r>
      <w:r>
        <w:rPr>
          <w:color w:val="231F20"/>
        </w:rPr>
        <w:t>bitrario</w:t>
      </w:r>
      <w:r>
        <w:rPr>
          <w:color w:val="231F20"/>
          <w:spacing w:val="-8"/>
        </w:rPr>
        <w:t> </w:t>
      </w:r>
      <w:r>
        <w:rPr>
          <w:color w:val="231F20"/>
        </w:rPr>
        <w:t>e</w:t>
      </w:r>
      <w:r>
        <w:rPr>
          <w:color w:val="231F20"/>
          <w:spacing w:val="-8"/>
        </w:rPr>
        <w:t> </w:t>
      </w:r>
      <w:r>
        <w:rPr>
          <w:color w:val="231F20"/>
        </w:rPr>
        <w:t>sproporzionato</w:t>
      </w:r>
      <w:r>
        <w:rPr>
          <w:color w:val="231F20"/>
          <w:spacing w:val="-8"/>
        </w:rPr>
        <w:t> </w:t>
      </w:r>
      <w:r>
        <w:rPr>
          <w:color w:val="231F20"/>
        </w:rPr>
        <w:t>dei</w:t>
      </w:r>
      <w:r>
        <w:rPr>
          <w:color w:val="231F20"/>
          <w:spacing w:val="-8"/>
        </w:rPr>
        <w:t> </w:t>
      </w:r>
      <w:r>
        <w:rPr>
          <w:color w:val="231F20"/>
        </w:rPr>
        <w:t>pubblici</w:t>
      </w:r>
      <w:r>
        <w:rPr>
          <w:color w:val="231F20"/>
          <w:spacing w:val="-8"/>
        </w:rPr>
        <w:t> </w:t>
      </w:r>
      <w:r>
        <w:rPr>
          <w:color w:val="231F20"/>
        </w:rPr>
        <w:t>poteri»</w:t>
      </w:r>
      <w:r>
        <w:rPr>
          <w:color w:val="231F20"/>
          <w:spacing w:val="-8"/>
        </w:rPr>
        <w:t> </w:t>
      </w:r>
      <w:r>
        <w:rPr>
          <w:color w:val="231F20"/>
        </w:rPr>
        <w:t>una</w:t>
      </w:r>
      <w:r>
        <w:rPr>
          <w:color w:val="231F20"/>
          <w:spacing w:val="-8"/>
        </w:rPr>
        <w:t> </w:t>
      </w:r>
      <w:r>
        <w:rPr>
          <w:color w:val="231F20"/>
        </w:rPr>
        <w:t>richiesta</w:t>
      </w:r>
      <w:r>
        <w:rPr>
          <w:color w:val="231F20"/>
          <w:spacing w:val="-8"/>
        </w:rPr>
        <w:t> </w:t>
      </w:r>
      <w:r>
        <w:rPr>
          <w:color w:val="231F20"/>
        </w:rPr>
        <w:t>di</w:t>
      </w:r>
      <w:r>
        <w:rPr>
          <w:color w:val="231F20"/>
          <w:spacing w:val="-8"/>
        </w:rPr>
        <w:t> </w:t>
      </w:r>
      <w:r>
        <w:rPr>
          <w:color w:val="231F20"/>
        </w:rPr>
        <w:t>informazioni </w:t>
      </w:r>
      <w:r>
        <w:rPr>
          <w:color w:val="231F20"/>
          <w:spacing w:val="-4"/>
        </w:rPr>
        <w:t>trasmessa dall’autorità richiedente che mirasse a far svolgere all’autorità inter- pellata</w:t>
      </w:r>
      <w:r>
        <w:rPr>
          <w:color w:val="231F20"/>
          <w:spacing w:val="-11"/>
        </w:rPr>
        <w:t> </w:t>
      </w:r>
      <w:r>
        <w:rPr>
          <w:color w:val="231F20"/>
          <w:spacing w:val="-4"/>
        </w:rPr>
        <w:t>una</w:t>
      </w:r>
      <w:r>
        <w:rPr>
          <w:color w:val="231F20"/>
          <w:spacing w:val="-11"/>
        </w:rPr>
        <w:t> </w:t>
      </w:r>
      <w:r>
        <w:rPr>
          <w:color w:val="231F20"/>
          <w:spacing w:val="-4"/>
        </w:rPr>
        <w:t>«ricerca</w:t>
      </w:r>
      <w:r>
        <w:rPr>
          <w:color w:val="231F20"/>
          <w:spacing w:val="-11"/>
        </w:rPr>
        <w:t> </w:t>
      </w:r>
      <w:r>
        <w:rPr>
          <w:color w:val="231F20"/>
          <w:spacing w:val="-4"/>
        </w:rPr>
        <w:t>generica</w:t>
      </w:r>
      <w:r>
        <w:rPr>
          <w:color w:val="231F20"/>
          <w:spacing w:val="-11"/>
        </w:rPr>
        <w:t> </w:t>
      </w:r>
      <w:r>
        <w:rPr>
          <w:color w:val="231F20"/>
          <w:spacing w:val="-4"/>
        </w:rPr>
        <w:t>di</w:t>
      </w:r>
      <w:r>
        <w:rPr>
          <w:color w:val="231F20"/>
          <w:spacing w:val="-11"/>
        </w:rPr>
        <w:t> </w:t>
      </w:r>
      <w:r>
        <w:rPr>
          <w:color w:val="231F20"/>
          <w:spacing w:val="-4"/>
        </w:rPr>
        <w:t>informazioni».</w:t>
      </w:r>
      <w:r>
        <w:rPr>
          <w:color w:val="231F20"/>
          <w:spacing w:val="-11"/>
        </w:rPr>
        <w:t> </w:t>
      </w:r>
      <w:r>
        <w:rPr>
          <w:color w:val="231F20"/>
          <w:spacing w:val="-4"/>
        </w:rPr>
        <w:t>Affinché</w:t>
      </w:r>
      <w:r>
        <w:rPr>
          <w:color w:val="231F20"/>
          <w:spacing w:val="-11"/>
        </w:rPr>
        <w:t> </w:t>
      </w:r>
      <w:r>
        <w:rPr>
          <w:color w:val="231F20"/>
          <w:spacing w:val="-4"/>
        </w:rPr>
        <w:t>la</w:t>
      </w:r>
      <w:r>
        <w:rPr>
          <w:color w:val="231F20"/>
          <w:spacing w:val="-11"/>
        </w:rPr>
        <w:t> </w:t>
      </w:r>
      <w:r>
        <w:rPr>
          <w:color w:val="231F20"/>
          <w:spacing w:val="-4"/>
        </w:rPr>
        <w:t>richiesta</w:t>
      </w:r>
      <w:r>
        <w:rPr>
          <w:color w:val="231F20"/>
          <w:spacing w:val="-11"/>
        </w:rPr>
        <w:t> </w:t>
      </w:r>
      <w:r>
        <w:rPr>
          <w:color w:val="231F20"/>
          <w:spacing w:val="-4"/>
        </w:rPr>
        <w:t>di</w:t>
      </w:r>
      <w:r>
        <w:rPr>
          <w:color w:val="231F20"/>
          <w:spacing w:val="-11"/>
        </w:rPr>
        <w:t> </w:t>
      </w:r>
      <w:r>
        <w:rPr>
          <w:color w:val="231F20"/>
          <w:spacing w:val="-4"/>
        </w:rPr>
        <w:t>informa- zioni e la conseguente decisione di ingiunzione dell’autorità interpellata siano conformi</w:t>
      </w:r>
      <w:r>
        <w:rPr>
          <w:color w:val="231F20"/>
          <w:spacing w:val="-13"/>
        </w:rPr>
        <w:t> </w:t>
      </w:r>
      <w:r>
        <w:rPr>
          <w:color w:val="231F20"/>
          <w:spacing w:val="-4"/>
        </w:rPr>
        <w:t>all’esigenza</w:t>
      </w:r>
      <w:r>
        <w:rPr>
          <w:color w:val="231F20"/>
          <w:spacing w:val="-11"/>
        </w:rPr>
        <w:t> </w:t>
      </w:r>
      <w:r>
        <w:rPr>
          <w:color w:val="231F20"/>
          <w:spacing w:val="-4"/>
        </w:rPr>
        <w:t>di</w:t>
      </w:r>
      <w:r>
        <w:rPr>
          <w:color w:val="231F20"/>
          <w:spacing w:val="-11"/>
        </w:rPr>
        <w:t> </w:t>
      </w:r>
      <w:r>
        <w:rPr>
          <w:color w:val="231F20"/>
          <w:spacing w:val="-4"/>
        </w:rPr>
        <w:t>«prevedibile</w:t>
      </w:r>
      <w:r>
        <w:rPr>
          <w:color w:val="231F20"/>
          <w:spacing w:val="-11"/>
        </w:rPr>
        <w:t> </w:t>
      </w:r>
      <w:r>
        <w:rPr>
          <w:color w:val="231F20"/>
          <w:spacing w:val="-4"/>
        </w:rPr>
        <w:t>pertinenza»</w:t>
      </w:r>
      <w:r>
        <w:rPr>
          <w:color w:val="231F20"/>
          <w:spacing w:val="-11"/>
        </w:rPr>
        <w:t> </w:t>
      </w:r>
      <w:r>
        <w:rPr>
          <w:color w:val="231F20"/>
          <w:spacing w:val="-4"/>
        </w:rPr>
        <w:t>di</w:t>
      </w:r>
      <w:r>
        <w:rPr>
          <w:color w:val="231F20"/>
          <w:spacing w:val="-11"/>
        </w:rPr>
        <w:t> </w:t>
      </w:r>
      <w:r>
        <w:rPr>
          <w:color w:val="231F20"/>
          <w:spacing w:val="-4"/>
        </w:rPr>
        <w:t>cui</w:t>
      </w:r>
      <w:r>
        <w:rPr>
          <w:color w:val="231F20"/>
          <w:spacing w:val="-11"/>
        </w:rPr>
        <w:t> </w:t>
      </w:r>
      <w:r>
        <w:rPr>
          <w:color w:val="231F20"/>
          <w:spacing w:val="-4"/>
        </w:rPr>
        <w:t>all’art.</w:t>
      </w:r>
      <w:r>
        <w:rPr>
          <w:color w:val="231F20"/>
          <w:spacing w:val="-11"/>
        </w:rPr>
        <w:t> </w:t>
      </w:r>
      <w:r>
        <w:rPr>
          <w:color w:val="231F20"/>
          <w:spacing w:val="-4"/>
        </w:rPr>
        <w:t>1</w:t>
      </w:r>
      <w:r>
        <w:rPr>
          <w:color w:val="231F20"/>
          <w:spacing w:val="-11"/>
        </w:rPr>
        <w:t> </w:t>
      </w:r>
      <w:r>
        <w:rPr>
          <w:color w:val="231F20"/>
          <w:spacing w:val="-4"/>
        </w:rPr>
        <w:t>della</w:t>
      </w:r>
      <w:r>
        <w:rPr>
          <w:color w:val="231F20"/>
          <w:spacing w:val="-11"/>
        </w:rPr>
        <w:t> </w:t>
      </w:r>
      <w:r>
        <w:rPr>
          <w:color w:val="231F20"/>
          <w:spacing w:val="-4"/>
        </w:rPr>
        <w:t>direttiva, è</w:t>
      </w:r>
      <w:r>
        <w:rPr>
          <w:color w:val="231F20"/>
          <w:spacing w:val="-9"/>
        </w:rPr>
        <w:t> </w:t>
      </w:r>
      <w:r>
        <w:rPr>
          <w:color w:val="231F20"/>
          <w:spacing w:val="-4"/>
        </w:rPr>
        <w:t>necessario</w:t>
      </w:r>
      <w:r>
        <w:rPr>
          <w:color w:val="231F20"/>
          <w:spacing w:val="-9"/>
        </w:rPr>
        <w:t> </w:t>
      </w:r>
      <w:r>
        <w:rPr>
          <w:color w:val="231F20"/>
          <w:spacing w:val="-4"/>
        </w:rPr>
        <w:t>che</w:t>
      </w:r>
      <w:r>
        <w:rPr>
          <w:color w:val="231F20"/>
          <w:spacing w:val="-9"/>
        </w:rPr>
        <w:t> </w:t>
      </w:r>
      <w:r>
        <w:rPr>
          <w:color w:val="231F20"/>
          <w:spacing w:val="-4"/>
        </w:rPr>
        <w:t>l’autorità</w:t>
      </w:r>
      <w:r>
        <w:rPr>
          <w:color w:val="231F20"/>
          <w:spacing w:val="-9"/>
        </w:rPr>
        <w:t> </w:t>
      </w:r>
      <w:r>
        <w:rPr>
          <w:color w:val="231F20"/>
          <w:spacing w:val="-4"/>
        </w:rPr>
        <w:t>richiedente</w:t>
      </w:r>
      <w:r>
        <w:rPr>
          <w:color w:val="231F20"/>
          <w:spacing w:val="-9"/>
        </w:rPr>
        <w:t> </w:t>
      </w:r>
      <w:r>
        <w:rPr>
          <w:color w:val="231F20"/>
          <w:spacing w:val="-4"/>
        </w:rPr>
        <w:t>precisi</w:t>
      </w:r>
      <w:r>
        <w:rPr>
          <w:color w:val="231F20"/>
          <w:spacing w:val="-9"/>
        </w:rPr>
        <w:t> </w:t>
      </w:r>
      <w:r>
        <w:rPr>
          <w:color w:val="231F20"/>
          <w:spacing w:val="-4"/>
        </w:rPr>
        <w:t>l’identità</w:t>
      </w:r>
      <w:r>
        <w:rPr>
          <w:color w:val="231F20"/>
          <w:spacing w:val="-9"/>
        </w:rPr>
        <w:t> </w:t>
      </w:r>
      <w:r>
        <w:rPr>
          <w:color w:val="231F20"/>
          <w:spacing w:val="-4"/>
        </w:rPr>
        <w:t>del</w:t>
      </w:r>
      <w:r>
        <w:rPr>
          <w:color w:val="231F20"/>
          <w:spacing w:val="-9"/>
        </w:rPr>
        <w:t> </w:t>
      </w:r>
      <w:r>
        <w:rPr>
          <w:color w:val="231F20"/>
          <w:spacing w:val="-4"/>
        </w:rPr>
        <w:t>contribuente</w:t>
      </w:r>
      <w:r>
        <w:rPr>
          <w:color w:val="231F20"/>
          <w:spacing w:val="-9"/>
        </w:rPr>
        <w:t> </w:t>
      </w:r>
      <w:r>
        <w:rPr>
          <w:color w:val="231F20"/>
          <w:spacing w:val="-4"/>
        </w:rPr>
        <w:t>ogget- </w:t>
      </w:r>
      <w:r>
        <w:rPr>
          <w:color w:val="231F20"/>
          <w:spacing w:val="-2"/>
        </w:rPr>
        <w:t>to</w:t>
      </w:r>
      <w:r>
        <w:rPr>
          <w:color w:val="231F20"/>
          <w:spacing w:val="-15"/>
        </w:rPr>
        <w:t> </w:t>
      </w:r>
      <w:r>
        <w:rPr>
          <w:color w:val="231F20"/>
          <w:spacing w:val="-2"/>
        </w:rPr>
        <w:t>di</w:t>
      </w:r>
      <w:r>
        <w:rPr>
          <w:color w:val="231F20"/>
          <w:spacing w:val="-13"/>
        </w:rPr>
        <w:t> </w:t>
      </w:r>
      <w:r>
        <w:rPr>
          <w:color w:val="231F20"/>
          <w:spacing w:val="-2"/>
        </w:rPr>
        <w:t>accertamento</w:t>
      </w:r>
      <w:r>
        <w:rPr>
          <w:color w:val="231F20"/>
          <w:spacing w:val="-13"/>
        </w:rPr>
        <w:t> </w:t>
      </w:r>
      <w:r>
        <w:rPr>
          <w:color w:val="231F20"/>
          <w:spacing w:val="-2"/>
        </w:rPr>
        <w:t>tributario,</w:t>
      </w:r>
      <w:r>
        <w:rPr>
          <w:color w:val="231F20"/>
          <w:spacing w:val="-13"/>
        </w:rPr>
        <w:t> </w:t>
      </w:r>
      <w:r>
        <w:rPr>
          <w:color w:val="231F20"/>
          <w:spacing w:val="-2"/>
        </w:rPr>
        <w:t>l’identità</w:t>
      </w:r>
      <w:r>
        <w:rPr>
          <w:color w:val="231F20"/>
          <w:spacing w:val="-13"/>
        </w:rPr>
        <w:t> </w:t>
      </w:r>
      <w:r>
        <w:rPr>
          <w:color w:val="231F20"/>
          <w:spacing w:val="-2"/>
        </w:rPr>
        <w:t>del</w:t>
      </w:r>
      <w:r>
        <w:rPr>
          <w:color w:val="231F20"/>
          <w:spacing w:val="-13"/>
        </w:rPr>
        <w:t> </w:t>
      </w:r>
      <w:r>
        <w:rPr>
          <w:color w:val="231F20"/>
          <w:spacing w:val="-2"/>
        </w:rPr>
        <w:t>soggetto</w:t>
      </w:r>
      <w:r>
        <w:rPr>
          <w:color w:val="231F20"/>
          <w:spacing w:val="-13"/>
        </w:rPr>
        <w:t> </w:t>
      </w:r>
      <w:r>
        <w:rPr>
          <w:color w:val="231F20"/>
          <w:spacing w:val="-2"/>
        </w:rPr>
        <w:t>detentore</w:t>
      </w:r>
      <w:r>
        <w:rPr>
          <w:color w:val="231F20"/>
          <w:spacing w:val="-13"/>
        </w:rPr>
        <w:t> </w:t>
      </w:r>
      <w:r>
        <w:rPr>
          <w:color w:val="231F20"/>
          <w:spacing w:val="-2"/>
        </w:rPr>
        <w:t>delle</w:t>
      </w:r>
      <w:r>
        <w:rPr>
          <w:color w:val="231F20"/>
          <w:spacing w:val="-13"/>
        </w:rPr>
        <w:t> </w:t>
      </w:r>
      <w:r>
        <w:rPr>
          <w:color w:val="231F20"/>
          <w:spacing w:val="-2"/>
        </w:rPr>
        <w:t>informa- </w:t>
      </w:r>
      <w:r>
        <w:rPr>
          <w:color w:val="231F20"/>
          <w:spacing w:val="-6"/>
        </w:rPr>
        <w:t>zioni richieste e il collegamento fra queste ultime e le finalità dell’accertamento </w:t>
      </w:r>
      <w:r>
        <w:rPr>
          <w:color w:val="231F20"/>
          <w:spacing w:val="-2"/>
        </w:rPr>
        <w:t>avviato</w:t>
      </w:r>
      <w:r>
        <w:rPr>
          <w:color w:val="231F20"/>
          <w:spacing w:val="-11"/>
        </w:rPr>
        <w:t> </w:t>
      </w:r>
      <w:r>
        <w:rPr>
          <w:color w:val="231F20"/>
          <w:spacing w:val="-2"/>
        </w:rPr>
        <w:t>dalla</w:t>
      </w:r>
      <w:r>
        <w:rPr>
          <w:color w:val="231F20"/>
          <w:spacing w:val="-11"/>
        </w:rPr>
        <w:t> </w:t>
      </w:r>
      <w:r>
        <w:rPr>
          <w:color w:val="231F20"/>
          <w:spacing w:val="-2"/>
        </w:rPr>
        <w:t>medesima</w:t>
      </w:r>
      <w:r>
        <w:rPr>
          <w:color w:val="231F20"/>
          <w:spacing w:val="-11"/>
        </w:rPr>
        <w:t> </w:t>
      </w:r>
      <w:r>
        <w:rPr>
          <w:color w:val="231F20"/>
          <w:spacing w:val="-2"/>
        </w:rPr>
        <w:t>autorità</w:t>
      </w:r>
      <w:r>
        <w:rPr>
          <w:color w:val="231F20"/>
          <w:spacing w:val="-11"/>
        </w:rPr>
        <w:t> </w:t>
      </w:r>
      <w:r>
        <w:rPr>
          <w:color w:val="231F20"/>
          <w:spacing w:val="-2"/>
        </w:rPr>
        <w:t>richiedente</w:t>
      </w:r>
      <w:r>
        <w:rPr>
          <w:color w:val="231F20"/>
          <w:spacing w:val="-11"/>
        </w:rPr>
        <w:t> </w:t>
      </w:r>
      <w:r>
        <w:rPr>
          <w:color w:val="231F20"/>
          <w:spacing w:val="-2"/>
        </w:rPr>
        <w:t>nei</w:t>
      </w:r>
      <w:r>
        <w:rPr>
          <w:color w:val="231F20"/>
          <w:spacing w:val="-11"/>
        </w:rPr>
        <w:t> </w:t>
      </w:r>
      <w:r>
        <w:rPr>
          <w:color w:val="231F20"/>
          <w:spacing w:val="-2"/>
        </w:rPr>
        <w:t>confronti</w:t>
      </w:r>
      <w:r>
        <w:rPr>
          <w:color w:val="231F20"/>
          <w:spacing w:val="-11"/>
        </w:rPr>
        <w:t> </w:t>
      </w:r>
      <w:r>
        <w:rPr>
          <w:color w:val="231F20"/>
          <w:spacing w:val="-2"/>
        </w:rPr>
        <w:t>del</w:t>
      </w:r>
      <w:r>
        <w:rPr>
          <w:color w:val="231F20"/>
          <w:spacing w:val="-11"/>
        </w:rPr>
        <w:t> </w:t>
      </w:r>
      <w:r>
        <w:rPr>
          <w:color w:val="231F20"/>
          <w:spacing w:val="-2"/>
        </w:rPr>
        <w:t>contribuente.</w:t>
      </w:r>
      <w:r>
        <w:rPr>
          <w:color w:val="231F20"/>
          <w:spacing w:val="-11"/>
        </w:rPr>
        <w:t> </w:t>
      </w:r>
      <w:r>
        <w:rPr>
          <w:color w:val="231F20"/>
          <w:spacing w:val="-2"/>
        </w:rPr>
        <w:t>I </w:t>
      </w:r>
      <w:r>
        <w:rPr>
          <w:color w:val="231F20"/>
        </w:rPr>
        <w:t>dubbi</w:t>
      </w:r>
      <w:r>
        <w:rPr>
          <w:color w:val="231F20"/>
          <w:spacing w:val="-15"/>
        </w:rPr>
        <w:t> </w:t>
      </w:r>
      <w:r>
        <w:rPr>
          <w:color w:val="231F20"/>
        </w:rPr>
        <w:t>interpretativi</w:t>
      </w:r>
      <w:r>
        <w:rPr>
          <w:color w:val="231F20"/>
          <w:spacing w:val="-15"/>
        </w:rPr>
        <w:t> </w:t>
      </w:r>
      <w:r>
        <w:rPr>
          <w:color w:val="231F20"/>
        </w:rPr>
        <w:t>del</w:t>
      </w:r>
      <w:r>
        <w:rPr>
          <w:color w:val="231F20"/>
          <w:spacing w:val="-15"/>
        </w:rPr>
        <w:t> </w:t>
      </w:r>
      <w:r>
        <w:rPr>
          <w:color w:val="231F20"/>
        </w:rPr>
        <w:t>giudice</w:t>
      </w:r>
      <w:r>
        <w:rPr>
          <w:color w:val="231F20"/>
          <w:spacing w:val="-15"/>
        </w:rPr>
        <w:t> </w:t>
      </w:r>
      <w:r>
        <w:rPr>
          <w:i/>
          <w:color w:val="231F20"/>
        </w:rPr>
        <w:t>a</w:t>
      </w:r>
      <w:r>
        <w:rPr>
          <w:i/>
          <w:color w:val="231F20"/>
          <w:spacing w:val="-15"/>
        </w:rPr>
        <w:t> </w:t>
      </w:r>
      <w:r>
        <w:rPr>
          <w:i/>
          <w:color w:val="231F20"/>
        </w:rPr>
        <w:t>quo</w:t>
      </w:r>
      <w:r>
        <w:rPr>
          <w:i/>
          <w:color w:val="231F20"/>
          <w:spacing w:val="-15"/>
        </w:rPr>
        <w:t> </w:t>
      </w:r>
      <w:r>
        <w:rPr>
          <w:color w:val="231F20"/>
        </w:rPr>
        <w:t>nascevano</w:t>
      </w:r>
      <w:r>
        <w:rPr>
          <w:color w:val="231F20"/>
          <w:spacing w:val="-15"/>
        </w:rPr>
        <w:t> </w:t>
      </w:r>
      <w:r>
        <w:rPr>
          <w:color w:val="231F20"/>
        </w:rPr>
        <w:t>dal</w:t>
      </w:r>
      <w:r>
        <w:rPr>
          <w:color w:val="231F20"/>
          <w:spacing w:val="-15"/>
        </w:rPr>
        <w:t> </w:t>
      </w:r>
      <w:r>
        <w:rPr>
          <w:color w:val="231F20"/>
        </w:rPr>
        <w:t>fatto</w:t>
      </w:r>
      <w:r>
        <w:rPr>
          <w:color w:val="231F20"/>
          <w:spacing w:val="-15"/>
        </w:rPr>
        <w:t> </w:t>
      </w:r>
      <w:r>
        <w:rPr>
          <w:color w:val="231F20"/>
        </w:rPr>
        <w:t>che</w:t>
      </w:r>
      <w:r>
        <w:rPr>
          <w:color w:val="231F20"/>
          <w:spacing w:val="-15"/>
        </w:rPr>
        <w:t> </w:t>
      </w:r>
      <w:r>
        <w:rPr>
          <w:color w:val="231F20"/>
        </w:rPr>
        <w:t>la</w:t>
      </w:r>
      <w:r>
        <w:rPr>
          <w:color w:val="231F20"/>
          <w:spacing w:val="-15"/>
        </w:rPr>
        <w:t> </w:t>
      </w:r>
      <w:r>
        <w:rPr>
          <w:color w:val="231F20"/>
        </w:rPr>
        <w:t>decisione</w:t>
      </w:r>
      <w:r>
        <w:rPr>
          <w:color w:val="231F20"/>
          <w:spacing w:val="-15"/>
        </w:rPr>
        <w:t> </w:t>
      </w:r>
      <w:r>
        <w:rPr>
          <w:color w:val="231F20"/>
        </w:rPr>
        <w:t>di </w:t>
      </w:r>
      <w:r>
        <w:rPr>
          <w:color w:val="231F20"/>
          <w:spacing w:val="-2"/>
        </w:rPr>
        <w:t>ingiunzione</w:t>
      </w:r>
      <w:r>
        <w:rPr>
          <w:color w:val="231F20"/>
          <w:spacing w:val="-9"/>
        </w:rPr>
        <w:t> </w:t>
      </w:r>
      <w:r>
        <w:rPr>
          <w:color w:val="231F20"/>
          <w:spacing w:val="-2"/>
        </w:rPr>
        <w:t>dell’amministrazione</w:t>
      </w:r>
      <w:r>
        <w:rPr>
          <w:color w:val="231F20"/>
          <w:spacing w:val="-9"/>
        </w:rPr>
        <w:t> </w:t>
      </w:r>
      <w:r>
        <w:rPr>
          <w:color w:val="231F20"/>
          <w:spacing w:val="-2"/>
        </w:rPr>
        <w:t>finanziaria</w:t>
      </w:r>
      <w:r>
        <w:rPr>
          <w:color w:val="231F20"/>
          <w:spacing w:val="-9"/>
        </w:rPr>
        <w:t> </w:t>
      </w:r>
      <w:r>
        <w:rPr>
          <w:color w:val="231F20"/>
          <w:spacing w:val="-2"/>
        </w:rPr>
        <w:t>lussemburghese</w:t>
      </w:r>
      <w:r>
        <w:rPr>
          <w:color w:val="231F20"/>
          <w:spacing w:val="-9"/>
        </w:rPr>
        <w:t> </w:t>
      </w:r>
      <w:r>
        <w:rPr>
          <w:color w:val="231F20"/>
          <w:spacing w:val="-2"/>
        </w:rPr>
        <w:t>riguardava</w:t>
      </w:r>
      <w:r>
        <w:rPr>
          <w:color w:val="231F20"/>
          <w:spacing w:val="-9"/>
        </w:rPr>
        <w:t> </w:t>
      </w:r>
      <w:r>
        <w:rPr>
          <w:color w:val="231F20"/>
          <w:spacing w:val="-2"/>
        </w:rPr>
        <w:t>an- </w:t>
      </w:r>
      <w:r>
        <w:rPr>
          <w:color w:val="231F20"/>
        </w:rPr>
        <w:t>che</w:t>
      </w:r>
      <w:r>
        <w:rPr>
          <w:color w:val="231F20"/>
          <w:spacing w:val="-15"/>
        </w:rPr>
        <w:t> </w:t>
      </w:r>
      <w:r>
        <w:rPr>
          <w:color w:val="231F20"/>
        </w:rPr>
        <w:t>contratti,</w:t>
      </w:r>
      <w:r>
        <w:rPr>
          <w:color w:val="231F20"/>
          <w:spacing w:val="-15"/>
        </w:rPr>
        <w:t> </w:t>
      </w:r>
      <w:r>
        <w:rPr>
          <w:color w:val="231F20"/>
        </w:rPr>
        <w:t>fatture</w:t>
      </w:r>
      <w:r>
        <w:rPr>
          <w:color w:val="231F20"/>
          <w:spacing w:val="-15"/>
        </w:rPr>
        <w:t> </w:t>
      </w:r>
      <w:r>
        <w:rPr>
          <w:color w:val="231F20"/>
        </w:rPr>
        <w:t>e</w:t>
      </w:r>
      <w:r>
        <w:rPr>
          <w:color w:val="231F20"/>
          <w:spacing w:val="-15"/>
        </w:rPr>
        <w:t> </w:t>
      </w:r>
      <w:r>
        <w:rPr>
          <w:color w:val="231F20"/>
        </w:rPr>
        <w:t>pagamenti</w:t>
      </w:r>
      <w:r>
        <w:rPr>
          <w:color w:val="231F20"/>
          <w:spacing w:val="-15"/>
        </w:rPr>
        <w:t> </w:t>
      </w:r>
      <w:r>
        <w:rPr>
          <w:color w:val="231F20"/>
        </w:rPr>
        <w:t>che</w:t>
      </w:r>
      <w:r>
        <w:rPr>
          <w:color w:val="231F20"/>
          <w:spacing w:val="-15"/>
        </w:rPr>
        <w:t> </w:t>
      </w:r>
      <w:r>
        <w:rPr>
          <w:color w:val="231F20"/>
        </w:rPr>
        <w:t>non</w:t>
      </w:r>
      <w:r>
        <w:rPr>
          <w:color w:val="231F20"/>
          <w:spacing w:val="-15"/>
        </w:rPr>
        <w:t> </w:t>
      </w:r>
      <w:r>
        <w:rPr>
          <w:color w:val="231F20"/>
        </w:rPr>
        <w:t>erano</w:t>
      </w:r>
      <w:r>
        <w:rPr>
          <w:color w:val="231F20"/>
          <w:spacing w:val="-15"/>
        </w:rPr>
        <w:t> </w:t>
      </w:r>
      <w:r>
        <w:rPr>
          <w:color w:val="231F20"/>
        </w:rPr>
        <w:t>individuati</w:t>
      </w:r>
      <w:r>
        <w:rPr>
          <w:color w:val="231F20"/>
          <w:spacing w:val="-15"/>
        </w:rPr>
        <w:t> </w:t>
      </w:r>
      <w:r>
        <w:rPr>
          <w:color w:val="231F20"/>
        </w:rPr>
        <w:t>con</w:t>
      </w:r>
      <w:r>
        <w:rPr>
          <w:color w:val="231F20"/>
          <w:spacing w:val="-15"/>
        </w:rPr>
        <w:t> </w:t>
      </w:r>
      <w:r>
        <w:rPr>
          <w:color w:val="231F20"/>
        </w:rPr>
        <w:t>precisione. Al</w:t>
      </w:r>
      <w:r>
        <w:rPr>
          <w:color w:val="231F20"/>
          <w:spacing w:val="-10"/>
        </w:rPr>
        <w:t> </w:t>
      </w:r>
      <w:r>
        <w:rPr>
          <w:color w:val="231F20"/>
        </w:rPr>
        <w:t>riguardo</w:t>
      </w:r>
      <w:r>
        <w:rPr>
          <w:color w:val="231F20"/>
          <w:spacing w:val="-10"/>
        </w:rPr>
        <w:t> </w:t>
      </w:r>
      <w:r>
        <w:rPr>
          <w:color w:val="231F20"/>
        </w:rPr>
        <w:t>la</w:t>
      </w:r>
      <w:r>
        <w:rPr>
          <w:color w:val="231F20"/>
          <w:spacing w:val="-10"/>
        </w:rPr>
        <w:t> </w:t>
      </w:r>
      <w:r>
        <w:rPr>
          <w:color w:val="231F20"/>
        </w:rPr>
        <w:t>Corte</w:t>
      </w:r>
      <w:r>
        <w:rPr>
          <w:color w:val="231F20"/>
          <w:spacing w:val="-10"/>
        </w:rPr>
        <w:t> </w:t>
      </w:r>
      <w:r>
        <w:rPr>
          <w:color w:val="231F20"/>
        </w:rPr>
        <w:t>di</w:t>
      </w:r>
      <w:r>
        <w:rPr>
          <w:color w:val="231F20"/>
          <w:spacing w:val="-10"/>
        </w:rPr>
        <w:t> </w:t>
      </w:r>
      <w:r>
        <w:rPr>
          <w:color w:val="231F20"/>
        </w:rPr>
        <w:t>giustizia</w:t>
      </w:r>
      <w:r>
        <w:rPr>
          <w:color w:val="231F20"/>
          <w:spacing w:val="-10"/>
        </w:rPr>
        <w:t> </w:t>
      </w:r>
      <w:r>
        <w:rPr>
          <w:color w:val="231F20"/>
        </w:rPr>
        <w:t>ha</w:t>
      </w:r>
      <w:r>
        <w:rPr>
          <w:color w:val="231F20"/>
          <w:spacing w:val="-10"/>
        </w:rPr>
        <w:t> </w:t>
      </w:r>
      <w:r>
        <w:rPr>
          <w:color w:val="231F20"/>
        </w:rPr>
        <w:t>stabilito</w:t>
      </w:r>
      <w:r>
        <w:rPr>
          <w:color w:val="231F20"/>
          <w:spacing w:val="-10"/>
        </w:rPr>
        <w:t> </w:t>
      </w:r>
      <w:r>
        <w:rPr>
          <w:color w:val="231F20"/>
        </w:rPr>
        <w:t>che</w:t>
      </w:r>
      <w:r>
        <w:rPr>
          <w:color w:val="231F20"/>
          <w:spacing w:val="-10"/>
        </w:rPr>
        <w:t> </w:t>
      </w:r>
      <w:r>
        <w:rPr>
          <w:color w:val="231F20"/>
        </w:rPr>
        <w:t>tali</w:t>
      </w:r>
      <w:r>
        <w:rPr>
          <w:color w:val="231F20"/>
          <w:spacing w:val="-10"/>
        </w:rPr>
        <w:t> </w:t>
      </w:r>
      <w:r>
        <w:rPr>
          <w:color w:val="231F20"/>
        </w:rPr>
        <w:t>informazioni</w:t>
      </w:r>
      <w:r>
        <w:rPr>
          <w:color w:val="231F20"/>
          <w:spacing w:val="-10"/>
        </w:rPr>
        <w:t> </w:t>
      </w:r>
      <w:r>
        <w:rPr>
          <w:color w:val="231F20"/>
        </w:rPr>
        <w:t>dovevano essere</w:t>
      </w:r>
      <w:r>
        <w:rPr>
          <w:color w:val="231F20"/>
          <w:spacing w:val="-11"/>
        </w:rPr>
        <w:t> </w:t>
      </w:r>
      <w:r>
        <w:rPr>
          <w:color w:val="231F20"/>
        </w:rPr>
        <w:t>comunque</w:t>
      </w:r>
      <w:r>
        <w:rPr>
          <w:color w:val="231F20"/>
          <w:spacing w:val="-11"/>
        </w:rPr>
        <w:t> </w:t>
      </w:r>
      <w:r>
        <w:rPr>
          <w:color w:val="231F20"/>
        </w:rPr>
        <w:t>considerate</w:t>
      </w:r>
      <w:r>
        <w:rPr>
          <w:color w:val="231F20"/>
          <w:spacing w:val="-11"/>
        </w:rPr>
        <w:t> </w:t>
      </w:r>
      <w:r>
        <w:rPr>
          <w:color w:val="231F20"/>
        </w:rPr>
        <w:t>come</w:t>
      </w:r>
      <w:r>
        <w:rPr>
          <w:color w:val="231F20"/>
          <w:spacing w:val="-11"/>
        </w:rPr>
        <w:t> </w:t>
      </w:r>
      <w:r>
        <w:rPr>
          <w:color w:val="231F20"/>
        </w:rPr>
        <w:t>«prevedibilmente</w:t>
      </w:r>
      <w:r>
        <w:rPr>
          <w:color w:val="231F20"/>
          <w:spacing w:val="-11"/>
        </w:rPr>
        <w:t> </w:t>
      </w:r>
      <w:r>
        <w:rPr>
          <w:color w:val="231F20"/>
        </w:rPr>
        <w:t>pertinenti»</w:t>
      </w:r>
      <w:r>
        <w:rPr>
          <w:color w:val="231F20"/>
          <w:spacing w:val="-11"/>
        </w:rPr>
        <w:t> </w:t>
      </w:r>
      <w:r>
        <w:rPr>
          <w:color w:val="231F20"/>
        </w:rPr>
        <w:t>in</w:t>
      </w:r>
      <w:r>
        <w:rPr>
          <w:color w:val="231F20"/>
          <w:spacing w:val="-11"/>
        </w:rPr>
        <w:t> </w:t>
      </w:r>
      <w:r>
        <w:rPr>
          <w:color w:val="231F20"/>
        </w:rPr>
        <w:t>quanto si</w:t>
      </w:r>
      <w:r>
        <w:rPr>
          <w:color w:val="231F20"/>
          <w:spacing w:val="-12"/>
        </w:rPr>
        <w:t> </w:t>
      </w:r>
      <w:r>
        <w:rPr>
          <w:color w:val="231F20"/>
        </w:rPr>
        <w:t>trattava</w:t>
      </w:r>
      <w:r>
        <w:rPr>
          <w:color w:val="231F20"/>
          <w:spacing w:val="-12"/>
        </w:rPr>
        <w:t> </w:t>
      </w:r>
      <w:r>
        <w:rPr>
          <w:color w:val="231F20"/>
        </w:rPr>
        <w:t>di</w:t>
      </w:r>
      <w:r>
        <w:rPr>
          <w:color w:val="231F20"/>
          <w:spacing w:val="-12"/>
        </w:rPr>
        <w:t> </w:t>
      </w:r>
      <w:r>
        <w:rPr>
          <w:color w:val="231F20"/>
        </w:rPr>
        <w:t>contratti</w:t>
      </w:r>
      <w:r>
        <w:rPr>
          <w:color w:val="231F20"/>
          <w:spacing w:val="-12"/>
        </w:rPr>
        <w:t> </w:t>
      </w:r>
      <w:r>
        <w:rPr>
          <w:color w:val="231F20"/>
        </w:rPr>
        <w:t>che</w:t>
      </w:r>
      <w:r>
        <w:rPr>
          <w:color w:val="231F20"/>
          <w:spacing w:val="-12"/>
        </w:rPr>
        <w:t> </w:t>
      </w:r>
      <w:r>
        <w:rPr>
          <w:color w:val="231F20"/>
        </w:rPr>
        <w:t>erano</w:t>
      </w:r>
      <w:r>
        <w:rPr>
          <w:color w:val="231F20"/>
          <w:spacing w:val="-12"/>
        </w:rPr>
        <w:t> </w:t>
      </w:r>
      <w:r>
        <w:rPr>
          <w:color w:val="231F20"/>
        </w:rPr>
        <w:t>stati</w:t>
      </w:r>
      <w:r>
        <w:rPr>
          <w:color w:val="231F20"/>
          <w:spacing w:val="-12"/>
        </w:rPr>
        <w:t> </w:t>
      </w:r>
      <w:r>
        <w:rPr>
          <w:color w:val="231F20"/>
        </w:rPr>
        <w:t>stipulati</w:t>
      </w:r>
      <w:r>
        <w:rPr>
          <w:color w:val="231F20"/>
          <w:spacing w:val="-12"/>
        </w:rPr>
        <w:t> </w:t>
      </w:r>
      <w:r>
        <w:rPr>
          <w:color w:val="231F20"/>
        </w:rPr>
        <w:t>in</w:t>
      </w:r>
      <w:r>
        <w:rPr>
          <w:color w:val="231F20"/>
          <w:spacing w:val="-12"/>
        </w:rPr>
        <w:t> </w:t>
      </w:r>
      <w:r>
        <w:rPr>
          <w:color w:val="231F20"/>
        </w:rPr>
        <w:t>un</w:t>
      </w:r>
      <w:r>
        <w:rPr>
          <w:color w:val="231F20"/>
          <w:spacing w:val="-12"/>
        </w:rPr>
        <w:t> </w:t>
      </w:r>
      <w:r>
        <w:rPr>
          <w:color w:val="231F20"/>
        </w:rPr>
        <w:t>determinato</w:t>
      </w:r>
      <w:r>
        <w:rPr>
          <w:color w:val="231F20"/>
          <w:spacing w:val="-12"/>
        </w:rPr>
        <w:t> </w:t>
      </w:r>
      <w:r>
        <w:rPr>
          <w:color w:val="231F20"/>
        </w:rPr>
        <w:t>periodo</w:t>
      </w:r>
      <w:r>
        <w:rPr>
          <w:color w:val="231F20"/>
          <w:spacing w:val="-12"/>
        </w:rPr>
        <w:t> </w:t>
      </w:r>
      <w:r>
        <w:rPr>
          <w:color w:val="231F20"/>
        </w:rPr>
        <w:t>di </w:t>
      </w:r>
      <w:r>
        <w:rPr>
          <w:color w:val="231F20"/>
          <w:spacing w:val="-6"/>
        </w:rPr>
        <w:t>tempo – quello al quale si riferiva l’accertamento in corso – dal soggetto deten- </w:t>
      </w:r>
      <w:r>
        <w:rPr>
          <w:color w:val="231F20"/>
          <w:spacing w:val="-2"/>
        </w:rPr>
        <w:t>tore</w:t>
      </w:r>
      <w:r>
        <w:rPr>
          <w:color w:val="231F20"/>
          <w:spacing w:val="-7"/>
        </w:rPr>
        <w:t> </w:t>
      </w:r>
      <w:r>
        <w:rPr>
          <w:color w:val="231F20"/>
          <w:spacing w:val="-2"/>
        </w:rPr>
        <w:t>delle</w:t>
      </w:r>
      <w:r>
        <w:rPr>
          <w:color w:val="231F20"/>
          <w:spacing w:val="-7"/>
        </w:rPr>
        <w:t> </w:t>
      </w:r>
      <w:r>
        <w:rPr>
          <w:color w:val="231F20"/>
          <w:spacing w:val="-2"/>
        </w:rPr>
        <w:t>informazioni</w:t>
      </w:r>
      <w:r>
        <w:rPr>
          <w:color w:val="231F20"/>
          <w:spacing w:val="-7"/>
        </w:rPr>
        <w:t> </w:t>
      </w:r>
      <w:r>
        <w:rPr>
          <w:color w:val="231F20"/>
          <w:spacing w:val="-2"/>
        </w:rPr>
        <w:t>nominativamente</w:t>
      </w:r>
      <w:r>
        <w:rPr>
          <w:color w:val="231F20"/>
          <w:spacing w:val="-7"/>
        </w:rPr>
        <w:t> </w:t>
      </w:r>
      <w:r>
        <w:rPr>
          <w:color w:val="231F20"/>
          <w:spacing w:val="-2"/>
        </w:rPr>
        <w:t>identificato</w:t>
      </w:r>
      <w:r>
        <w:rPr>
          <w:color w:val="231F20"/>
          <w:spacing w:val="-7"/>
        </w:rPr>
        <w:t> </w:t>
      </w:r>
      <w:r>
        <w:rPr>
          <w:color w:val="231F20"/>
          <w:spacing w:val="-2"/>
        </w:rPr>
        <w:t>–</w:t>
      </w:r>
      <w:r>
        <w:rPr>
          <w:color w:val="231F20"/>
          <w:spacing w:val="-7"/>
        </w:rPr>
        <w:t> </w:t>
      </w:r>
      <w:r>
        <w:rPr>
          <w:color w:val="231F20"/>
          <w:spacing w:val="-2"/>
        </w:rPr>
        <w:t>la</w:t>
      </w:r>
      <w:r>
        <w:rPr>
          <w:color w:val="231F20"/>
          <w:spacing w:val="-7"/>
        </w:rPr>
        <w:t> </w:t>
      </w:r>
      <w:r>
        <w:rPr>
          <w:color w:val="231F20"/>
          <w:spacing w:val="-2"/>
        </w:rPr>
        <w:t>società</w:t>
      </w:r>
      <w:r>
        <w:rPr>
          <w:color w:val="231F20"/>
          <w:spacing w:val="-7"/>
        </w:rPr>
        <w:t> </w:t>
      </w:r>
      <w:r>
        <w:rPr>
          <w:color w:val="231F20"/>
          <w:spacing w:val="-2"/>
        </w:rPr>
        <w:t>finanziaria </w:t>
      </w:r>
      <w:r>
        <w:rPr>
          <w:color w:val="231F20"/>
        </w:rPr>
        <w:t>lussemburghese</w:t>
      </w:r>
      <w:r>
        <w:rPr>
          <w:color w:val="231F20"/>
          <w:spacing w:val="-17"/>
        </w:rPr>
        <w:t> </w:t>
      </w:r>
      <w:r>
        <w:rPr>
          <w:color w:val="231F20"/>
        </w:rPr>
        <w:t>–</w:t>
      </w:r>
      <w:r>
        <w:rPr>
          <w:color w:val="231F20"/>
          <w:spacing w:val="-15"/>
        </w:rPr>
        <w:t> </w:t>
      </w:r>
      <w:r>
        <w:rPr>
          <w:color w:val="231F20"/>
        </w:rPr>
        <w:t>e</w:t>
      </w:r>
      <w:r>
        <w:rPr>
          <w:color w:val="231F20"/>
          <w:spacing w:val="-15"/>
        </w:rPr>
        <w:t> </w:t>
      </w:r>
      <w:r>
        <w:rPr>
          <w:color w:val="231F20"/>
        </w:rPr>
        <w:t>per</w:t>
      </w:r>
      <w:r>
        <w:rPr>
          <w:color w:val="231F20"/>
          <w:spacing w:val="-15"/>
        </w:rPr>
        <w:t> </w:t>
      </w:r>
      <w:r>
        <w:rPr>
          <w:color w:val="231F20"/>
        </w:rPr>
        <w:t>di</w:t>
      </w:r>
      <w:r>
        <w:rPr>
          <w:color w:val="231F20"/>
          <w:spacing w:val="-15"/>
        </w:rPr>
        <w:t> </w:t>
      </w:r>
      <w:r>
        <w:rPr>
          <w:color w:val="231F20"/>
        </w:rPr>
        <w:t>più</w:t>
      </w:r>
      <w:r>
        <w:rPr>
          <w:color w:val="231F20"/>
          <w:spacing w:val="-15"/>
        </w:rPr>
        <w:t> </w:t>
      </w:r>
      <w:r>
        <w:rPr>
          <w:color w:val="231F20"/>
        </w:rPr>
        <w:t>di</w:t>
      </w:r>
      <w:r>
        <w:rPr>
          <w:color w:val="231F20"/>
          <w:spacing w:val="-15"/>
        </w:rPr>
        <w:t> </w:t>
      </w:r>
      <w:r>
        <w:rPr>
          <w:color w:val="231F20"/>
        </w:rPr>
        <w:t>contratti</w:t>
      </w:r>
      <w:r>
        <w:rPr>
          <w:color w:val="231F20"/>
          <w:spacing w:val="-15"/>
        </w:rPr>
        <w:t> </w:t>
      </w:r>
      <w:r>
        <w:rPr>
          <w:color w:val="231F20"/>
        </w:rPr>
        <w:t>che</w:t>
      </w:r>
      <w:r>
        <w:rPr>
          <w:color w:val="231F20"/>
          <w:spacing w:val="-15"/>
        </w:rPr>
        <w:t> </w:t>
      </w:r>
      <w:r>
        <w:rPr>
          <w:color w:val="231F20"/>
        </w:rPr>
        <w:t>presentavano</w:t>
      </w:r>
      <w:r>
        <w:rPr>
          <w:color w:val="231F20"/>
          <w:spacing w:val="-15"/>
        </w:rPr>
        <w:t> </w:t>
      </w:r>
      <w:r>
        <w:rPr>
          <w:color w:val="231F20"/>
        </w:rPr>
        <w:t>un</w:t>
      </w:r>
      <w:r>
        <w:rPr>
          <w:color w:val="231F20"/>
          <w:spacing w:val="-15"/>
        </w:rPr>
        <w:t> </w:t>
      </w:r>
      <w:r>
        <w:rPr>
          <w:color w:val="231F20"/>
        </w:rPr>
        <w:t>legame</w:t>
      </w:r>
      <w:r>
        <w:rPr>
          <w:color w:val="231F20"/>
          <w:spacing w:val="-15"/>
        </w:rPr>
        <w:t> </w:t>
      </w:r>
      <w:r>
        <w:rPr>
          <w:color w:val="231F20"/>
        </w:rPr>
        <w:t>certo </w:t>
      </w:r>
      <w:r>
        <w:rPr>
          <w:color w:val="231F20"/>
          <w:spacing w:val="-4"/>
        </w:rPr>
        <w:t>con il contribuente oggetto delle indagini dell’amministrazione finanziaria ri- </w:t>
      </w:r>
      <w:r>
        <w:rPr>
          <w:color w:val="231F20"/>
          <w:spacing w:val="-2"/>
        </w:rPr>
        <w:t>chiedente</w:t>
      </w:r>
      <w:r>
        <w:rPr>
          <w:rFonts w:ascii="Times New Roman" w:hAnsi="Times New Roman"/>
          <w:color w:val="231F20"/>
          <w:spacing w:val="-2"/>
          <w:position w:val="8"/>
          <w:sz w:val="14"/>
        </w:rPr>
        <w:t>98</w:t>
      </w:r>
      <w:r>
        <w:rPr>
          <w:color w:val="231F20"/>
          <w:spacing w:val="-2"/>
        </w:rPr>
        <w:t>.</w:t>
      </w:r>
      <w:r>
        <w:rPr>
          <w:color w:val="231F20"/>
          <w:spacing w:val="-12"/>
        </w:rPr>
        <w:t> </w:t>
      </w:r>
      <w:r>
        <w:rPr>
          <w:color w:val="231F20"/>
          <w:spacing w:val="-2"/>
        </w:rPr>
        <w:t>Sulla</w:t>
      </w:r>
      <w:r>
        <w:rPr>
          <w:color w:val="231F20"/>
          <w:spacing w:val="-12"/>
        </w:rPr>
        <w:t> </w:t>
      </w:r>
      <w:r>
        <w:rPr>
          <w:color w:val="231F20"/>
          <w:spacing w:val="-2"/>
        </w:rPr>
        <w:t>base</w:t>
      </w:r>
      <w:r>
        <w:rPr>
          <w:color w:val="231F20"/>
          <w:spacing w:val="-12"/>
        </w:rPr>
        <w:t> </w:t>
      </w:r>
      <w:r>
        <w:rPr>
          <w:color w:val="231F20"/>
          <w:spacing w:val="-2"/>
        </w:rPr>
        <w:t>di</w:t>
      </w:r>
      <w:r>
        <w:rPr>
          <w:color w:val="231F20"/>
          <w:spacing w:val="-12"/>
        </w:rPr>
        <w:t> </w:t>
      </w:r>
      <w:r>
        <w:rPr>
          <w:color w:val="231F20"/>
          <w:spacing w:val="-2"/>
        </w:rPr>
        <w:t>tutti</w:t>
      </w:r>
      <w:r>
        <w:rPr>
          <w:color w:val="231F20"/>
          <w:spacing w:val="-12"/>
        </w:rPr>
        <w:t> </w:t>
      </w:r>
      <w:r>
        <w:rPr>
          <w:color w:val="231F20"/>
          <w:spacing w:val="-2"/>
        </w:rPr>
        <w:t>tali</w:t>
      </w:r>
      <w:r>
        <w:rPr>
          <w:color w:val="231F20"/>
          <w:spacing w:val="-12"/>
        </w:rPr>
        <w:t> </w:t>
      </w:r>
      <w:r>
        <w:rPr>
          <w:color w:val="231F20"/>
          <w:spacing w:val="-2"/>
        </w:rPr>
        <w:t>elementi</w:t>
      </w:r>
      <w:r>
        <w:rPr>
          <w:color w:val="231F20"/>
          <w:spacing w:val="-12"/>
        </w:rPr>
        <w:t> </w:t>
      </w:r>
      <w:r>
        <w:rPr>
          <w:color w:val="231F20"/>
          <w:spacing w:val="-2"/>
        </w:rPr>
        <w:t>la</w:t>
      </w:r>
      <w:r>
        <w:rPr>
          <w:color w:val="231F20"/>
          <w:spacing w:val="-12"/>
        </w:rPr>
        <w:t> </w:t>
      </w:r>
      <w:r>
        <w:rPr>
          <w:color w:val="231F20"/>
          <w:spacing w:val="-2"/>
        </w:rPr>
        <w:t>Corte</w:t>
      </w:r>
      <w:r>
        <w:rPr>
          <w:color w:val="231F20"/>
          <w:spacing w:val="-12"/>
        </w:rPr>
        <w:t> </w:t>
      </w:r>
      <w:r>
        <w:rPr>
          <w:color w:val="231F20"/>
          <w:spacing w:val="-2"/>
        </w:rPr>
        <w:t>di</w:t>
      </w:r>
      <w:r>
        <w:rPr>
          <w:color w:val="231F20"/>
          <w:spacing w:val="-12"/>
        </w:rPr>
        <w:t> </w:t>
      </w:r>
      <w:r>
        <w:rPr>
          <w:color w:val="231F20"/>
          <w:spacing w:val="-2"/>
        </w:rPr>
        <w:t>giustizia</w:t>
      </w:r>
      <w:r>
        <w:rPr>
          <w:color w:val="231F20"/>
          <w:spacing w:val="-12"/>
        </w:rPr>
        <w:t> </w:t>
      </w:r>
      <w:r>
        <w:rPr>
          <w:color w:val="231F20"/>
          <w:spacing w:val="-2"/>
        </w:rPr>
        <w:t>ha</w:t>
      </w:r>
      <w:r>
        <w:rPr>
          <w:color w:val="231F20"/>
          <w:spacing w:val="-12"/>
        </w:rPr>
        <w:t> </w:t>
      </w:r>
      <w:r>
        <w:rPr>
          <w:color w:val="231F20"/>
          <w:spacing w:val="-2"/>
        </w:rPr>
        <w:t>dichiarato </w:t>
      </w:r>
      <w:r>
        <w:rPr>
          <w:color w:val="231F20"/>
        </w:rPr>
        <w:t>conforme</w:t>
      </w:r>
      <w:r>
        <w:rPr>
          <w:color w:val="231F20"/>
          <w:spacing w:val="-15"/>
        </w:rPr>
        <w:t> </w:t>
      </w:r>
      <w:r>
        <w:rPr>
          <w:color w:val="231F20"/>
        </w:rPr>
        <w:t>agli</w:t>
      </w:r>
      <w:r>
        <w:rPr>
          <w:color w:val="231F20"/>
          <w:spacing w:val="-15"/>
        </w:rPr>
        <w:t> </w:t>
      </w:r>
      <w:r>
        <w:rPr>
          <w:color w:val="231F20"/>
        </w:rPr>
        <w:t>artt.</w:t>
      </w:r>
      <w:r>
        <w:rPr>
          <w:color w:val="231F20"/>
          <w:spacing w:val="-15"/>
        </w:rPr>
        <w:t> </w:t>
      </w:r>
      <w:r>
        <w:rPr>
          <w:color w:val="231F20"/>
        </w:rPr>
        <w:t>1</w:t>
      </w:r>
      <w:r>
        <w:rPr>
          <w:color w:val="231F20"/>
          <w:spacing w:val="-15"/>
        </w:rPr>
        <w:t> </w:t>
      </w:r>
      <w:r>
        <w:rPr>
          <w:color w:val="231F20"/>
        </w:rPr>
        <w:t>e</w:t>
      </w:r>
      <w:r>
        <w:rPr>
          <w:color w:val="231F20"/>
          <w:spacing w:val="-15"/>
        </w:rPr>
        <w:t> </w:t>
      </w:r>
      <w:r>
        <w:rPr>
          <w:color w:val="231F20"/>
        </w:rPr>
        <w:t>5</w:t>
      </w:r>
      <w:r>
        <w:rPr>
          <w:color w:val="231F20"/>
          <w:spacing w:val="-15"/>
        </w:rPr>
        <w:t> </w:t>
      </w:r>
      <w:r>
        <w:rPr>
          <w:color w:val="231F20"/>
        </w:rPr>
        <w:t>della</w:t>
      </w:r>
      <w:r>
        <w:rPr>
          <w:color w:val="231F20"/>
          <w:spacing w:val="-15"/>
        </w:rPr>
        <w:t> </w:t>
      </w:r>
      <w:r>
        <w:rPr>
          <w:color w:val="231F20"/>
        </w:rPr>
        <w:t>direttiva</w:t>
      </w:r>
      <w:r>
        <w:rPr>
          <w:color w:val="231F20"/>
          <w:spacing w:val="-15"/>
        </w:rPr>
        <w:t> </w:t>
      </w:r>
      <w:r>
        <w:rPr>
          <w:color w:val="231F20"/>
        </w:rPr>
        <w:t>la</w:t>
      </w:r>
      <w:r>
        <w:rPr>
          <w:color w:val="231F20"/>
          <w:spacing w:val="-15"/>
        </w:rPr>
        <w:t> </w:t>
      </w:r>
      <w:r>
        <w:rPr>
          <w:color w:val="231F20"/>
        </w:rPr>
        <w:t>decisione</w:t>
      </w:r>
      <w:r>
        <w:rPr>
          <w:color w:val="231F20"/>
          <w:spacing w:val="-15"/>
        </w:rPr>
        <w:t> </w:t>
      </w:r>
      <w:r>
        <w:rPr>
          <w:color w:val="231F20"/>
        </w:rPr>
        <w:t>di</w:t>
      </w:r>
      <w:r>
        <w:rPr>
          <w:color w:val="231F20"/>
          <w:spacing w:val="-15"/>
        </w:rPr>
        <w:t> </w:t>
      </w:r>
      <w:r>
        <w:rPr>
          <w:color w:val="231F20"/>
        </w:rPr>
        <w:t>ingiunzione</w:t>
      </w:r>
      <w:r>
        <w:rPr>
          <w:color w:val="231F20"/>
          <w:spacing w:val="-15"/>
        </w:rPr>
        <w:t> </w:t>
      </w:r>
      <w:r>
        <w:rPr>
          <w:color w:val="231F20"/>
        </w:rPr>
        <w:t>notificata </w:t>
      </w:r>
      <w:r>
        <w:rPr>
          <w:color w:val="231F20"/>
          <w:spacing w:val="-4"/>
        </w:rPr>
        <w:t>dall’autorità</w:t>
      </w:r>
      <w:r>
        <w:rPr>
          <w:color w:val="231F20"/>
          <w:spacing w:val="-9"/>
        </w:rPr>
        <w:t> </w:t>
      </w:r>
      <w:r>
        <w:rPr>
          <w:color w:val="231F20"/>
          <w:spacing w:val="-4"/>
        </w:rPr>
        <w:t>interpellata</w:t>
      </w:r>
      <w:r>
        <w:rPr>
          <w:color w:val="231F20"/>
          <w:spacing w:val="-9"/>
        </w:rPr>
        <w:t> </w:t>
      </w:r>
      <w:r>
        <w:rPr>
          <w:color w:val="231F20"/>
          <w:spacing w:val="-4"/>
        </w:rPr>
        <w:t>al</w:t>
      </w:r>
      <w:r>
        <w:rPr>
          <w:color w:val="231F20"/>
          <w:spacing w:val="-9"/>
        </w:rPr>
        <w:t> </w:t>
      </w:r>
      <w:r>
        <w:rPr>
          <w:color w:val="231F20"/>
          <w:spacing w:val="-4"/>
        </w:rPr>
        <w:t>soggetto</w:t>
      </w:r>
      <w:r>
        <w:rPr>
          <w:color w:val="231F20"/>
          <w:spacing w:val="-9"/>
        </w:rPr>
        <w:t> </w:t>
      </w:r>
      <w:r>
        <w:rPr>
          <w:color w:val="231F20"/>
          <w:spacing w:val="-4"/>
        </w:rPr>
        <w:t>detentore</w:t>
      </w:r>
      <w:r>
        <w:rPr>
          <w:color w:val="231F20"/>
          <w:spacing w:val="-9"/>
        </w:rPr>
        <w:t> </w:t>
      </w:r>
      <w:r>
        <w:rPr>
          <w:color w:val="231F20"/>
          <w:spacing w:val="-4"/>
        </w:rPr>
        <w:t>delle</w:t>
      </w:r>
      <w:r>
        <w:rPr>
          <w:color w:val="231F20"/>
          <w:spacing w:val="-9"/>
        </w:rPr>
        <w:t> </w:t>
      </w:r>
      <w:r>
        <w:rPr>
          <w:color w:val="231F20"/>
          <w:spacing w:val="-4"/>
        </w:rPr>
        <w:t>informazioni,</w:t>
      </w:r>
      <w:r>
        <w:rPr>
          <w:color w:val="231F20"/>
          <w:spacing w:val="-9"/>
        </w:rPr>
        <w:t> </w:t>
      </w:r>
      <w:r>
        <w:rPr>
          <w:color w:val="231F20"/>
          <w:spacing w:val="-4"/>
        </w:rPr>
        <w:t>avendo</w:t>
      </w:r>
      <w:r>
        <w:rPr>
          <w:color w:val="231F20"/>
          <w:spacing w:val="-9"/>
        </w:rPr>
        <w:t> </w:t>
      </w:r>
      <w:r>
        <w:rPr>
          <w:color w:val="231F20"/>
          <w:spacing w:val="-4"/>
        </w:rPr>
        <w:t>cura </w:t>
      </w:r>
      <w:r>
        <w:rPr>
          <w:color w:val="231F20"/>
        </w:rPr>
        <w:t>di</w:t>
      </w:r>
      <w:r>
        <w:rPr>
          <w:color w:val="231F20"/>
          <w:spacing w:val="-12"/>
        </w:rPr>
        <w:t> </w:t>
      </w:r>
      <w:r>
        <w:rPr>
          <w:color w:val="231F20"/>
        </w:rPr>
        <w:t>precisare,</w:t>
      </w:r>
      <w:r>
        <w:rPr>
          <w:color w:val="231F20"/>
          <w:spacing w:val="-12"/>
        </w:rPr>
        <w:t> </w:t>
      </w:r>
      <w:r>
        <w:rPr>
          <w:color w:val="231F20"/>
        </w:rPr>
        <w:t>su</w:t>
      </w:r>
      <w:r>
        <w:rPr>
          <w:color w:val="231F20"/>
          <w:spacing w:val="-12"/>
        </w:rPr>
        <w:t> </w:t>
      </w:r>
      <w:r>
        <w:rPr>
          <w:color w:val="231F20"/>
        </w:rPr>
        <w:t>un</w:t>
      </w:r>
      <w:r>
        <w:rPr>
          <w:color w:val="231F20"/>
          <w:spacing w:val="-12"/>
        </w:rPr>
        <w:t> </w:t>
      </w:r>
      <w:r>
        <w:rPr>
          <w:color w:val="231F20"/>
        </w:rPr>
        <w:t>piano</w:t>
      </w:r>
      <w:r>
        <w:rPr>
          <w:color w:val="231F20"/>
          <w:spacing w:val="-12"/>
        </w:rPr>
        <w:t> </w:t>
      </w:r>
      <w:r>
        <w:rPr>
          <w:color w:val="231F20"/>
        </w:rPr>
        <w:t>più</w:t>
      </w:r>
      <w:r>
        <w:rPr>
          <w:color w:val="231F20"/>
          <w:spacing w:val="-12"/>
        </w:rPr>
        <w:t> </w:t>
      </w:r>
      <w:r>
        <w:rPr>
          <w:color w:val="231F20"/>
        </w:rPr>
        <w:t>generale,</w:t>
      </w:r>
      <w:r>
        <w:rPr>
          <w:color w:val="231F20"/>
          <w:spacing w:val="-12"/>
        </w:rPr>
        <w:t> </w:t>
      </w:r>
      <w:r>
        <w:rPr>
          <w:color w:val="231F20"/>
        </w:rPr>
        <w:t>che</w:t>
      </w:r>
      <w:r>
        <w:rPr>
          <w:color w:val="231F20"/>
          <w:spacing w:val="-12"/>
        </w:rPr>
        <w:t> </w:t>
      </w:r>
      <w:r>
        <w:rPr>
          <w:color w:val="231F20"/>
        </w:rPr>
        <w:t>tanto</w:t>
      </w:r>
      <w:r>
        <w:rPr>
          <w:color w:val="231F20"/>
          <w:spacing w:val="-12"/>
        </w:rPr>
        <w:t> </w:t>
      </w:r>
      <w:r>
        <w:rPr>
          <w:color w:val="231F20"/>
        </w:rPr>
        <w:t>la</w:t>
      </w:r>
      <w:r>
        <w:rPr>
          <w:color w:val="231F20"/>
          <w:spacing w:val="-12"/>
        </w:rPr>
        <w:t> </w:t>
      </w:r>
      <w:r>
        <w:rPr>
          <w:color w:val="231F20"/>
        </w:rPr>
        <w:t>richiesta</w:t>
      </w:r>
      <w:r>
        <w:rPr>
          <w:color w:val="231F20"/>
          <w:spacing w:val="-12"/>
        </w:rPr>
        <w:t> </w:t>
      </w:r>
      <w:r>
        <w:rPr>
          <w:color w:val="231F20"/>
        </w:rPr>
        <w:t>di</w:t>
      </w:r>
      <w:r>
        <w:rPr>
          <w:color w:val="231F20"/>
          <w:spacing w:val="-12"/>
        </w:rPr>
        <w:t> </w:t>
      </w:r>
      <w:r>
        <w:rPr>
          <w:color w:val="231F20"/>
        </w:rPr>
        <w:t>informazioni quanto</w:t>
      </w:r>
      <w:r>
        <w:rPr>
          <w:color w:val="231F20"/>
          <w:spacing w:val="-4"/>
        </w:rPr>
        <w:t> </w:t>
      </w:r>
      <w:r>
        <w:rPr>
          <w:color w:val="231F20"/>
        </w:rPr>
        <w:t>la</w:t>
      </w:r>
      <w:r>
        <w:rPr>
          <w:color w:val="231F20"/>
          <w:spacing w:val="-4"/>
        </w:rPr>
        <w:t> </w:t>
      </w:r>
      <w:r>
        <w:rPr>
          <w:color w:val="231F20"/>
        </w:rPr>
        <w:t>decisione</w:t>
      </w:r>
      <w:r>
        <w:rPr>
          <w:color w:val="231F20"/>
          <w:spacing w:val="-4"/>
        </w:rPr>
        <w:t> </w:t>
      </w:r>
      <w:r>
        <w:rPr>
          <w:color w:val="231F20"/>
        </w:rPr>
        <w:t>di</w:t>
      </w:r>
      <w:r>
        <w:rPr>
          <w:color w:val="231F20"/>
          <w:spacing w:val="-4"/>
        </w:rPr>
        <w:t> </w:t>
      </w:r>
      <w:r>
        <w:rPr>
          <w:color w:val="231F20"/>
        </w:rPr>
        <w:t>ingiunzione,</w:t>
      </w:r>
      <w:r>
        <w:rPr>
          <w:color w:val="231F20"/>
          <w:spacing w:val="-4"/>
        </w:rPr>
        <w:t> </w:t>
      </w:r>
      <w:r>
        <w:rPr>
          <w:color w:val="231F20"/>
        </w:rPr>
        <w:t>intervengono</w:t>
      </w:r>
      <w:r>
        <w:rPr>
          <w:color w:val="231F20"/>
          <w:spacing w:val="-4"/>
        </w:rPr>
        <w:t> </w:t>
      </w:r>
      <w:r>
        <w:rPr>
          <w:color w:val="231F20"/>
        </w:rPr>
        <w:t>per</w:t>
      </w:r>
      <w:r>
        <w:rPr>
          <w:color w:val="231F20"/>
          <w:spacing w:val="-4"/>
        </w:rPr>
        <w:t> </w:t>
      </w:r>
      <w:r>
        <w:rPr>
          <w:color w:val="231F20"/>
        </w:rPr>
        <w:t>definizione</w:t>
      </w:r>
      <w:r>
        <w:rPr>
          <w:color w:val="231F20"/>
          <w:spacing w:val="-4"/>
        </w:rPr>
        <w:t> </w:t>
      </w:r>
      <w:r>
        <w:rPr>
          <w:color w:val="231F20"/>
        </w:rPr>
        <w:t>nel</w:t>
      </w:r>
      <w:r>
        <w:rPr>
          <w:color w:val="231F20"/>
          <w:spacing w:val="-4"/>
        </w:rPr>
        <w:t> </w:t>
      </w:r>
      <w:r>
        <w:rPr>
          <w:color w:val="231F20"/>
        </w:rPr>
        <w:t>corso della</w:t>
      </w:r>
      <w:r>
        <w:rPr>
          <w:color w:val="231F20"/>
          <w:spacing w:val="-1"/>
        </w:rPr>
        <w:t> </w:t>
      </w:r>
      <w:r>
        <w:rPr>
          <w:color w:val="231F20"/>
        </w:rPr>
        <w:t>«fase</w:t>
      </w:r>
      <w:r>
        <w:rPr>
          <w:color w:val="231F20"/>
          <w:spacing w:val="-1"/>
        </w:rPr>
        <w:t> </w:t>
      </w:r>
      <w:r>
        <w:rPr>
          <w:color w:val="231F20"/>
        </w:rPr>
        <w:t>preliminare»</w:t>
      </w:r>
      <w:r>
        <w:rPr>
          <w:color w:val="231F20"/>
          <w:spacing w:val="-1"/>
        </w:rPr>
        <w:t> </w:t>
      </w:r>
      <w:r>
        <w:rPr>
          <w:color w:val="231F20"/>
        </w:rPr>
        <w:t>di</w:t>
      </w:r>
      <w:r>
        <w:rPr>
          <w:color w:val="231F20"/>
          <w:spacing w:val="40"/>
        </w:rPr>
        <w:t> </w:t>
      </w:r>
      <w:r>
        <w:rPr>
          <w:color w:val="231F20"/>
        </w:rPr>
        <w:t>un</w:t>
      </w:r>
      <w:r>
        <w:rPr>
          <w:color w:val="231F20"/>
          <w:spacing w:val="-1"/>
        </w:rPr>
        <w:t> </w:t>
      </w:r>
      <w:r>
        <w:rPr>
          <w:color w:val="231F20"/>
        </w:rPr>
        <w:t>procedimento</w:t>
      </w:r>
      <w:r>
        <w:rPr>
          <w:color w:val="231F20"/>
          <w:spacing w:val="-1"/>
        </w:rPr>
        <w:t> </w:t>
      </w:r>
      <w:r>
        <w:rPr>
          <w:color w:val="231F20"/>
        </w:rPr>
        <w:t>di</w:t>
      </w:r>
      <w:r>
        <w:rPr>
          <w:color w:val="231F20"/>
          <w:spacing w:val="-1"/>
        </w:rPr>
        <w:t> </w:t>
      </w:r>
      <w:r>
        <w:rPr>
          <w:color w:val="231F20"/>
        </w:rPr>
        <w:t>accertamento</w:t>
      </w:r>
      <w:r>
        <w:rPr>
          <w:color w:val="231F20"/>
          <w:spacing w:val="-1"/>
        </w:rPr>
        <w:t> </w:t>
      </w:r>
      <w:r>
        <w:rPr>
          <w:color w:val="231F20"/>
        </w:rPr>
        <w:t>tributario,</w:t>
      </w:r>
      <w:r>
        <w:rPr>
          <w:color w:val="231F20"/>
          <w:spacing w:val="-1"/>
        </w:rPr>
        <w:t> </w:t>
      </w:r>
      <w:r>
        <w:rPr>
          <w:color w:val="231F20"/>
        </w:rPr>
        <w:t>il cui</w:t>
      </w:r>
      <w:r>
        <w:rPr>
          <w:color w:val="231F20"/>
          <w:spacing w:val="-15"/>
        </w:rPr>
        <w:t> </w:t>
      </w:r>
      <w:r>
        <w:rPr>
          <w:color w:val="231F20"/>
        </w:rPr>
        <w:t>scopo</w:t>
      </w:r>
      <w:r>
        <w:rPr>
          <w:color w:val="231F20"/>
          <w:spacing w:val="-15"/>
        </w:rPr>
        <w:t> </w:t>
      </w:r>
      <w:r>
        <w:rPr>
          <w:color w:val="231F20"/>
        </w:rPr>
        <w:t>è</w:t>
      </w:r>
      <w:r>
        <w:rPr>
          <w:color w:val="231F20"/>
          <w:spacing w:val="-15"/>
        </w:rPr>
        <w:t> </w:t>
      </w:r>
      <w:r>
        <w:rPr>
          <w:color w:val="231F20"/>
        </w:rPr>
        <w:t>per</w:t>
      </w:r>
      <w:r>
        <w:rPr>
          <w:color w:val="231F20"/>
          <w:spacing w:val="-15"/>
        </w:rPr>
        <w:t> </w:t>
      </w:r>
      <w:r>
        <w:rPr>
          <w:color w:val="231F20"/>
        </w:rPr>
        <w:t>l’appunto</w:t>
      </w:r>
      <w:r>
        <w:rPr>
          <w:color w:val="231F20"/>
          <w:spacing w:val="-15"/>
        </w:rPr>
        <w:t> </w:t>
      </w:r>
      <w:r>
        <w:rPr>
          <w:color w:val="231F20"/>
        </w:rPr>
        <w:t>quello</w:t>
      </w:r>
      <w:r>
        <w:rPr>
          <w:color w:val="231F20"/>
          <w:spacing w:val="-15"/>
        </w:rPr>
        <w:t> </w:t>
      </w:r>
      <w:r>
        <w:rPr>
          <w:color w:val="231F20"/>
        </w:rPr>
        <w:t>di</w:t>
      </w:r>
      <w:r>
        <w:rPr>
          <w:color w:val="231F20"/>
          <w:spacing w:val="-15"/>
        </w:rPr>
        <w:t> </w:t>
      </w:r>
      <w:r>
        <w:rPr>
          <w:color w:val="231F20"/>
        </w:rPr>
        <w:t>raccogliere</w:t>
      </w:r>
      <w:r>
        <w:rPr>
          <w:color w:val="231F20"/>
          <w:spacing w:val="-15"/>
        </w:rPr>
        <w:t> </w:t>
      </w:r>
      <w:r>
        <w:rPr>
          <w:color w:val="231F20"/>
        </w:rPr>
        <w:t>informazioni</w:t>
      </w:r>
      <w:r>
        <w:rPr>
          <w:color w:val="231F20"/>
          <w:spacing w:val="-15"/>
        </w:rPr>
        <w:t> </w:t>
      </w:r>
      <w:r>
        <w:rPr>
          <w:color w:val="231F20"/>
        </w:rPr>
        <w:t>di</w:t>
      </w:r>
      <w:r>
        <w:rPr>
          <w:color w:val="231F20"/>
          <w:spacing w:val="-15"/>
        </w:rPr>
        <w:t> </w:t>
      </w:r>
      <w:r>
        <w:rPr>
          <w:color w:val="231F20"/>
        </w:rPr>
        <w:t>cui</w:t>
      </w:r>
      <w:r>
        <w:rPr>
          <w:color w:val="231F20"/>
          <w:spacing w:val="-15"/>
        </w:rPr>
        <w:t> </w:t>
      </w:r>
      <w:r>
        <w:rPr>
          <w:color w:val="231F20"/>
        </w:rPr>
        <w:t>l’autorità richiedente</w:t>
      </w:r>
      <w:r>
        <w:rPr>
          <w:color w:val="231F20"/>
          <w:spacing w:val="-9"/>
        </w:rPr>
        <w:t> </w:t>
      </w:r>
      <w:r>
        <w:rPr>
          <w:color w:val="231F20"/>
        </w:rPr>
        <w:t>«non</w:t>
      </w:r>
      <w:r>
        <w:rPr>
          <w:color w:val="231F20"/>
          <w:spacing w:val="-9"/>
        </w:rPr>
        <w:t> </w:t>
      </w:r>
      <w:r>
        <w:rPr>
          <w:color w:val="231F20"/>
        </w:rPr>
        <w:t>ha</w:t>
      </w:r>
      <w:r>
        <w:rPr>
          <w:color w:val="231F20"/>
          <w:spacing w:val="-9"/>
        </w:rPr>
        <w:t> </w:t>
      </w:r>
      <w:r>
        <w:rPr>
          <w:color w:val="231F20"/>
        </w:rPr>
        <w:t>conoscenza</w:t>
      </w:r>
      <w:r>
        <w:rPr>
          <w:color w:val="231F20"/>
          <w:spacing w:val="-9"/>
        </w:rPr>
        <w:t> </w:t>
      </w:r>
      <w:r>
        <w:rPr>
          <w:color w:val="231F20"/>
        </w:rPr>
        <w:t>precisa</w:t>
      </w:r>
      <w:r>
        <w:rPr>
          <w:color w:val="231F20"/>
          <w:spacing w:val="-9"/>
        </w:rPr>
        <w:t> </w:t>
      </w:r>
      <w:r>
        <w:rPr>
          <w:color w:val="231F20"/>
        </w:rPr>
        <w:t>e</w:t>
      </w:r>
      <w:r>
        <w:rPr>
          <w:color w:val="231F20"/>
          <w:spacing w:val="-9"/>
        </w:rPr>
        <w:t> </w:t>
      </w:r>
      <w:r>
        <w:rPr>
          <w:color w:val="231F20"/>
        </w:rPr>
        <w:t>completa»</w:t>
      </w:r>
      <w:r>
        <w:rPr>
          <w:rFonts w:ascii="Times New Roman" w:hAnsi="Times New Roman"/>
          <w:color w:val="231F20"/>
          <w:position w:val="8"/>
          <w:sz w:val="14"/>
        </w:rPr>
        <w:t>99</w:t>
      </w:r>
      <w:r>
        <w:rPr>
          <w:color w:val="231F20"/>
        </w:rPr>
        <w:t>.</w:t>
      </w:r>
    </w:p>
    <w:p>
      <w:pPr>
        <w:pStyle w:val="BodyText"/>
        <w:spacing w:before="177"/>
      </w:pPr>
    </w:p>
    <w:p>
      <w:pPr>
        <w:pStyle w:val="ListParagraph"/>
        <w:numPr>
          <w:ilvl w:val="1"/>
          <w:numId w:val="4"/>
        </w:numPr>
        <w:tabs>
          <w:tab w:pos="583" w:val="left" w:leader="none"/>
        </w:tabs>
        <w:spacing w:line="244" w:lineRule="auto" w:before="0" w:after="0"/>
        <w:ind w:left="157" w:right="227" w:firstLine="0"/>
        <w:jc w:val="left"/>
        <w:rPr>
          <w:b/>
          <w:sz w:val="24"/>
        </w:rPr>
      </w:pPr>
      <w:r>
        <w:rPr>
          <w:b/>
          <w:color w:val="231F20"/>
          <w:sz w:val="24"/>
        </w:rPr>
        <w:t>La</w:t>
      </w:r>
      <w:r>
        <w:rPr>
          <w:b/>
          <w:color w:val="231F20"/>
          <w:spacing w:val="-6"/>
          <w:sz w:val="24"/>
        </w:rPr>
        <w:t> </w:t>
      </w:r>
      <w:r>
        <w:rPr>
          <w:b/>
          <w:color w:val="231F20"/>
          <w:sz w:val="24"/>
        </w:rPr>
        <w:t>sentenza</w:t>
      </w:r>
      <w:r>
        <w:rPr>
          <w:b/>
          <w:color w:val="231F20"/>
          <w:spacing w:val="-6"/>
          <w:sz w:val="24"/>
        </w:rPr>
        <w:t> </w:t>
      </w:r>
      <w:r>
        <w:rPr>
          <w:b/>
          <w:color w:val="231F20"/>
          <w:sz w:val="24"/>
        </w:rPr>
        <w:t>del</w:t>
      </w:r>
      <w:r>
        <w:rPr>
          <w:b/>
          <w:color w:val="231F20"/>
          <w:spacing w:val="-6"/>
          <w:sz w:val="24"/>
        </w:rPr>
        <w:t> </w:t>
      </w:r>
      <w:r>
        <w:rPr>
          <w:b/>
          <w:color w:val="231F20"/>
          <w:sz w:val="24"/>
        </w:rPr>
        <w:t>25</w:t>
      </w:r>
      <w:r>
        <w:rPr>
          <w:b/>
          <w:color w:val="231F20"/>
          <w:spacing w:val="-6"/>
          <w:sz w:val="24"/>
        </w:rPr>
        <w:t> </w:t>
      </w:r>
      <w:r>
        <w:rPr>
          <w:b/>
          <w:color w:val="231F20"/>
          <w:sz w:val="24"/>
        </w:rPr>
        <w:t>novembre</w:t>
      </w:r>
      <w:r>
        <w:rPr>
          <w:b/>
          <w:color w:val="231F20"/>
          <w:spacing w:val="-6"/>
          <w:sz w:val="24"/>
        </w:rPr>
        <w:t> </w:t>
      </w:r>
      <w:r>
        <w:rPr>
          <w:b/>
          <w:color w:val="231F20"/>
          <w:sz w:val="24"/>
        </w:rPr>
        <w:t>2021,</w:t>
      </w:r>
      <w:r>
        <w:rPr>
          <w:b/>
          <w:color w:val="231F20"/>
          <w:spacing w:val="-6"/>
          <w:sz w:val="24"/>
        </w:rPr>
        <w:t> </w:t>
      </w:r>
      <w:r>
        <w:rPr>
          <w:b/>
          <w:color w:val="231F20"/>
          <w:sz w:val="24"/>
        </w:rPr>
        <w:t>C-437/19,</w:t>
      </w:r>
      <w:r>
        <w:rPr>
          <w:b/>
          <w:color w:val="231F20"/>
          <w:spacing w:val="-6"/>
          <w:sz w:val="24"/>
        </w:rPr>
        <w:t> </w:t>
      </w:r>
      <w:r>
        <w:rPr>
          <w:b/>
          <w:color w:val="231F20"/>
          <w:sz w:val="24"/>
        </w:rPr>
        <w:t>État</w:t>
      </w:r>
      <w:r>
        <w:rPr>
          <w:b/>
          <w:color w:val="231F20"/>
          <w:spacing w:val="-6"/>
          <w:sz w:val="24"/>
        </w:rPr>
        <w:t> </w:t>
      </w:r>
      <w:r>
        <w:rPr>
          <w:b/>
          <w:color w:val="231F20"/>
          <w:sz w:val="24"/>
        </w:rPr>
        <w:t>luxembourgois contro L</w:t>
      </w:r>
    </w:p>
    <w:p>
      <w:pPr>
        <w:pStyle w:val="BodyText"/>
        <w:spacing w:line="225" w:lineRule="auto" w:before="263"/>
        <w:ind w:left="157" w:right="117"/>
        <w:jc w:val="both"/>
      </w:pPr>
      <w:r>
        <w:rPr>
          <w:color w:val="231F20"/>
        </w:rPr>
        <w:t>La terza causa pregiudiziale deferita al giudizio della Corte di giustizia da parte</w:t>
      </w:r>
      <w:r>
        <w:rPr>
          <w:color w:val="231F20"/>
          <w:spacing w:val="6"/>
        </w:rPr>
        <w:t> </w:t>
      </w:r>
      <w:r>
        <w:rPr>
          <w:color w:val="231F20"/>
        </w:rPr>
        <w:t>della</w:t>
      </w:r>
      <w:r>
        <w:rPr>
          <w:color w:val="231F20"/>
          <w:spacing w:val="6"/>
        </w:rPr>
        <w:t> </w:t>
      </w:r>
      <w:r>
        <w:rPr>
          <w:color w:val="231F20"/>
        </w:rPr>
        <w:t>Corte</w:t>
      </w:r>
      <w:r>
        <w:rPr>
          <w:color w:val="231F20"/>
          <w:spacing w:val="7"/>
        </w:rPr>
        <w:t> </w:t>
      </w:r>
      <w:r>
        <w:rPr>
          <w:color w:val="231F20"/>
        </w:rPr>
        <w:t>amministrativa</w:t>
      </w:r>
      <w:r>
        <w:rPr>
          <w:color w:val="231F20"/>
          <w:spacing w:val="6"/>
        </w:rPr>
        <w:t> </w:t>
      </w:r>
      <w:r>
        <w:rPr>
          <w:color w:val="231F20"/>
        </w:rPr>
        <w:t>d’appello</w:t>
      </w:r>
      <w:r>
        <w:rPr>
          <w:color w:val="231F20"/>
          <w:spacing w:val="7"/>
        </w:rPr>
        <w:t> </w:t>
      </w:r>
      <w:r>
        <w:rPr>
          <w:color w:val="231F20"/>
        </w:rPr>
        <w:t>del</w:t>
      </w:r>
      <w:r>
        <w:rPr>
          <w:color w:val="231F20"/>
          <w:spacing w:val="6"/>
        </w:rPr>
        <w:t> </w:t>
      </w:r>
      <w:r>
        <w:rPr>
          <w:color w:val="231F20"/>
        </w:rPr>
        <w:t>Lussemburgo</w:t>
      </w:r>
      <w:r>
        <w:rPr>
          <w:color w:val="231F20"/>
          <w:spacing w:val="7"/>
        </w:rPr>
        <w:t> </w:t>
      </w:r>
      <w:r>
        <w:rPr>
          <w:color w:val="231F20"/>
        </w:rPr>
        <w:t>ha</w:t>
      </w:r>
      <w:r>
        <w:rPr>
          <w:color w:val="231F20"/>
          <w:spacing w:val="6"/>
        </w:rPr>
        <w:t> </w:t>
      </w:r>
      <w:r>
        <w:rPr>
          <w:color w:val="231F20"/>
        </w:rPr>
        <w:t>tratto</w:t>
      </w:r>
      <w:r>
        <w:rPr>
          <w:color w:val="231F20"/>
          <w:spacing w:val="7"/>
        </w:rPr>
        <w:t> </w:t>
      </w:r>
      <w:r>
        <w:rPr>
          <w:color w:val="231F20"/>
          <w:spacing w:val="-4"/>
        </w:rPr>
        <w:t>ori-</w:t>
      </w:r>
    </w:p>
    <w:p>
      <w:pPr>
        <w:pStyle w:val="BodyText"/>
        <w:spacing w:before="12"/>
        <w:rPr>
          <w:sz w:val="15"/>
        </w:rPr>
      </w:pPr>
      <w:r>
        <w:rPr/>
        <mc:AlternateContent>
          <mc:Choice Requires="wps">
            <w:drawing>
              <wp:anchor distT="0" distB="0" distL="0" distR="0" allowOverlap="1" layoutInCell="1" locked="0" behindDoc="1" simplePos="0" relativeHeight="487628800">
                <wp:simplePos x="0" y="0"/>
                <wp:positionH relativeFrom="page">
                  <wp:posOffset>900000</wp:posOffset>
                </wp:positionH>
                <wp:positionV relativeFrom="paragraph">
                  <wp:posOffset>144166</wp:posOffset>
                </wp:positionV>
                <wp:extent cx="792480" cy="1270"/>
                <wp:effectExtent l="0" t="0" r="0" b="0"/>
                <wp:wrapTopAndBottom/>
                <wp:docPr id="139" name="Graphic 139"/>
                <wp:cNvGraphicFramePr>
                  <a:graphicFrameLocks/>
                </wp:cNvGraphicFramePr>
                <a:graphic>
                  <a:graphicData uri="http://schemas.microsoft.com/office/word/2010/wordprocessingShape">
                    <wps:wsp>
                      <wps:cNvPr id="139" name="Graphic 139"/>
                      <wps:cNvSpPr/>
                      <wps:spPr>
                        <a:xfrm>
                          <a:off x="0" y="0"/>
                          <a:ext cx="792480" cy="1270"/>
                        </a:xfrm>
                        <a:custGeom>
                          <a:avLst/>
                          <a:gdLst/>
                          <a:ahLst/>
                          <a:cxnLst/>
                          <a:rect l="l" t="t" r="r" b="b"/>
                          <a:pathLst>
                            <a:path w="792480" h="0">
                              <a:moveTo>
                                <a:pt x="0" y="0"/>
                              </a:moveTo>
                              <a:lnTo>
                                <a:pt x="791997"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shape style="position:absolute;margin-left:70.866203pt;margin-top:11.35170pt;width:62.4pt;height:.1pt;mso-position-horizontal-relative:page;mso-position-vertical-relative:paragraph;z-index:-15687680;mso-wrap-distance-left:0;mso-wrap-distance-right:0" id="docshape115" coordorigin="1417,227" coordsize="1248,0" path="m1417,227l2665,227e" filled="false" stroked="true" strokeweight=".5pt" strokecolor="#231f20">
                <v:path arrowok="t"/>
                <v:stroke dashstyle="solid"/>
                <w10:wrap type="topAndBottom"/>
              </v:shape>
            </w:pict>
          </mc:Fallback>
        </mc:AlternateContent>
      </w:r>
    </w:p>
    <w:p>
      <w:pPr>
        <w:spacing w:line="235" w:lineRule="exact" w:before="190"/>
        <w:ind w:left="157" w:right="0" w:firstLine="0"/>
        <w:jc w:val="left"/>
        <w:rPr>
          <w:sz w:val="19"/>
        </w:rPr>
      </w:pPr>
      <w:r>
        <w:rPr>
          <w:color w:val="231F20"/>
          <w:position w:val="6"/>
          <w:sz w:val="11"/>
        </w:rPr>
        <w:t>98</w:t>
      </w:r>
      <w:r>
        <w:rPr>
          <w:color w:val="231F20"/>
          <w:spacing w:val="53"/>
          <w:position w:val="6"/>
          <w:sz w:val="11"/>
        </w:rPr>
        <w:t>  </w:t>
      </w:r>
      <w:r>
        <w:rPr>
          <w:color w:val="231F20"/>
          <w:sz w:val="19"/>
        </w:rPr>
        <w:t>Corte</w:t>
      </w:r>
      <w:r>
        <w:rPr>
          <w:color w:val="231F20"/>
          <w:spacing w:val="1"/>
          <w:sz w:val="19"/>
        </w:rPr>
        <w:t> </w:t>
      </w:r>
      <w:r>
        <w:rPr>
          <w:color w:val="231F20"/>
          <w:sz w:val="19"/>
        </w:rPr>
        <w:t>giust. UE, sent. del 6</w:t>
      </w:r>
      <w:r>
        <w:rPr>
          <w:color w:val="231F20"/>
          <w:spacing w:val="-1"/>
          <w:sz w:val="19"/>
        </w:rPr>
        <w:t> </w:t>
      </w:r>
      <w:r>
        <w:rPr>
          <w:color w:val="231F20"/>
          <w:sz w:val="19"/>
        </w:rPr>
        <w:t>ottobre 2020, causa C-245/19, cit., punti da 113 a </w:t>
      </w:r>
      <w:r>
        <w:rPr>
          <w:color w:val="231F20"/>
          <w:spacing w:val="-4"/>
          <w:sz w:val="19"/>
        </w:rPr>
        <w:t>124.</w:t>
      </w:r>
    </w:p>
    <w:p>
      <w:pPr>
        <w:spacing w:line="225" w:lineRule="auto" w:before="4"/>
        <w:ind w:left="157" w:right="94" w:firstLine="0"/>
        <w:jc w:val="left"/>
        <w:rPr>
          <w:sz w:val="19"/>
        </w:rPr>
      </w:pPr>
      <w:r>
        <w:rPr>
          <w:color w:val="231F20"/>
          <w:position w:val="6"/>
          <w:sz w:val="11"/>
        </w:rPr>
        <w:t>99</w:t>
      </w:r>
      <w:r>
        <w:rPr>
          <w:color w:val="231F20"/>
          <w:spacing w:val="40"/>
          <w:position w:val="6"/>
          <w:sz w:val="11"/>
        </w:rPr>
        <w:t>  </w:t>
      </w:r>
      <w:r>
        <w:rPr>
          <w:color w:val="231F20"/>
          <w:sz w:val="19"/>
        </w:rPr>
        <w:t>Corte</w:t>
      </w:r>
      <w:r>
        <w:rPr>
          <w:color w:val="231F20"/>
          <w:spacing w:val="-8"/>
          <w:sz w:val="19"/>
        </w:rPr>
        <w:t> </w:t>
      </w:r>
      <w:r>
        <w:rPr>
          <w:color w:val="231F20"/>
          <w:sz w:val="19"/>
        </w:rPr>
        <w:t>giust.</w:t>
      </w:r>
      <w:r>
        <w:rPr>
          <w:color w:val="231F20"/>
          <w:spacing w:val="-8"/>
          <w:sz w:val="19"/>
        </w:rPr>
        <w:t> </w:t>
      </w:r>
      <w:r>
        <w:rPr>
          <w:color w:val="231F20"/>
          <w:sz w:val="19"/>
        </w:rPr>
        <w:t>UE,</w:t>
      </w:r>
      <w:r>
        <w:rPr>
          <w:color w:val="231F20"/>
          <w:spacing w:val="-8"/>
          <w:sz w:val="19"/>
        </w:rPr>
        <w:t> </w:t>
      </w:r>
      <w:r>
        <w:rPr>
          <w:color w:val="231F20"/>
          <w:sz w:val="19"/>
        </w:rPr>
        <w:t>ult.</w:t>
      </w:r>
      <w:r>
        <w:rPr>
          <w:color w:val="231F20"/>
          <w:spacing w:val="-8"/>
          <w:sz w:val="19"/>
        </w:rPr>
        <w:t> </w:t>
      </w:r>
      <w:r>
        <w:rPr>
          <w:color w:val="231F20"/>
          <w:sz w:val="19"/>
        </w:rPr>
        <w:t>cit.,</w:t>
      </w:r>
      <w:r>
        <w:rPr>
          <w:color w:val="231F20"/>
          <w:spacing w:val="-8"/>
          <w:sz w:val="19"/>
        </w:rPr>
        <w:t> </w:t>
      </w:r>
      <w:r>
        <w:rPr>
          <w:color w:val="231F20"/>
          <w:sz w:val="19"/>
        </w:rPr>
        <w:t>punto</w:t>
      </w:r>
      <w:r>
        <w:rPr>
          <w:color w:val="231F20"/>
          <w:spacing w:val="-8"/>
          <w:sz w:val="19"/>
        </w:rPr>
        <w:t> </w:t>
      </w:r>
      <w:r>
        <w:rPr>
          <w:color w:val="231F20"/>
          <w:sz w:val="19"/>
        </w:rPr>
        <w:t>121,</w:t>
      </w:r>
      <w:r>
        <w:rPr>
          <w:color w:val="231F20"/>
          <w:spacing w:val="-8"/>
          <w:sz w:val="19"/>
        </w:rPr>
        <w:t> </w:t>
      </w:r>
      <w:r>
        <w:rPr>
          <w:color w:val="231F20"/>
          <w:sz w:val="19"/>
        </w:rPr>
        <w:t>confermato</w:t>
      </w:r>
      <w:r>
        <w:rPr>
          <w:color w:val="231F20"/>
          <w:spacing w:val="-8"/>
          <w:sz w:val="19"/>
        </w:rPr>
        <w:t> </w:t>
      </w:r>
      <w:r>
        <w:rPr>
          <w:color w:val="231F20"/>
          <w:sz w:val="19"/>
        </w:rPr>
        <w:t>nella</w:t>
      </w:r>
      <w:r>
        <w:rPr>
          <w:color w:val="231F20"/>
          <w:spacing w:val="-8"/>
          <w:sz w:val="19"/>
        </w:rPr>
        <w:t> </w:t>
      </w:r>
      <w:r>
        <w:rPr>
          <w:color w:val="231F20"/>
          <w:sz w:val="19"/>
        </w:rPr>
        <w:t>successiva</w:t>
      </w:r>
      <w:r>
        <w:rPr>
          <w:color w:val="231F20"/>
          <w:spacing w:val="-8"/>
          <w:sz w:val="19"/>
        </w:rPr>
        <w:t> </w:t>
      </w:r>
      <w:r>
        <w:rPr>
          <w:color w:val="231F20"/>
          <w:sz w:val="19"/>
        </w:rPr>
        <w:t>Corte</w:t>
      </w:r>
      <w:r>
        <w:rPr>
          <w:color w:val="231F20"/>
          <w:spacing w:val="-8"/>
          <w:sz w:val="19"/>
        </w:rPr>
        <w:t> </w:t>
      </w:r>
      <w:r>
        <w:rPr>
          <w:color w:val="231F20"/>
          <w:sz w:val="19"/>
        </w:rPr>
        <w:t>giust.</w:t>
      </w:r>
      <w:r>
        <w:rPr>
          <w:color w:val="231F20"/>
          <w:spacing w:val="-8"/>
          <w:sz w:val="19"/>
        </w:rPr>
        <w:t> </w:t>
      </w:r>
      <w:r>
        <w:rPr>
          <w:color w:val="231F20"/>
          <w:sz w:val="19"/>
        </w:rPr>
        <w:t>UE,</w:t>
      </w:r>
      <w:r>
        <w:rPr>
          <w:color w:val="231F20"/>
          <w:spacing w:val="-8"/>
          <w:sz w:val="19"/>
        </w:rPr>
        <w:t> </w:t>
      </w:r>
      <w:r>
        <w:rPr>
          <w:color w:val="231F20"/>
          <w:sz w:val="19"/>
        </w:rPr>
        <w:t>sent.</w:t>
      </w:r>
      <w:r>
        <w:rPr>
          <w:color w:val="231F20"/>
          <w:spacing w:val="-8"/>
          <w:sz w:val="19"/>
        </w:rPr>
        <w:t> </w:t>
      </w:r>
      <w:r>
        <w:rPr>
          <w:color w:val="231F20"/>
          <w:sz w:val="19"/>
        </w:rPr>
        <w:t>del 25 novembre 2021, C-437/19, cit., punto 60.</w:t>
      </w:r>
    </w:p>
    <w:p>
      <w:pPr>
        <w:spacing w:after="0" w:line="225" w:lineRule="auto"/>
        <w:jc w:val="left"/>
        <w:rPr>
          <w:sz w:val="19"/>
        </w:rPr>
        <w:sectPr>
          <w:pgSz w:w="9640" w:h="13610"/>
          <w:pgMar w:header="0" w:footer="625" w:top="1260" w:bottom="820" w:left="1260" w:right="1240"/>
        </w:sectPr>
      </w:pPr>
    </w:p>
    <w:p>
      <w:pPr>
        <w:pStyle w:val="BodyText"/>
        <w:spacing w:line="225" w:lineRule="auto" w:before="117"/>
        <w:ind w:left="100" w:right="174"/>
        <w:jc w:val="both"/>
      </w:pPr>
      <w:r>
        <w:rPr>
          <w:color w:val="231F20"/>
        </w:rPr>
        <w:t>gine</w:t>
      </w:r>
      <w:r>
        <w:rPr>
          <w:color w:val="231F20"/>
          <w:spacing w:val="-14"/>
        </w:rPr>
        <w:t> </w:t>
      </w:r>
      <w:r>
        <w:rPr>
          <w:color w:val="231F20"/>
        </w:rPr>
        <w:t>da</w:t>
      </w:r>
      <w:r>
        <w:rPr>
          <w:color w:val="231F20"/>
          <w:spacing w:val="-14"/>
        </w:rPr>
        <w:t> </w:t>
      </w:r>
      <w:r>
        <w:rPr>
          <w:color w:val="231F20"/>
        </w:rPr>
        <w:t>una</w:t>
      </w:r>
      <w:r>
        <w:rPr>
          <w:color w:val="231F20"/>
          <w:spacing w:val="-14"/>
        </w:rPr>
        <w:t> </w:t>
      </w:r>
      <w:r>
        <w:rPr>
          <w:color w:val="231F20"/>
        </w:rPr>
        <w:t>richiesta</w:t>
      </w:r>
      <w:r>
        <w:rPr>
          <w:color w:val="231F20"/>
          <w:spacing w:val="-14"/>
        </w:rPr>
        <w:t> </w:t>
      </w:r>
      <w:r>
        <w:rPr>
          <w:color w:val="231F20"/>
        </w:rPr>
        <w:t>di</w:t>
      </w:r>
      <w:r>
        <w:rPr>
          <w:color w:val="231F20"/>
          <w:spacing w:val="-14"/>
        </w:rPr>
        <w:t> </w:t>
      </w:r>
      <w:r>
        <w:rPr>
          <w:color w:val="231F20"/>
        </w:rPr>
        <w:t>informazioni</w:t>
      </w:r>
      <w:r>
        <w:rPr>
          <w:color w:val="231F20"/>
          <w:spacing w:val="-14"/>
        </w:rPr>
        <w:t> </w:t>
      </w:r>
      <w:r>
        <w:rPr>
          <w:color w:val="231F20"/>
        </w:rPr>
        <w:t>trasmessa</w:t>
      </w:r>
      <w:r>
        <w:rPr>
          <w:color w:val="231F20"/>
          <w:spacing w:val="-14"/>
        </w:rPr>
        <w:t> </w:t>
      </w:r>
      <w:r>
        <w:rPr>
          <w:color w:val="231F20"/>
        </w:rPr>
        <w:t>dall’amministrazione</w:t>
      </w:r>
      <w:r>
        <w:rPr>
          <w:color w:val="231F20"/>
          <w:spacing w:val="-14"/>
        </w:rPr>
        <w:t> </w:t>
      </w:r>
      <w:r>
        <w:rPr>
          <w:color w:val="231F20"/>
        </w:rPr>
        <w:t>finan- ziaria</w:t>
      </w:r>
      <w:r>
        <w:rPr>
          <w:color w:val="231F20"/>
          <w:spacing w:val="-10"/>
        </w:rPr>
        <w:t> </w:t>
      </w:r>
      <w:r>
        <w:rPr>
          <w:color w:val="231F20"/>
        </w:rPr>
        <w:t>francese</w:t>
      </w:r>
      <w:r>
        <w:rPr>
          <w:color w:val="231F20"/>
          <w:spacing w:val="-10"/>
        </w:rPr>
        <w:t> </w:t>
      </w:r>
      <w:r>
        <w:rPr>
          <w:color w:val="231F20"/>
        </w:rPr>
        <w:t>all’amministrazione</w:t>
      </w:r>
      <w:r>
        <w:rPr>
          <w:color w:val="231F20"/>
          <w:spacing w:val="-10"/>
        </w:rPr>
        <w:t> </w:t>
      </w:r>
      <w:r>
        <w:rPr>
          <w:color w:val="231F20"/>
        </w:rPr>
        <w:t>finanziaria</w:t>
      </w:r>
      <w:r>
        <w:rPr>
          <w:color w:val="231F20"/>
          <w:spacing w:val="-10"/>
        </w:rPr>
        <w:t> </w:t>
      </w:r>
      <w:r>
        <w:rPr>
          <w:color w:val="231F20"/>
        </w:rPr>
        <w:t>lussemburghese</w:t>
      </w:r>
      <w:r>
        <w:rPr>
          <w:color w:val="231F20"/>
          <w:spacing w:val="-10"/>
        </w:rPr>
        <w:t> </w:t>
      </w:r>
      <w:r>
        <w:rPr>
          <w:color w:val="231F20"/>
        </w:rPr>
        <w:t>ed</w:t>
      </w:r>
      <w:r>
        <w:rPr>
          <w:color w:val="231F20"/>
          <w:spacing w:val="-10"/>
        </w:rPr>
        <w:t> </w:t>
      </w:r>
      <w:r>
        <w:rPr>
          <w:color w:val="231F20"/>
        </w:rPr>
        <w:t>avente</w:t>
      </w:r>
      <w:r>
        <w:rPr>
          <w:color w:val="231F20"/>
          <w:spacing w:val="-10"/>
        </w:rPr>
        <w:t> </w:t>
      </w:r>
      <w:r>
        <w:rPr>
          <w:color w:val="231F20"/>
        </w:rPr>
        <w:t>ad oggetto una società immobiliare «F» avente sede in Francia</w:t>
      </w:r>
      <w:r>
        <w:rPr>
          <w:rFonts w:ascii="Times New Roman" w:hAnsi="Times New Roman"/>
          <w:color w:val="231F20"/>
          <w:position w:val="8"/>
          <w:sz w:val="14"/>
        </w:rPr>
        <w:t>100</w:t>
      </w:r>
      <w:r>
        <w:rPr>
          <w:color w:val="231F20"/>
        </w:rPr>
        <w:t>. In diritto tributario francese le persone fisiche che detengono «direttamente o indi- rettamente»</w:t>
      </w:r>
      <w:r>
        <w:rPr>
          <w:color w:val="231F20"/>
          <w:spacing w:val="40"/>
        </w:rPr>
        <w:t> </w:t>
      </w:r>
      <w:r>
        <w:rPr>
          <w:color w:val="231F20"/>
        </w:rPr>
        <w:t>– quindi anche per mezzo di società immobiliari – immobili in</w:t>
      </w:r>
      <w:r>
        <w:rPr>
          <w:color w:val="231F20"/>
          <w:spacing w:val="-5"/>
        </w:rPr>
        <w:t> </w:t>
      </w:r>
      <w:r>
        <w:rPr>
          <w:color w:val="231F20"/>
        </w:rPr>
        <w:t>Francia</w:t>
      </w:r>
      <w:r>
        <w:rPr>
          <w:color w:val="231F20"/>
          <w:spacing w:val="-5"/>
        </w:rPr>
        <w:t> </w:t>
      </w:r>
      <w:r>
        <w:rPr>
          <w:color w:val="231F20"/>
        </w:rPr>
        <w:t>devono</w:t>
      </w:r>
      <w:r>
        <w:rPr>
          <w:color w:val="231F20"/>
          <w:spacing w:val="-5"/>
        </w:rPr>
        <w:t> </w:t>
      </w:r>
      <w:r>
        <w:rPr>
          <w:color w:val="231F20"/>
        </w:rPr>
        <w:t>esporli</w:t>
      </w:r>
      <w:r>
        <w:rPr>
          <w:color w:val="231F20"/>
          <w:spacing w:val="-5"/>
        </w:rPr>
        <w:t> </w:t>
      </w:r>
      <w:r>
        <w:rPr>
          <w:color w:val="231F20"/>
        </w:rPr>
        <w:t>nella</w:t>
      </w:r>
      <w:r>
        <w:rPr>
          <w:color w:val="231F20"/>
          <w:spacing w:val="-5"/>
        </w:rPr>
        <w:t> </w:t>
      </w:r>
      <w:r>
        <w:rPr>
          <w:color w:val="231F20"/>
        </w:rPr>
        <w:t>dichiarazione</w:t>
      </w:r>
      <w:r>
        <w:rPr>
          <w:color w:val="231F20"/>
          <w:spacing w:val="-5"/>
        </w:rPr>
        <w:t> </w:t>
      </w:r>
      <w:r>
        <w:rPr>
          <w:color w:val="231F20"/>
        </w:rPr>
        <w:t>fiscale</w:t>
      </w:r>
      <w:r>
        <w:rPr>
          <w:color w:val="231F20"/>
          <w:spacing w:val="-5"/>
        </w:rPr>
        <w:t> </w:t>
      </w:r>
      <w:r>
        <w:rPr>
          <w:color w:val="231F20"/>
        </w:rPr>
        <w:t>e</w:t>
      </w:r>
      <w:r>
        <w:rPr>
          <w:color w:val="231F20"/>
          <w:spacing w:val="-5"/>
        </w:rPr>
        <w:t> </w:t>
      </w:r>
      <w:r>
        <w:rPr>
          <w:color w:val="231F20"/>
        </w:rPr>
        <w:t>per</w:t>
      </w:r>
      <w:r>
        <w:rPr>
          <w:color w:val="231F20"/>
          <w:spacing w:val="-5"/>
        </w:rPr>
        <w:t> </w:t>
      </w:r>
      <w:r>
        <w:rPr>
          <w:color w:val="231F20"/>
        </w:rPr>
        <w:t>accertare</w:t>
      </w:r>
      <w:r>
        <w:rPr>
          <w:color w:val="231F20"/>
          <w:spacing w:val="-5"/>
        </w:rPr>
        <w:t> </w:t>
      </w:r>
      <w:r>
        <w:rPr>
          <w:color w:val="231F20"/>
        </w:rPr>
        <w:t>l’esecu- zione</w:t>
      </w:r>
      <w:r>
        <w:rPr>
          <w:color w:val="231F20"/>
          <w:spacing w:val="-2"/>
        </w:rPr>
        <w:t> </w:t>
      </w:r>
      <w:r>
        <w:rPr>
          <w:color w:val="231F20"/>
        </w:rPr>
        <w:t>di</w:t>
      </w:r>
      <w:r>
        <w:rPr>
          <w:color w:val="231F20"/>
          <w:spacing w:val="-2"/>
        </w:rPr>
        <w:t> </w:t>
      </w:r>
      <w:r>
        <w:rPr>
          <w:color w:val="231F20"/>
        </w:rPr>
        <w:t>tale</w:t>
      </w:r>
      <w:r>
        <w:rPr>
          <w:color w:val="231F20"/>
          <w:spacing w:val="-2"/>
        </w:rPr>
        <w:t> </w:t>
      </w:r>
      <w:r>
        <w:rPr>
          <w:color w:val="231F20"/>
        </w:rPr>
        <w:t>obbligo</w:t>
      </w:r>
      <w:r>
        <w:rPr>
          <w:color w:val="231F20"/>
          <w:spacing w:val="-2"/>
        </w:rPr>
        <w:t> </w:t>
      </w:r>
      <w:r>
        <w:rPr>
          <w:color w:val="231F20"/>
        </w:rPr>
        <w:t>l’amministrazione</w:t>
      </w:r>
      <w:r>
        <w:rPr>
          <w:color w:val="231F20"/>
          <w:spacing w:val="-2"/>
        </w:rPr>
        <w:t> </w:t>
      </w:r>
      <w:r>
        <w:rPr>
          <w:color w:val="231F20"/>
        </w:rPr>
        <w:t>finanziaria</w:t>
      </w:r>
      <w:r>
        <w:rPr>
          <w:color w:val="231F20"/>
          <w:spacing w:val="-2"/>
        </w:rPr>
        <w:t> </w:t>
      </w:r>
      <w:r>
        <w:rPr>
          <w:color w:val="231F20"/>
        </w:rPr>
        <w:t>francese</w:t>
      </w:r>
      <w:r>
        <w:rPr>
          <w:color w:val="231F20"/>
          <w:spacing w:val="-2"/>
        </w:rPr>
        <w:t> </w:t>
      </w:r>
      <w:r>
        <w:rPr>
          <w:color w:val="231F20"/>
        </w:rPr>
        <w:t>aveva</w:t>
      </w:r>
      <w:r>
        <w:rPr>
          <w:color w:val="231F20"/>
          <w:spacing w:val="-2"/>
        </w:rPr>
        <w:t> </w:t>
      </w:r>
      <w:r>
        <w:rPr>
          <w:color w:val="231F20"/>
        </w:rPr>
        <w:t>chiesto</w:t>
      </w:r>
      <w:r>
        <w:rPr>
          <w:color w:val="231F20"/>
          <w:spacing w:val="-2"/>
        </w:rPr>
        <w:t> </w:t>
      </w:r>
      <w:r>
        <w:rPr>
          <w:color w:val="231F20"/>
        </w:rPr>
        <w:t>a quella lussemburghese di conoscere i nomi degli azionisti e dei beneficiari effettivi della società «L», avente sede nel Granducato, che era la società controllante</w:t>
      </w:r>
      <w:r>
        <w:rPr>
          <w:color w:val="231F20"/>
          <w:spacing w:val="-15"/>
        </w:rPr>
        <w:t> </w:t>
      </w:r>
      <w:r>
        <w:rPr>
          <w:color w:val="231F20"/>
        </w:rPr>
        <w:t>della</w:t>
      </w:r>
      <w:r>
        <w:rPr>
          <w:color w:val="231F20"/>
          <w:spacing w:val="-15"/>
        </w:rPr>
        <w:t> </w:t>
      </w:r>
      <w:r>
        <w:rPr>
          <w:color w:val="231F20"/>
        </w:rPr>
        <w:t>società</w:t>
      </w:r>
      <w:r>
        <w:rPr>
          <w:color w:val="231F20"/>
          <w:spacing w:val="-15"/>
        </w:rPr>
        <w:t> </w:t>
      </w:r>
      <w:r>
        <w:rPr>
          <w:color w:val="231F20"/>
        </w:rPr>
        <w:t>francese</w:t>
      </w:r>
      <w:r>
        <w:rPr>
          <w:color w:val="231F20"/>
          <w:spacing w:val="-15"/>
        </w:rPr>
        <w:t> </w:t>
      </w:r>
      <w:r>
        <w:rPr>
          <w:color w:val="231F20"/>
        </w:rPr>
        <w:t>«F».</w:t>
      </w:r>
      <w:r>
        <w:rPr>
          <w:color w:val="231F20"/>
          <w:spacing w:val="-15"/>
        </w:rPr>
        <w:t> </w:t>
      </w:r>
      <w:r>
        <w:rPr>
          <w:color w:val="231F20"/>
        </w:rPr>
        <w:t>Dato</w:t>
      </w:r>
      <w:r>
        <w:rPr>
          <w:color w:val="231F20"/>
          <w:spacing w:val="-15"/>
        </w:rPr>
        <w:t> </w:t>
      </w:r>
      <w:r>
        <w:rPr>
          <w:color w:val="231F20"/>
        </w:rPr>
        <w:t>che</w:t>
      </w:r>
      <w:r>
        <w:rPr>
          <w:color w:val="231F20"/>
          <w:spacing w:val="-15"/>
        </w:rPr>
        <w:t> </w:t>
      </w:r>
      <w:r>
        <w:rPr>
          <w:color w:val="231F20"/>
        </w:rPr>
        <w:t>la</w:t>
      </w:r>
      <w:r>
        <w:rPr>
          <w:color w:val="231F20"/>
          <w:spacing w:val="-15"/>
        </w:rPr>
        <w:t> </w:t>
      </w:r>
      <w:r>
        <w:rPr>
          <w:color w:val="231F20"/>
        </w:rPr>
        <w:t>società</w:t>
      </w:r>
      <w:r>
        <w:rPr>
          <w:color w:val="231F20"/>
          <w:spacing w:val="-15"/>
        </w:rPr>
        <w:t> </w:t>
      </w:r>
      <w:r>
        <w:rPr>
          <w:color w:val="231F20"/>
        </w:rPr>
        <w:t>«L»</w:t>
      </w:r>
      <w:r>
        <w:rPr>
          <w:color w:val="231F20"/>
          <w:spacing w:val="-15"/>
        </w:rPr>
        <w:t> </w:t>
      </w:r>
      <w:r>
        <w:rPr>
          <w:color w:val="231F20"/>
        </w:rPr>
        <w:t>non</w:t>
      </w:r>
      <w:r>
        <w:rPr>
          <w:color w:val="231F20"/>
          <w:spacing w:val="-15"/>
        </w:rPr>
        <w:t> </w:t>
      </w:r>
      <w:r>
        <w:rPr>
          <w:color w:val="231F20"/>
        </w:rPr>
        <w:t>aveva</w:t>
      </w:r>
      <w:r>
        <w:rPr>
          <w:color w:val="231F20"/>
          <w:spacing w:val="-15"/>
        </w:rPr>
        <w:t> </w:t>
      </w:r>
      <w:r>
        <w:rPr>
          <w:color w:val="231F20"/>
        </w:rPr>
        <w:t>ot- temperato</w:t>
      </w:r>
      <w:r>
        <w:rPr>
          <w:color w:val="231F20"/>
          <w:spacing w:val="-15"/>
        </w:rPr>
        <w:t> </w:t>
      </w:r>
      <w:r>
        <w:rPr>
          <w:color w:val="231F20"/>
        </w:rPr>
        <w:t>all’ingiunzione</w:t>
      </w:r>
      <w:r>
        <w:rPr>
          <w:color w:val="231F20"/>
          <w:spacing w:val="-15"/>
        </w:rPr>
        <w:t> </w:t>
      </w:r>
      <w:r>
        <w:rPr>
          <w:color w:val="231F20"/>
        </w:rPr>
        <w:t>dell’amministrazione</w:t>
      </w:r>
      <w:r>
        <w:rPr>
          <w:color w:val="231F20"/>
          <w:spacing w:val="-15"/>
        </w:rPr>
        <w:t> </w:t>
      </w:r>
      <w:r>
        <w:rPr>
          <w:color w:val="231F20"/>
        </w:rPr>
        <w:t>finanziaria</w:t>
      </w:r>
      <w:r>
        <w:rPr>
          <w:color w:val="231F20"/>
          <w:spacing w:val="-15"/>
        </w:rPr>
        <w:t> </w:t>
      </w:r>
      <w:r>
        <w:rPr>
          <w:color w:val="231F20"/>
        </w:rPr>
        <w:t>lussemburghese di</w:t>
      </w:r>
      <w:r>
        <w:rPr>
          <w:color w:val="231F20"/>
          <w:spacing w:val="-5"/>
        </w:rPr>
        <w:t> </w:t>
      </w:r>
      <w:r>
        <w:rPr>
          <w:color w:val="231F20"/>
        </w:rPr>
        <w:t>fornire</w:t>
      </w:r>
      <w:r>
        <w:rPr>
          <w:color w:val="231F20"/>
          <w:spacing w:val="-5"/>
        </w:rPr>
        <w:t> </w:t>
      </w:r>
      <w:r>
        <w:rPr>
          <w:color w:val="231F20"/>
        </w:rPr>
        <w:t>le</w:t>
      </w:r>
      <w:r>
        <w:rPr>
          <w:color w:val="231F20"/>
          <w:spacing w:val="-5"/>
        </w:rPr>
        <w:t> </w:t>
      </w:r>
      <w:r>
        <w:rPr>
          <w:color w:val="231F20"/>
        </w:rPr>
        <w:t>informazioni</w:t>
      </w:r>
      <w:r>
        <w:rPr>
          <w:color w:val="231F20"/>
          <w:spacing w:val="-5"/>
        </w:rPr>
        <w:t> </w:t>
      </w:r>
      <w:r>
        <w:rPr>
          <w:color w:val="231F20"/>
        </w:rPr>
        <w:t>richieste,</w:t>
      </w:r>
      <w:r>
        <w:rPr>
          <w:color w:val="231F20"/>
          <w:spacing w:val="-5"/>
        </w:rPr>
        <w:t> </w:t>
      </w:r>
      <w:r>
        <w:rPr>
          <w:color w:val="231F20"/>
        </w:rPr>
        <w:t>quest’ultima</w:t>
      </w:r>
      <w:r>
        <w:rPr>
          <w:color w:val="231F20"/>
          <w:spacing w:val="-5"/>
        </w:rPr>
        <w:t> </w:t>
      </w:r>
      <w:r>
        <w:rPr>
          <w:color w:val="231F20"/>
        </w:rPr>
        <w:t>ha</w:t>
      </w:r>
      <w:r>
        <w:rPr>
          <w:color w:val="231F20"/>
          <w:spacing w:val="-5"/>
        </w:rPr>
        <w:t> </w:t>
      </w:r>
      <w:r>
        <w:rPr>
          <w:color w:val="231F20"/>
        </w:rPr>
        <w:t>irrogato</w:t>
      </w:r>
      <w:r>
        <w:rPr>
          <w:color w:val="231F20"/>
          <w:spacing w:val="-5"/>
        </w:rPr>
        <w:t> </w:t>
      </w:r>
      <w:r>
        <w:rPr>
          <w:color w:val="231F20"/>
        </w:rPr>
        <w:t>alla</w:t>
      </w:r>
      <w:r>
        <w:rPr>
          <w:color w:val="231F20"/>
          <w:spacing w:val="-5"/>
        </w:rPr>
        <w:t> </w:t>
      </w:r>
      <w:r>
        <w:rPr>
          <w:color w:val="231F20"/>
        </w:rPr>
        <w:t>medesima società</w:t>
      </w:r>
      <w:r>
        <w:rPr>
          <w:color w:val="231F20"/>
          <w:spacing w:val="-10"/>
        </w:rPr>
        <w:t> </w:t>
      </w:r>
      <w:r>
        <w:rPr>
          <w:color w:val="231F20"/>
        </w:rPr>
        <w:t>una</w:t>
      </w:r>
      <w:r>
        <w:rPr>
          <w:color w:val="231F20"/>
          <w:spacing w:val="-10"/>
        </w:rPr>
        <w:t> </w:t>
      </w:r>
      <w:r>
        <w:rPr>
          <w:color w:val="231F20"/>
        </w:rPr>
        <w:t>sanzione</w:t>
      </w:r>
      <w:r>
        <w:rPr>
          <w:color w:val="231F20"/>
          <w:spacing w:val="-10"/>
        </w:rPr>
        <w:t> </w:t>
      </w:r>
      <w:r>
        <w:rPr>
          <w:color w:val="231F20"/>
        </w:rPr>
        <w:t>amministrativa,</w:t>
      </w:r>
      <w:r>
        <w:rPr>
          <w:color w:val="231F20"/>
          <w:spacing w:val="-10"/>
        </w:rPr>
        <w:t> </w:t>
      </w:r>
      <w:r>
        <w:rPr>
          <w:color w:val="231F20"/>
        </w:rPr>
        <w:t>così</w:t>
      </w:r>
      <w:r>
        <w:rPr>
          <w:color w:val="231F20"/>
          <w:spacing w:val="-10"/>
        </w:rPr>
        <w:t> </w:t>
      </w:r>
      <w:r>
        <w:rPr>
          <w:color w:val="231F20"/>
        </w:rPr>
        <w:t>come</w:t>
      </w:r>
      <w:r>
        <w:rPr>
          <w:color w:val="231F20"/>
          <w:spacing w:val="-10"/>
        </w:rPr>
        <w:t> </w:t>
      </w:r>
      <w:r>
        <w:rPr>
          <w:color w:val="231F20"/>
        </w:rPr>
        <w:t>previsto</w:t>
      </w:r>
      <w:r>
        <w:rPr>
          <w:color w:val="231F20"/>
          <w:spacing w:val="-10"/>
        </w:rPr>
        <w:t> </w:t>
      </w:r>
      <w:r>
        <w:rPr>
          <w:color w:val="231F20"/>
        </w:rPr>
        <w:t>dalla</w:t>
      </w:r>
      <w:r>
        <w:rPr>
          <w:color w:val="231F20"/>
          <w:spacing w:val="-10"/>
        </w:rPr>
        <w:t> </w:t>
      </w:r>
      <w:r>
        <w:rPr>
          <w:color w:val="231F20"/>
        </w:rPr>
        <w:t>legge</w:t>
      </w:r>
      <w:r>
        <w:rPr>
          <w:color w:val="231F20"/>
          <w:spacing w:val="-10"/>
        </w:rPr>
        <w:t> </w:t>
      </w:r>
      <w:r>
        <w:rPr>
          <w:color w:val="231F20"/>
        </w:rPr>
        <w:t>lussem- burghese del 2014 sulla procedura di scambio di informazioni in materia fiscale. Il provvedimento sanzionatorio era stato prontamente contestato dalla</w:t>
      </w:r>
      <w:r>
        <w:rPr>
          <w:color w:val="231F20"/>
          <w:spacing w:val="-11"/>
        </w:rPr>
        <w:t> </w:t>
      </w:r>
      <w:r>
        <w:rPr>
          <w:color w:val="231F20"/>
        </w:rPr>
        <w:t>società</w:t>
      </w:r>
      <w:r>
        <w:rPr>
          <w:color w:val="231F20"/>
          <w:spacing w:val="-11"/>
        </w:rPr>
        <w:t> </w:t>
      </w:r>
      <w:r>
        <w:rPr>
          <w:color w:val="231F20"/>
        </w:rPr>
        <w:t>«L»</w:t>
      </w:r>
      <w:r>
        <w:rPr>
          <w:color w:val="231F20"/>
          <w:spacing w:val="-11"/>
        </w:rPr>
        <w:t> </w:t>
      </w:r>
      <w:r>
        <w:rPr>
          <w:color w:val="231F20"/>
        </w:rPr>
        <w:t>dinanzi</w:t>
      </w:r>
      <w:r>
        <w:rPr>
          <w:color w:val="231F20"/>
          <w:spacing w:val="-11"/>
        </w:rPr>
        <w:t> </w:t>
      </w:r>
      <w:r>
        <w:rPr>
          <w:color w:val="231F20"/>
        </w:rPr>
        <w:t>alle</w:t>
      </w:r>
      <w:r>
        <w:rPr>
          <w:color w:val="231F20"/>
          <w:spacing w:val="-11"/>
        </w:rPr>
        <w:t> </w:t>
      </w:r>
      <w:r>
        <w:rPr>
          <w:color w:val="231F20"/>
        </w:rPr>
        <w:t>giurisdizioni</w:t>
      </w:r>
      <w:r>
        <w:rPr>
          <w:color w:val="231F20"/>
          <w:spacing w:val="-11"/>
        </w:rPr>
        <w:t> </w:t>
      </w:r>
      <w:r>
        <w:rPr>
          <w:color w:val="231F20"/>
        </w:rPr>
        <w:t>amministrative</w:t>
      </w:r>
      <w:r>
        <w:rPr>
          <w:color w:val="231F20"/>
          <w:spacing w:val="-11"/>
        </w:rPr>
        <w:t> </w:t>
      </w:r>
      <w:r>
        <w:rPr>
          <w:color w:val="231F20"/>
        </w:rPr>
        <w:t>del</w:t>
      </w:r>
      <w:r>
        <w:rPr>
          <w:color w:val="231F20"/>
          <w:spacing w:val="-11"/>
        </w:rPr>
        <w:t> </w:t>
      </w:r>
      <w:r>
        <w:rPr>
          <w:color w:val="231F20"/>
        </w:rPr>
        <w:t>Granducato</w:t>
      </w:r>
      <w:r>
        <w:rPr>
          <w:color w:val="231F20"/>
          <w:spacing w:val="-11"/>
        </w:rPr>
        <w:t> </w:t>
      </w:r>
      <w:r>
        <w:rPr>
          <w:color w:val="231F20"/>
        </w:rPr>
        <w:t>a motivo</w:t>
      </w:r>
      <w:r>
        <w:rPr>
          <w:color w:val="231F20"/>
          <w:spacing w:val="-14"/>
        </w:rPr>
        <w:t> </w:t>
      </w:r>
      <w:r>
        <w:rPr>
          <w:color w:val="231F20"/>
        </w:rPr>
        <w:t>dell’incertezza</w:t>
      </w:r>
      <w:r>
        <w:rPr>
          <w:color w:val="231F20"/>
          <w:spacing w:val="-14"/>
        </w:rPr>
        <w:t> </w:t>
      </w:r>
      <w:r>
        <w:rPr>
          <w:color w:val="231F20"/>
        </w:rPr>
        <w:t>che</w:t>
      </w:r>
      <w:r>
        <w:rPr>
          <w:color w:val="231F20"/>
          <w:spacing w:val="-14"/>
        </w:rPr>
        <w:t> </w:t>
      </w:r>
      <w:r>
        <w:rPr>
          <w:color w:val="231F20"/>
        </w:rPr>
        <w:t>secondo</w:t>
      </w:r>
      <w:r>
        <w:rPr>
          <w:color w:val="231F20"/>
          <w:spacing w:val="-14"/>
        </w:rPr>
        <w:t> </w:t>
      </w:r>
      <w:r>
        <w:rPr>
          <w:color w:val="231F20"/>
        </w:rPr>
        <w:t>la</w:t>
      </w:r>
      <w:r>
        <w:rPr>
          <w:color w:val="231F20"/>
          <w:spacing w:val="-14"/>
        </w:rPr>
        <w:t> </w:t>
      </w:r>
      <w:r>
        <w:rPr>
          <w:color w:val="231F20"/>
        </w:rPr>
        <w:t>società</w:t>
      </w:r>
      <w:r>
        <w:rPr>
          <w:color w:val="231F20"/>
          <w:spacing w:val="-14"/>
        </w:rPr>
        <w:t> </w:t>
      </w:r>
      <w:r>
        <w:rPr>
          <w:color w:val="231F20"/>
        </w:rPr>
        <w:t>ricorrente</w:t>
      </w:r>
      <w:r>
        <w:rPr>
          <w:color w:val="231F20"/>
          <w:spacing w:val="-14"/>
        </w:rPr>
        <w:t> </w:t>
      </w:r>
      <w:r>
        <w:rPr>
          <w:color w:val="231F20"/>
        </w:rPr>
        <w:t>esisteva</w:t>
      </w:r>
      <w:r>
        <w:rPr>
          <w:color w:val="231F20"/>
          <w:spacing w:val="-14"/>
        </w:rPr>
        <w:t> </w:t>
      </w:r>
      <w:r>
        <w:rPr>
          <w:color w:val="231F20"/>
        </w:rPr>
        <w:t>circa</w:t>
      </w:r>
      <w:r>
        <w:rPr>
          <w:color w:val="231F20"/>
          <w:spacing w:val="-14"/>
        </w:rPr>
        <w:t> </w:t>
      </w:r>
      <w:r>
        <w:rPr>
          <w:color w:val="231F20"/>
        </w:rPr>
        <w:t>l’iden- tità del contribuente oggetto dell’accertamento tributario e della correlata richiesta di informazioni dell’amministrazione finanziaria francese.</w:t>
      </w:r>
    </w:p>
    <w:p>
      <w:pPr>
        <w:pStyle w:val="BodyText"/>
        <w:spacing w:before="55"/>
      </w:pPr>
    </w:p>
    <w:p>
      <w:pPr>
        <w:pStyle w:val="ListParagraph"/>
        <w:numPr>
          <w:ilvl w:val="2"/>
          <w:numId w:val="4"/>
        </w:numPr>
        <w:tabs>
          <w:tab w:pos="700" w:val="left" w:leader="none"/>
        </w:tabs>
        <w:spacing w:line="230" w:lineRule="auto" w:before="0" w:after="0"/>
        <w:ind w:left="100" w:right="498" w:firstLine="0"/>
        <w:jc w:val="left"/>
        <w:rPr>
          <w:i/>
          <w:sz w:val="24"/>
        </w:rPr>
      </w:pPr>
      <w:r>
        <w:rPr>
          <w:i/>
          <w:color w:val="231F20"/>
          <w:sz w:val="24"/>
        </w:rPr>
        <w:t>Persone</w:t>
      </w:r>
      <w:r>
        <w:rPr>
          <w:i/>
          <w:color w:val="231F20"/>
          <w:spacing w:val="-11"/>
          <w:sz w:val="24"/>
        </w:rPr>
        <w:t> </w:t>
      </w:r>
      <w:r>
        <w:rPr>
          <w:i/>
          <w:color w:val="231F20"/>
          <w:sz w:val="24"/>
        </w:rPr>
        <w:t>oggetto</w:t>
      </w:r>
      <w:r>
        <w:rPr>
          <w:i/>
          <w:color w:val="231F20"/>
          <w:spacing w:val="-11"/>
          <w:sz w:val="24"/>
        </w:rPr>
        <w:t> </w:t>
      </w:r>
      <w:r>
        <w:rPr>
          <w:i/>
          <w:color w:val="231F20"/>
          <w:sz w:val="24"/>
        </w:rPr>
        <w:t>di</w:t>
      </w:r>
      <w:r>
        <w:rPr>
          <w:i/>
          <w:color w:val="231F20"/>
          <w:spacing w:val="-11"/>
          <w:sz w:val="24"/>
        </w:rPr>
        <w:t> </w:t>
      </w:r>
      <w:r>
        <w:rPr>
          <w:i/>
          <w:color w:val="231F20"/>
          <w:sz w:val="24"/>
        </w:rPr>
        <w:t>verifica</w:t>
      </w:r>
      <w:r>
        <w:rPr>
          <w:i/>
          <w:color w:val="231F20"/>
          <w:spacing w:val="-11"/>
          <w:sz w:val="24"/>
        </w:rPr>
        <w:t> </w:t>
      </w:r>
      <w:r>
        <w:rPr>
          <w:i/>
          <w:color w:val="231F20"/>
          <w:sz w:val="24"/>
        </w:rPr>
        <w:t>fiscale</w:t>
      </w:r>
      <w:r>
        <w:rPr>
          <w:i/>
          <w:color w:val="231F20"/>
          <w:spacing w:val="-11"/>
          <w:sz w:val="24"/>
        </w:rPr>
        <w:t> </w:t>
      </w:r>
      <w:r>
        <w:rPr>
          <w:i/>
          <w:color w:val="231F20"/>
          <w:sz w:val="24"/>
        </w:rPr>
        <w:t>identificate</w:t>
      </w:r>
      <w:r>
        <w:rPr>
          <w:i/>
          <w:color w:val="231F20"/>
          <w:spacing w:val="-11"/>
          <w:sz w:val="24"/>
        </w:rPr>
        <w:t> </w:t>
      </w:r>
      <w:r>
        <w:rPr>
          <w:i/>
          <w:color w:val="231F20"/>
          <w:sz w:val="24"/>
        </w:rPr>
        <w:t>non</w:t>
      </w:r>
      <w:r>
        <w:rPr>
          <w:i/>
          <w:color w:val="231F20"/>
          <w:spacing w:val="-11"/>
          <w:sz w:val="24"/>
        </w:rPr>
        <w:t> </w:t>
      </w:r>
      <w:r>
        <w:rPr>
          <w:i/>
          <w:color w:val="231F20"/>
          <w:sz w:val="24"/>
        </w:rPr>
        <w:t>nominativamente,</w:t>
      </w:r>
      <w:r>
        <w:rPr>
          <w:i/>
          <w:color w:val="231F20"/>
          <w:sz w:val="24"/>
        </w:rPr>
        <w:t> ma come «gruppo circoscritto di persone» con caratteristiche comuni</w:t>
      </w:r>
    </w:p>
    <w:p>
      <w:pPr>
        <w:pStyle w:val="BodyText"/>
        <w:spacing w:line="225" w:lineRule="auto" w:before="172"/>
        <w:ind w:left="100" w:right="174"/>
        <w:jc w:val="both"/>
      </w:pPr>
      <w:r>
        <w:rPr>
          <w:color w:val="231F20"/>
        </w:rPr>
        <w:t>Con la sua prima questione pregiudiziale la giurisdizione di rinvio </w:t>
      </w:r>
      <w:r>
        <w:rPr>
          <w:color w:val="231F20"/>
        </w:rPr>
        <w:t>ha chiesto alla Corte di giustizia di interpretare gli artt. 1, 5 e 20 della di- rettiva 2011/16/UE al fine di stabilire se era conforme a tali disposizioni una richiesta di informazioni nella quale l’autorità richiedente non aveva identificato</w:t>
      </w:r>
      <w:r>
        <w:rPr>
          <w:color w:val="231F20"/>
          <w:spacing w:val="-9"/>
        </w:rPr>
        <w:t> </w:t>
      </w:r>
      <w:r>
        <w:rPr>
          <w:color w:val="231F20"/>
        </w:rPr>
        <w:t>«nominativamente</w:t>
      </w:r>
      <w:r>
        <w:rPr>
          <w:color w:val="231F20"/>
          <w:spacing w:val="-9"/>
        </w:rPr>
        <w:t> </w:t>
      </w:r>
      <w:r>
        <w:rPr>
          <w:color w:val="231F20"/>
        </w:rPr>
        <w:t>e</w:t>
      </w:r>
      <w:r>
        <w:rPr>
          <w:color w:val="231F20"/>
          <w:spacing w:val="-9"/>
        </w:rPr>
        <w:t> </w:t>
      </w:r>
      <w:r>
        <w:rPr>
          <w:color w:val="231F20"/>
        </w:rPr>
        <w:t>individualmente»</w:t>
      </w:r>
      <w:r>
        <w:rPr>
          <w:color w:val="231F20"/>
          <w:spacing w:val="-9"/>
        </w:rPr>
        <w:t> </w:t>
      </w:r>
      <w:r>
        <w:rPr>
          <w:color w:val="231F20"/>
        </w:rPr>
        <w:t>le</w:t>
      </w:r>
      <w:r>
        <w:rPr>
          <w:color w:val="231F20"/>
          <w:spacing w:val="-9"/>
        </w:rPr>
        <w:t> </w:t>
      </w:r>
      <w:r>
        <w:rPr>
          <w:color w:val="231F20"/>
        </w:rPr>
        <w:t>persone</w:t>
      </w:r>
      <w:r>
        <w:rPr>
          <w:color w:val="231F20"/>
          <w:spacing w:val="-9"/>
        </w:rPr>
        <w:t> </w:t>
      </w:r>
      <w:r>
        <w:rPr>
          <w:color w:val="231F20"/>
        </w:rPr>
        <w:t>oggetto</w:t>
      </w:r>
      <w:r>
        <w:rPr>
          <w:color w:val="231F20"/>
          <w:spacing w:val="-9"/>
        </w:rPr>
        <w:t> </w:t>
      </w:r>
      <w:r>
        <w:rPr>
          <w:color w:val="231F20"/>
        </w:rPr>
        <w:t>della verifica fiscale, ma aveva designato «un gruppo circoscritto di persone» - nella fattispecie: gli azionisti della società «L»</w:t>
      </w:r>
      <w:r>
        <w:rPr>
          <w:color w:val="231F20"/>
          <w:spacing w:val="40"/>
        </w:rPr>
        <w:t> </w:t>
      </w:r>
      <w:r>
        <w:rPr>
          <w:color w:val="231F20"/>
        </w:rPr>
        <w:t>- nei confronti delle quali detta autorità intendeva avviare «un’indagine mirata». La risposta a tale quesito</w:t>
      </w:r>
      <w:r>
        <w:rPr>
          <w:color w:val="231F20"/>
          <w:spacing w:val="8"/>
        </w:rPr>
        <w:t> </w:t>
      </w:r>
      <w:r>
        <w:rPr>
          <w:color w:val="231F20"/>
        </w:rPr>
        <w:t>condizionava</w:t>
      </w:r>
      <w:r>
        <w:rPr>
          <w:color w:val="231F20"/>
          <w:spacing w:val="8"/>
        </w:rPr>
        <w:t> </w:t>
      </w:r>
      <w:r>
        <w:rPr>
          <w:color w:val="231F20"/>
        </w:rPr>
        <w:t>infatti</w:t>
      </w:r>
      <w:r>
        <w:rPr>
          <w:color w:val="231F20"/>
          <w:spacing w:val="8"/>
        </w:rPr>
        <w:t> </w:t>
      </w:r>
      <w:r>
        <w:rPr>
          <w:color w:val="231F20"/>
        </w:rPr>
        <w:t>la</w:t>
      </w:r>
      <w:r>
        <w:rPr>
          <w:color w:val="231F20"/>
          <w:spacing w:val="8"/>
        </w:rPr>
        <w:t> </w:t>
      </w:r>
      <w:r>
        <w:rPr>
          <w:color w:val="231F20"/>
        </w:rPr>
        <w:t>«prevedibile</w:t>
      </w:r>
      <w:r>
        <w:rPr>
          <w:color w:val="231F20"/>
          <w:spacing w:val="8"/>
        </w:rPr>
        <w:t> </w:t>
      </w:r>
      <w:r>
        <w:rPr>
          <w:color w:val="231F20"/>
        </w:rPr>
        <w:t>pertinenza»,</w:t>
      </w:r>
      <w:r>
        <w:rPr>
          <w:color w:val="231F20"/>
          <w:spacing w:val="8"/>
        </w:rPr>
        <w:t> </w:t>
      </w:r>
      <w:r>
        <w:rPr>
          <w:color w:val="231F20"/>
        </w:rPr>
        <w:t>ai</w:t>
      </w:r>
      <w:r>
        <w:rPr>
          <w:color w:val="231F20"/>
          <w:spacing w:val="8"/>
        </w:rPr>
        <w:t> </w:t>
      </w:r>
      <w:r>
        <w:rPr>
          <w:color w:val="231F20"/>
        </w:rPr>
        <w:t>sensi</w:t>
      </w:r>
      <w:r>
        <w:rPr>
          <w:color w:val="231F20"/>
          <w:spacing w:val="8"/>
        </w:rPr>
        <w:t> </w:t>
      </w:r>
      <w:r>
        <w:rPr>
          <w:color w:val="231F20"/>
        </w:rPr>
        <w:t>dell’art.</w:t>
      </w:r>
      <w:r>
        <w:rPr>
          <w:color w:val="231F20"/>
          <w:spacing w:val="9"/>
        </w:rPr>
        <w:t> </w:t>
      </w:r>
      <w:r>
        <w:rPr>
          <w:color w:val="231F20"/>
          <w:spacing w:val="-10"/>
        </w:rPr>
        <w:t>1</w:t>
      </w:r>
    </w:p>
    <w:p>
      <w:pPr>
        <w:pStyle w:val="BodyText"/>
        <w:spacing w:before="48"/>
        <w:rPr>
          <w:sz w:val="20"/>
        </w:rPr>
      </w:pPr>
      <w:r>
        <w:rPr/>
        <mc:AlternateContent>
          <mc:Choice Requires="wps">
            <w:drawing>
              <wp:anchor distT="0" distB="0" distL="0" distR="0" allowOverlap="1" layoutInCell="1" locked="0" behindDoc="1" simplePos="0" relativeHeight="487630336">
                <wp:simplePos x="0" y="0"/>
                <wp:positionH relativeFrom="page">
                  <wp:posOffset>864000</wp:posOffset>
                </wp:positionH>
                <wp:positionV relativeFrom="paragraph">
                  <wp:posOffset>207316</wp:posOffset>
                </wp:positionV>
                <wp:extent cx="792480" cy="1270"/>
                <wp:effectExtent l="0" t="0" r="0" b="0"/>
                <wp:wrapTopAndBottom/>
                <wp:docPr id="140" name="Graphic 140"/>
                <wp:cNvGraphicFramePr>
                  <a:graphicFrameLocks/>
                </wp:cNvGraphicFramePr>
                <a:graphic>
                  <a:graphicData uri="http://schemas.microsoft.com/office/word/2010/wordprocessingShape">
                    <wps:wsp>
                      <wps:cNvPr id="140" name="Graphic 140"/>
                      <wps:cNvSpPr/>
                      <wps:spPr>
                        <a:xfrm>
                          <a:off x="0" y="0"/>
                          <a:ext cx="792480" cy="1270"/>
                        </a:xfrm>
                        <a:custGeom>
                          <a:avLst/>
                          <a:gdLst/>
                          <a:ahLst/>
                          <a:cxnLst/>
                          <a:rect l="l" t="t" r="r" b="b"/>
                          <a:pathLst>
                            <a:path w="792480" h="0">
                              <a:moveTo>
                                <a:pt x="0" y="0"/>
                              </a:moveTo>
                              <a:lnTo>
                                <a:pt x="791997"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shape style="position:absolute;margin-left:68.031502pt;margin-top:16.32416pt;width:62.4pt;height:.1pt;mso-position-horizontal-relative:page;mso-position-vertical-relative:paragraph;z-index:-15686144;mso-wrap-distance-left:0;mso-wrap-distance-right:0" id="docshape116" coordorigin="1361,326" coordsize="1248,0" path="m1361,326l2608,326e" filled="false" stroked="true" strokeweight=".5pt" strokecolor="#231f20">
                <v:path arrowok="t"/>
                <v:stroke dashstyle="solid"/>
                <w10:wrap type="topAndBottom"/>
              </v:shape>
            </w:pict>
          </mc:Fallback>
        </mc:AlternateContent>
      </w:r>
    </w:p>
    <w:p>
      <w:pPr>
        <w:spacing w:line="235" w:lineRule="exact" w:before="190"/>
        <w:ind w:left="100" w:right="0" w:firstLine="0"/>
        <w:jc w:val="both"/>
        <w:rPr>
          <w:sz w:val="19"/>
        </w:rPr>
      </w:pPr>
      <w:r>
        <w:rPr>
          <w:color w:val="231F20"/>
          <w:position w:val="6"/>
          <w:sz w:val="11"/>
        </w:rPr>
        <w:t>100</w:t>
      </w:r>
      <w:r>
        <w:rPr>
          <w:color w:val="231F20"/>
          <w:spacing w:val="73"/>
          <w:position w:val="6"/>
          <w:sz w:val="11"/>
        </w:rPr>
        <w:t> </w:t>
      </w:r>
      <w:r>
        <w:rPr>
          <w:color w:val="231F20"/>
          <w:sz w:val="19"/>
        </w:rPr>
        <w:t>Corte</w:t>
      </w:r>
      <w:r>
        <w:rPr>
          <w:color w:val="231F20"/>
          <w:spacing w:val="-3"/>
          <w:sz w:val="19"/>
        </w:rPr>
        <w:t> </w:t>
      </w:r>
      <w:r>
        <w:rPr>
          <w:color w:val="231F20"/>
          <w:sz w:val="19"/>
        </w:rPr>
        <w:t>giust.</w:t>
      </w:r>
      <w:r>
        <w:rPr>
          <w:color w:val="231F20"/>
          <w:spacing w:val="-2"/>
          <w:sz w:val="19"/>
        </w:rPr>
        <w:t> </w:t>
      </w:r>
      <w:r>
        <w:rPr>
          <w:color w:val="231F20"/>
          <w:sz w:val="19"/>
        </w:rPr>
        <w:t>UE,</w:t>
      </w:r>
      <w:r>
        <w:rPr>
          <w:color w:val="231F20"/>
          <w:spacing w:val="-3"/>
          <w:sz w:val="19"/>
        </w:rPr>
        <w:t> </w:t>
      </w:r>
      <w:r>
        <w:rPr>
          <w:color w:val="231F20"/>
          <w:sz w:val="19"/>
        </w:rPr>
        <w:t>sent.</w:t>
      </w:r>
      <w:r>
        <w:rPr>
          <w:color w:val="231F20"/>
          <w:spacing w:val="-3"/>
          <w:sz w:val="19"/>
        </w:rPr>
        <w:t> </w:t>
      </w:r>
      <w:r>
        <w:rPr>
          <w:color w:val="231F20"/>
          <w:sz w:val="19"/>
        </w:rPr>
        <w:t>del</w:t>
      </w:r>
      <w:r>
        <w:rPr>
          <w:color w:val="231F20"/>
          <w:spacing w:val="-3"/>
          <w:sz w:val="19"/>
        </w:rPr>
        <w:t> </w:t>
      </w:r>
      <w:r>
        <w:rPr>
          <w:color w:val="231F20"/>
          <w:sz w:val="19"/>
        </w:rPr>
        <w:t>25</w:t>
      </w:r>
      <w:r>
        <w:rPr>
          <w:color w:val="231F20"/>
          <w:spacing w:val="-3"/>
          <w:sz w:val="19"/>
        </w:rPr>
        <w:t> </w:t>
      </w:r>
      <w:r>
        <w:rPr>
          <w:color w:val="231F20"/>
          <w:sz w:val="19"/>
        </w:rPr>
        <w:t>novembre</w:t>
      </w:r>
      <w:r>
        <w:rPr>
          <w:color w:val="231F20"/>
          <w:spacing w:val="-3"/>
          <w:sz w:val="19"/>
        </w:rPr>
        <w:t> </w:t>
      </w:r>
      <w:r>
        <w:rPr>
          <w:color w:val="231F20"/>
          <w:sz w:val="19"/>
        </w:rPr>
        <w:t>2021,</w:t>
      </w:r>
      <w:r>
        <w:rPr>
          <w:color w:val="231F20"/>
          <w:spacing w:val="-3"/>
          <w:sz w:val="19"/>
        </w:rPr>
        <w:t> </w:t>
      </w:r>
      <w:r>
        <w:rPr>
          <w:color w:val="231F20"/>
          <w:sz w:val="19"/>
        </w:rPr>
        <w:t>causa</w:t>
      </w:r>
      <w:r>
        <w:rPr>
          <w:color w:val="231F20"/>
          <w:spacing w:val="-3"/>
          <w:sz w:val="19"/>
        </w:rPr>
        <w:t> </w:t>
      </w:r>
      <w:r>
        <w:rPr>
          <w:color w:val="231F20"/>
          <w:sz w:val="19"/>
        </w:rPr>
        <w:t>C-437/19,</w:t>
      </w:r>
      <w:r>
        <w:rPr>
          <w:color w:val="231F20"/>
          <w:spacing w:val="-3"/>
          <w:sz w:val="19"/>
        </w:rPr>
        <w:t> </w:t>
      </w:r>
      <w:r>
        <w:rPr>
          <w:color w:val="231F20"/>
          <w:sz w:val="19"/>
        </w:rPr>
        <w:t>État</w:t>
      </w:r>
      <w:r>
        <w:rPr>
          <w:color w:val="231F20"/>
          <w:spacing w:val="-3"/>
          <w:sz w:val="19"/>
        </w:rPr>
        <w:t> </w:t>
      </w:r>
      <w:r>
        <w:rPr>
          <w:i/>
          <w:color w:val="231F20"/>
          <w:sz w:val="19"/>
        </w:rPr>
        <w:t>luxembourgeois</w:t>
      </w:r>
      <w:r>
        <w:rPr>
          <w:i/>
          <w:color w:val="231F20"/>
          <w:spacing w:val="-2"/>
          <w:sz w:val="19"/>
        </w:rPr>
        <w:t> </w:t>
      </w:r>
      <w:r>
        <w:rPr>
          <w:color w:val="231F20"/>
          <w:spacing w:val="-2"/>
          <w:sz w:val="19"/>
        </w:rPr>
        <w:t>contro</w:t>
      </w:r>
    </w:p>
    <w:p>
      <w:pPr>
        <w:spacing w:line="228" w:lineRule="auto" w:before="2"/>
        <w:ind w:left="100" w:right="175" w:firstLine="0"/>
        <w:jc w:val="both"/>
        <w:rPr>
          <w:sz w:val="19"/>
        </w:rPr>
      </w:pPr>
      <w:r>
        <w:rPr>
          <w:i/>
          <w:color w:val="231F20"/>
          <w:sz w:val="19"/>
        </w:rPr>
        <w:t>L</w:t>
      </w:r>
      <w:r>
        <w:rPr>
          <w:color w:val="231F20"/>
          <w:sz w:val="19"/>
        </w:rPr>
        <w:t>.</w:t>
      </w:r>
      <w:r>
        <w:rPr>
          <w:color w:val="231F20"/>
          <w:spacing w:val="-5"/>
          <w:sz w:val="19"/>
        </w:rPr>
        <w:t> </w:t>
      </w:r>
      <w:r>
        <w:rPr>
          <w:color w:val="231F20"/>
          <w:sz w:val="19"/>
        </w:rPr>
        <w:t>Anche</w:t>
      </w:r>
      <w:r>
        <w:rPr>
          <w:color w:val="231F20"/>
          <w:spacing w:val="-5"/>
          <w:sz w:val="19"/>
        </w:rPr>
        <w:t> </w:t>
      </w:r>
      <w:r>
        <w:rPr>
          <w:color w:val="231F20"/>
          <w:sz w:val="19"/>
        </w:rPr>
        <w:t>con</w:t>
      </w:r>
      <w:r>
        <w:rPr>
          <w:color w:val="231F20"/>
          <w:spacing w:val="-5"/>
          <w:sz w:val="19"/>
        </w:rPr>
        <w:t> </w:t>
      </w:r>
      <w:r>
        <w:rPr>
          <w:color w:val="231F20"/>
          <w:sz w:val="19"/>
        </w:rPr>
        <w:t>riferimento</w:t>
      </w:r>
      <w:r>
        <w:rPr>
          <w:color w:val="231F20"/>
          <w:spacing w:val="-5"/>
          <w:sz w:val="19"/>
        </w:rPr>
        <w:t> </w:t>
      </w:r>
      <w:r>
        <w:rPr>
          <w:color w:val="231F20"/>
          <w:sz w:val="19"/>
        </w:rPr>
        <w:t>a</w:t>
      </w:r>
      <w:r>
        <w:rPr>
          <w:color w:val="231F20"/>
          <w:spacing w:val="-5"/>
          <w:sz w:val="19"/>
        </w:rPr>
        <w:t> </w:t>
      </w:r>
      <w:r>
        <w:rPr>
          <w:color w:val="231F20"/>
          <w:sz w:val="19"/>
        </w:rPr>
        <w:t>questa</w:t>
      </w:r>
      <w:r>
        <w:rPr>
          <w:color w:val="231F20"/>
          <w:spacing w:val="-5"/>
          <w:sz w:val="19"/>
        </w:rPr>
        <w:t> </w:t>
      </w:r>
      <w:r>
        <w:rPr>
          <w:color w:val="231F20"/>
          <w:sz w:val="19"/>
        </w:rPr>
        <w:t>sentenza,</w:t>
      </w:r>
      <w:r>
        <w:rPr>
          <w:color w:val="231F20"/>
          <w:spacing w:val="-5"/>
          <w:sz w:val="19"/>
        </w:rPr>
        <w:t> </w:t>
      </w:r>
      <w:r>
        <w:rPr>
          <w:color w:val="231F20"/>
          <w:sz w:val="19"/>
        </w:rPr>
        <w:t>essendo</w:t>
      </w:r>
      <w:r>
        <w:rPr>
          <w:color w:val="231F20"/>
          <w:spacing w:val="-5"/>
          <w:sz w:val="19"/>
        </w:rPr>
        <w:t> </w:t>
      </w:r>
      <w:r>
        <w:rPr>
          <w:color w:val="231F20"/>
          <w:sz w:val="19"/>
        </w:rPr>
        <w:t>impossibile</w:t>
      </w:r>
      <w:r>
        <w:rPr>
          <w:color w:val="231F20"/>
          <w:spacing w:val="-5"/>
          <w:sz w:val="19"/>
        </w:rPr>
        <w:t> </w:t>
      </w:r>
      <w:r>
        <w:rPr>
          <w:color w:val="231F20"/>
          <w:sz w:val="19"/>
        </w:rPr>
        <w:t>citare</w:t>
      </w:r>
      <w:r>
        <w:rPr>
          <w:color w:val="231F20"/>
          <w:spacing w:val="-5"/>
          <w:sz w:val="19"/>
        </w:rPr>
        <w:t> </w:t>
      </w:r>
      <w:r>
        <w:rPr>
          <w:color w:val="231F20"/>
          <w:sz w:val="19"/>
        </w:rPr>
        <w:t>per</w:t>
      </w:r>
      <w:r>
        <w:rPr>
          <w:color w:val="231F20"/>
          <w:spacing w:val="-5"/>
          <w:sz w:val="19"/>
        </w:rPr>
        <w:t> </w:t>
      </w:r>
      <w:r>
        <w:rPr>
          <w:color w:val="231F20"/>
          <w:sz w:val="19"/>
        </w:rPr>
        <w:t>esteso</w:t>
      </w:r>
      <w:r>
        <w:rPr>
          <w:color w:val="231F20"/>
          <w:spacing w:val="-5"/>
          <w:sz w:val="19"/>
        </w:rPr>
        <w:t> </w:t>
      </w:r>
      <w:r>
        <w:rPr>
          <w:color w:val="231F20"/>
          <w:sz w:val="19"/>
        </w:rPr>
        <w:t>il</w:t>
      </w:r>
      <w:r>
        <w:rPr>
          <w:color w:val="231F20"/>
          <w:spacing w:val="-5"/>
          <w:sz w:val="19"/>
        </w:rPr>
        <w:t> </w:t>
      </w:r>
      <w:r>
        <w:rPr>
          <w:color w:val="231F20"/>
          <w:sz w:val="19"/>
        </w:rPr>
        <w:t>nome</w:t>
      </w:r>
      <w:r>
        <w:rPr>
          <w:color w:val="231F20"/>
          <w:spacing w:val="-5"/>
          <w:sz w:val="19"/>
        </w:rPr>
        <w:t> </w:t>
      </w:r>
      <w:r>
        <w:rPr>
          <w:color w:val="231F20"/>
          <w:sz w:val="19"/>
        </w:rPr>
        <w:t>della </w:t>
      </w:r>
      <w:r>
        <w:rPr>
          <w:color w:val="231F20"/>
          <w:spacing w:val="-2"/>
          <w:sz w:val="19"/>
        </w:rPr>
        <w:t>parte</w:t>
      </w:r>
      <w:r>
        <w:rPr>
          <w:color w:val="231F20"/>
          <w:spacing w:val="-6"/>
          <w:sz w:val="19"/>
        </w:rPr>
        <w:t> </w:t>
      </w:r>
      <w:r>
        <w:rPr>
          <w:color w:val="231F20"/>
          <w:spacing w:val="-2"/>
          <w:sz w:val="19"/>
        </w:rPr>
        <w:t>privata</w:t>
      </w:r>
      <w:r>
        <w:rPr>
          <w:color w:val="231F20"/>
          <w:spacing w:val="-6"/>
          <w:sz w:val="19"/>
        </w:rPr>
        <w:t> </w:t>
      </w:r>
      <w:r>
        <w:rPr>
          <w:color w:val="231F20"/>
          <w:spacing w:val="-2"/>
          <w:sz w:val="19"/>
        </w:rPr>
        <w:t>nel</w:t>
      </w:r>
      <w:r>
        <w:rPr>
          <w:color w:val="231F20"/>
          <w:spacing w:val="-6"/>
          <w:sz w:val="19"/>
        </w:rPr>
        <w:t> </w:t>
      </w:r>
      <w:r>
        <w:rPr>
          <w:color w:val="231F20"/>
          <w:spacing w:val="-2"/>
          <w:sz w:val="19"/>
        </w:rPr>
        <w:t>processo</w:t>
      </w:r>
      <w:r>
        <w:rPr>
          <w:color w:val="231F20"/>
          <w:spacing w:val="-6"/>
          <w:sz w:val="19"/>
        </w:rPr>
        <w:t> </w:t>
      </w:r>
      <w:r>
        <w:rPr>
          <w:i/>
          <w:color w:val="231F20"/>
          <w:spacing w:val="-2"/>
          <w:sz w:val="19"/>
        </w:rPr>
        <w:t>a</w:t>
      </w:r>
      <w:r>
        <w:rPr>
          <w:i/>
          <w:color w:val="231F20"/>
          <w:spacing w:val="-6"/>
          <w:sz w:val="19"/>
        </w:rPr>
        <w:t> </w:t>
      </w:r>
      <w:r>
        <w:rPr>
          <w:i/>
          <w:color w:val="231F20"/>
          <w:spacing w:val="-2"/>
          <w:sz w:val="19"/>
        </w:rPr>
        <w:t>quo</w:t>
      </w:r>
      <w:r>
        <w:rPr>
          <w:color w:val="231F20"/>
          <w:spacing w:val="-2"/>
          <w:sz w:val="19"/>
        </w:rPr>
        <w:t>,</w:t>
      </w:r>
      <w:r>
        <w:rPr>
          <w:color w:val="231F20"/>
          <w:spacing w:val="-6"/>
          <w:sz w:val="19"/>
        </w:rPr>
        <w:t> </w:t>
      </w:r>
      <w:r>
        <w:rPr>
          <w:color w:val="231F20"/>
          <w:spacing w:val="-2"/>
          <w:sz w:val="19"/>
        </w:rPr>
        <w:t>si</w:t>
      </w:r>
      <w:r>
        <w:rPr>
          <w:color w:val="231F20"/>
          <w:spacing w:val="-6"/>
          <w:sz w:val="19"/>
        </w:rPr>
        <w:t> </w:t>
      </w:r>
      <w:r>
        <w:rPr>
          <w:color w:val="231F20"/>
          <w:spacing w:val="-2"/>
          <w:sz w:val="19"/>
        </w:rPr>
        <w:t>citerà</w:t>
      </w:r>
      <w:r>
        <w:rPr>
          <w:color w:val="231F20"/>
          <w:spacing w:val="-6"/>
          <w:sz w:val="19"/>
        </w:rPr>
        <w:t> </w:t>
      </w:r>
      <w:r>
        <w:rPr>
          <w:color w:val="231F20"/>
          <w:spacing w:val="-2"/>
          <w:sz w:val="19"/>
        </w:rPr>
        <w:t>il</w:t>
      </w:r>
      <w:r>
        <w:rPr>
          <w:color w:val="231F20"/>
          <w:spacing w:val="-6"/>
          <w:sz w:val="19"/>
        </w:rPr>
        <w:t> </w:t>
      </w:r>
      <w:r>
        <w:rPr>
          <w:color w:val="231F20"/>
          <w:spacing w:val="-2"/>
          <w:sz w:val="19"/>
        </w:rPr>
        <w:t>numero</w:t>
      </w:r>
      <w:r>
        <w:rPr>
          <w:color w:val="231F20"/>
          <w:spacing w:val="-6"/>
          <w:sz w:val="19"/>
        </w:rPr>
        <w:t> </w:t>
      </w:r>
      <w:r>
        <w:rPr>
          <w:color w:val="231F20"/>
          <w:spacing w:val="-2"/>
          <w:sz w:val="19"/>
        </w:rPr>
        <w:t>di</w:t>
      </w:r>
      <w:r>
        <w:rPr>
          <w:color w:val="231F20"/>
          <w:spacing w:val="-6"/>
          <w:sz w:val="19"/>
        </w:rPr>
        <w:t> </w:t>
      </w:r>
      <w:r>
        <w:rPr>
          <w:color w:val="231F20"/>
          <w:spacing w:val="-2"/>
          <w:sz w:val="19"/>
        </w:rPr>
        <w:t>causa.</w:t>
      </w:r>
      <w:r>
        <w:rPr>
          <w:color w:val="231F20"/>
          <w:spacing w:val="-6"/>
          <w:sz w:val="19"/>
        </w:rPr>
        <w:t> </w:t>
      </w:r>
      <w:r>
        <w:rPr>
          <w:color w:val="231F20"/>
          <w:spacing w:val="-2"/>
          <w:sz w:val="19"/>
        </w:rPr>
        <w:t>Questa</w:t>
      </w:r>
      <w:r>
        <w:rPr>
          <w:color w:val="231F20"/>
          <w:spacing w:val="-6"/>
          <w:sz w:val="19"/>
        </w:rPr>
        <w:t> </w:t>
      </w:r>
      <w:r>
        <w:rPr>
          <w:color w:val="231F20"/>
          <w:spacing w:val="-2"/>
          <w:sz w:val="19"/>
        </w:rPr>
        <w:t>sentenza</w:t>
      </w:r>
      <w:r>
        <w:rPr>
          <w:color w:val="231F20"/>
          <w:spacing w:val="-6"/>
          <w:sz w:val="19"/>
        </w:rPr>
        <w:t> </w:t>
      </w:r>
      <w:r>
        <w:rPr>
          <w:color w:val="231F20"/>
          <w:spacing w:val="-2"/>
          <w:sz w:val="19"/>
        </w:rPr>
        <w:t>è</w:t>
      </w:r>
      <w:r>
        <w:rPr>
          <w:color w:val="231F20"/>
          <w:spacing w:val="-6"/>
          <w:sz w:val="19"/>
        </w:rPr>
        <w:t> </w:t>
      </w:r>
      <w:r>
        <w:rPr>
          <w:color w:val="231F20"/>
          <w:spacing w:val="-2"/>
          <w:sz w:val="19"/>
        </w:rPr>
        <w:t>stata</w:t>
      </w:r>
      <w:r>
        <w:rPr>
          <w:color w:val="231F20"/>
          <w:spacing w:val="-6"/>
          <w:sz w:val="19"/>
        </w:rPr>
        <w:t> </w:t>
      </w:r>
      <w:r>
        <w:rPr>
          <w:color w:val="231F20"/>
          <w:spacing w:val="-2"/>
          <w:sz w:val="19"/>
        </w:rPr>
        <w:t>commentata </w:t>
      </w:r>
      <w:r>
        <w:rPr>
          <w:color w:val="231F20"/>
          <w:sz w:val="19"/>
        </w:rPr>
        <w:t>dalla</w:t>
      </w:r>
      <w:r>
        <w:rPr>
          <w:color w:val="231F20"/>
          <w:spacing w:val="-3"/>
          <w:sz w:val="19"/>
        </w:rPr>
        <w:t> </w:t>
      </w:r>
      <w:r>
        <w:rPr>
          <w:color w:val="231F20"/>
          <w:sz w:val="19"/>
        </w:rPr>
        <w:t>ECJ</w:t>
      </w:r>
      <w:r>
        <w:rPr>
          <w:color w:val="231F20"/>
          <w:spacing w:val="-10"/>
          <w:sz w:val="19"/>
        </w:rPr>
        <w:t> </w:t>
      </w:r>
      <w:r>
        <w:rPr>
          <w:color w:val="231F20"/>
          <w:sz w:val="19"/>
        </w:rPr>
        <w:t>TASK</w:t>
      </w:r>
      <w:r>
        <w:rPr>
          <w:color w:val="231F20"/>
          <w:spacing w:val="-3"/>
          <w:sz w:val="19"/>
        </w:rPr>
        <w:t> </w:t>
      </w:r>
      <w:r>
        <w:rPr>
          <w:color w:val="231F20"/>
          <w:sz w:val="19"/>
        </w:rPr>
        <w:t>FORCE</w:t>
      </w:r>
      <w:r>
        <w:rPr>
          <w:color w:val="231F20"/>
          <w:spacing w:val="-3"/>
          <w:sz w:val="19"/>
        </w:rPr>
        <w:t> </w:t>
      </w:r>
      <w:r>
        <w:rPr>
          <w:color w:val="231F20"/>
          <w:sz w:val="19"/>
        </w:rPr>
        <w:t>della</w:t>
      </w:r>
      <w:r>
        <w:rPr>
          <w:color w:val="231F20"/>
          <w:spacing w:val="-3"/>
          <w:sz w:val="19"/>
        </w:rPr>
        <w:t> </w:t>
      </w:r>
      <w:r>
        <w:rPr>
          <w:color w:val="231F20"/>
          <w:sz w:val="19"/>
        </w:rPr>
        <w:t>Confédération</w:t>
      </w:r>
      <w:r>
        <w:rPr>
          <w:color w:val="231F20"/>
          <w:spacing w:val="-3"/>
          <w:sz w:val="19"/>
        </w:rPr>
        <w:t> </w:t>
      </w:r>
      <w:r>
        <w:rPr>
          <w:color w:val="231F20"/>
          <w:sz w:val="19"/>
        </w:rPr>
        <w:t>fiscale</w:t>
      </w:r>
      <w:r>
        <w:rPr>
          <w:color w:val="231F20"/>
          <w:spacing w:val="-3"/>
          <w:sz w:val="19"/>
        </w:rPr>
        <w:t> </w:t>
      </w:r>
      <w:r>
        <w:rPr>
          <w:color w:val="231F20"/>
          <w:sz w:val="19"/>
        </w:rPr>
        <w:t>européenne</w:t>
      </w:r>
      <w:r>
        <w:rPr>
          <w:color w:val="231F20"/>
          <w:spacing w:val="-3"/>
          <w:sz w:val="19"/>
        </w:rPr>
        <w:t> </w:t>
      </w:r>
      <w:r>
        <w:rPr>
          <w:color w:val="231F20"/>
          <w:sz w:val="19"/>
        </w:rPr>
        <w:t>(CFE)</w:t>
      </w:r>
      <w:r>
        <w:rPr>
          <w:color w:val="231F20"/>
          <w:spacing w:val="-3"/>
          <w:sz w:val="19"/>
        </w:rPr>
        <w:t> </w:t>
      </w:r>
      <w:r>
        <w:rPr>
          <w:i/>
          <w:color w:val="231F20"/>
          <w:sz w:val="19"/>
        </w:rPr>
        <w:t>Opinion</w:t>
      </w:r>
      <w:r>
        <w:rPr>
          <w:i/>
          <w:color w:val="231F20"/>
          <w:spacing w:val="-3"/>
          <w:sz w:val="19"/>
        </w:rPr>
        <w:t> </w:t>
      </w:r>
      <w:r>
        <w:rPr>
          <w:i/>
          <w:color w:val="231F20"/>
          <w:sz w:val="19"/>
        </w:rPr>
        <w:t>statement</w:t>
      </w:r>
      <w:r>
        <w:rPr>
          <w:i/>
          <w:color w:val="231F20"/>
          <w:spacing w:val="-3"/>
          <w:sz w:val="19"/>
        </w:rPr>
        <w:t> </w:t>
      </w:r>
      <w:r>
        <w:rPr>
          <w:i/>
          <w:color w:val="231F20"/>
          <w:sz w:val="19"/>
        </w:rPr>
        <w:t>on</w:t>
      </w:r>
      <w:r>
        <w:rPr>
          <w:i/>
          <w:color w:val="231F20"/>
          <w:sz w:val="19"/>
        </w:rPr>
        <w:t> the</w:t>
      </w:r>
      <w:r>
        <w:rPr>
          <w:i/>
          <w:color w:val="231F20"/>
          <w:spacing w:val="-5"/>
          <w:sz w:val="19"/>
        </w:rPr>
        <w:t> </w:t>
      </w:r>
      <w:r>
        <w:rPr>
          <w:i/>
          <w:color w:val="231F20"/>
          <w:sz w:val="19"/>
        </w:rPr>
        <w:t>ECJ</w:t>
      </w:r>
      <w:r>
        <w:rPr>
          <w:i/>
          <w:color w:val="231F20"/>
          <w:spacing w:val="-5"/>
          <w:sz w:val="19"/>
        </w:rPr>
        <w:t> </w:t>
      </w:r>
      <w:r>
        <w:rPr>
          <w:i/>
          <w:color w:val="231F20"/>
          <w:sz w:val="19"/>
        </w:rPr>
        <w:t>decision</w:t>
      </w:r>
      <w:r>
        <w:rPr>
          <w:i/>
          <w:color w:val="231F20"/>
          <w:spacing w:val="-5"/>
          <w:sz w:val="19"/>
        </w:rPr>
        <w:t> </w:t>
      </w:r>
      <w:r>
        <w:rPr>
          <w:i/>
          <w:color w:val="231F20"/>
          <w:sz w:val="19"/>
        </w:rPr>
        <w:t>of</w:t>
      </w:r>
      <w:r>
        <w:rPr>
          <w:i/>
          <w:color w:val="231F20"/>
          <w:spacing w:val="-5"/>
          <w:sz w:val="19"/>
        </w:rPr>
        <w:t> </w:t>
      </w:r>
      <w:r>
        <w:rPr>
          <w:i/>
          <w:color w:val="231F20"/>
          <w:sz w:val="19"/>
        </w:rPr>
        <w:t>25</w:t>
      </w:r>
      <w:r>
        <w:rPr>
          <w:i/>
          <w:color w:val="231F20"/>
          <w:spacing w:val="-5"/>
          <w:sz w:val="19"/>
        </w:rPr>
        <w:t> </w:t>
      </w:r>
      <w:r>
        <w:rPr>
          <w:i/>
          <w:color w:val="231F20"/>
          <w:sz w:val="19"/>
        </w:rPr>
        <w:t>November</w:t>
      </w:r>
      <w:r>
        <w:rPr>
          <w:i/>
          <w:color w:val="231F20"/>
          <w:spacing w:val="-5"/>
          <w:sz w:val="19"/>
        </w:rPr>
        <w:t> </w:t>
      </w:r>
      <w:r>
        <w:rPr>
          <w:i/>
          <w:color w:val="231F20"/>
          <w:sz w:val="19"/>
        </w:rPr>
        <w:t>2021</w:t>
      </w:r>
      <w:r>
        <w:rPr>
          <w:i/>
          <w:color w:val="231F20"/>
          <w:spacing w:val="-5"/>
          <w:sz w:val="19"/>
        </w:rPr>
        <w:t> </w:t>
      </w:r>
      <w:r>
        <w:rPr>
          <w:i/>
          <w:color w:val="231F20"/>
          <w:sz w:val="19"/>
        </w:rPr>
        <w:t>(case</w:t>
      </w:r>
      <w:r>
        <w:rPr>
          <w:i/>
          <w:color w:val="231F20"/>
          <w:spacing w:val="-5"/>
          <w:sz w:val="19"/>
        </w:rPr>
        <w:t> </w:t>
      </w:r>
      <w:r>
        <w:rPr>
          <w:i/>
          <w:color w:val="231F20"/>
          <w:sz w:val="19"/>
        </w:rPr>
        <w:t>C-437/19)</w:t>
      </w:r>
      <w:r>
        <w:rPr>
          <w:i/>
          <w:color w:val="231F20"/>
          <w:spacing w:val="-5"/>
          <w:sz w:val="19"/>
        </w:rPr>
        <w:t> </w:t>
      </w:r>
      <w:r>
        <w:rPr>
          <w:i/>
          <w:color w:val="231F20"/>
          <w:sz w:val="19"/>
        </w:rPr>
        <w:t>on</w:t>
      </w:r>
      <w:r>
        <w:rPr>
          <w:i/>
          <w:color w:val="231F20"/>
          <w:spacing w:val="-5"/>
          <w:sz w:val="19"/>
        </w:rPr>
        <w:t> </w:t>
      </w:r>
      <w:r>
        <w:rPr>
          <w:i/>
          <w:color w:val="231F20"/>
          <w:sz w:val="19"/>
        </w:rPr>
        <w:t>the</w:t>
      </w:r>
      <w:r>
        <w:rPr>
          <w:i/>
          <w:color w:val="231F20"/>
          <w:spacing w:val="-5"/>
          <w:sz w:val="19"/>
        </w:rPr>
        <w:t> </w:t>
      </w:r>
      <w:r>
        <w:rPr>
          <w:i/>
          <w:color w:val="231F20"/>
          <w:sz w:val="19"/>
        </w:rPr>
        <w:t>conditions</w:t>
      </w:r>
      <w:r>
        <w:rPr>
          <w:i/>
          <w:color w:val="231F20"/>
          <w:spacing w:val="-5"/>
          <w:sz w:val="19"/>
        </w:rPr>
        <w:t> </w:t>
      </w:r>
      <w:r>
        <w:rPr>
          <w:i/>
          <w:color w:val="231F20"/>
          <w:sz w:val="19"/>
        </w:rPr>
        <w:t>for</w:t>
      </w:r>
      <w:r>
        <w:rPr>
          <w:i/>
          <w:color w:val="231F20"/>
          <w:spacing w:val="-5"/>
          <w:sz w:val="19"/>
        </w:rPr>
        <w:t> </w:t>
      </w:r>
      <w:r>
        <w:rPr>
          <w:i/>
          <w:color w:val="231F20"/>
          <w:sz w:val="19"/>
        </w:rPr>
        <w:t>information</w:t>
      </w:r>
      <w:r>
        <w:rPr>
          <w:i/>
          <w:color w:val="231F20"/>
          <w:spacing w:val="-5"/>
          <w:sz w:val="19"/>
        </w:rPr>
        <w:t> </w:t>
      </w:r>
      <w:r>
        <w:rPr>
          <w:i/>
          <w:color w:val="231F20"/>
          <w:sz w:val="19"/>
        </w:rPr>
        <w:t>requests and taxpayers remedies</w:t>
      </w:r>
      <w:r>
        <w:rPr>
          <w:color w:val="231F20"/>
          <w:sz w:val="19"/>
        </w:rPr>
        <w:t>, in </w:t>
      </w:r>
      <w:r>
        <w:rPr>
          <w:i/>
          <w:color w:val="231F20"/>
          <w:sz w:val="19"/>
        </w:rPr>
        <w:t>European Taxation, </w:t>
      </w:r>
      <w:r>
        <w:rPr>
          <w:color w:val="231F20"/>
          <w:sz w:val="19"/>
        </w:rPr>
        <w:t>2022, 4.</w:t>
      </w:r>
    </w:p>
    <w:p>
      <w:pPr>
        <w:spacing w:after="0" w:line="228" w:lineRule="auto"/>
        <w:jc w:val="both"/>
        <w:rPr>
          <w:sz w:val="19"/>
        </w:rPr>
        <w:sectPr>
          <w:pgSz w:w="9640" w:h="13610"/>
          <w:pgMar w:header="0" w:footer="625" w:top="1260" w:bottom="820" w:left="1260" w:right="1240"/>
        </w:sectPr>
      </w:pPr>
    </w:p>
    <w:p>
      <w:pPr>
        <w:pStyle w:val="BodyText"/>
        <w:spacing w:line="225" w:lineRule="auto" w:before="117"/>
        <w:ind w:left="157" w:right="118"/>
        <w:jc w:val="both"/>
      </w:pPr>
      <w:r>
        <w:rPr/>
        <mc:AlternateContent>
          <mc:Choice Requires="wps">
            <w:drawing>
              <wp:anchor distT="0" distB="0" distL="0" distR="0" allowOverlap="1" layoutInCell="1" locked="0" behindDoc="0" simplePos="0" relativeHeight="15772160">
                <wp:simplePos x="0" y="0"/>
                <wp:positionH relativeFrom="page">
                  <wp:posOffset>5608609</wp:posOffset>
                </wp:positionH>
                <wp:positionV relativeFrom="page">
                  <wp:posOffset>2376001</wp:posOffset>
                </wp:positionV>
                <wp:extent cx="511809" cy="2412365"/>
                <wp:effectExtent l="0" t="0" r="0" b="0"/>
                <wp:wrapNone/>
                <wp:docPr id="141" name="Group 141"/>
                <wp:cNvGraphicFramePr>
                  <a:graphicFrameLocks/>
                </wp:cNvGraphicFramePr>
                <a:graphic>
                  <a:graphicData uri="http://schemas.microsoft.com/office/word/2010/wordprocessingGroup">
                    <wpg:wgp>
                      <wpg:cNvPr id="141" name="Group 141"/>
                      <wpg:cNvGrpSpPr/>
                      <wpg:grpSpPr>
                        <a:xfrm>
                          <a:off x="0" y="0"/>
                          <a:ext cx="511809" cy="2412365"/>
                          <a:chExt cx="511809" cy="2412365"/>
                        </a:xfrm>
                      </wpg:grpSpPr>
                      <wps:wsp>
                        <wps:cNvPr id="142" name="Graphic 142"/>
                        <wps:cNvSpPr/>
                        <wps:spPr>
                          <a:xfrm>
                            <a:off x="7393" y="3"/>
                            <a:ext cx="504190" cy="360045"/>
                          </a:xfrm>
                          <a:custGeom>
                            <a:avLst/>
                            <a:gdLst/>
                            <a:ahLst/>
                            <a:cxnLst/>
                            <a:rect l="l" t="t" r="r" b="b"/>
                            <a:pathLst>
                              <a:path w="504190" h="360045">
                                <a:moveTo>
                                  <a:pt x="503999" y="0"/>
                                </a:moveTo>
                                <a:lnTo>
                                  <a:pt x="0" y="0"/>
                                </a:lnTo>
                                <a:lnTo>
                                  <a:pt x="0" y="359994"/>
                                </a:lnTo>
                                <a:lnTo>
                                  <a:pt x="503999" y="359994"/>
                                </a:lnTo>
                                <a:lnTo>
                                  <a:pt x="503999" y="0"/>
                                </a:lnTo>
                                <a:close/>
                              </a:path>
                            </a:pathLst>
                          </a:custGeom>
                          <a:solidFill>
                            <a:srgbClr val="939598"/>
                          </a:solidFill>
                        </wps:spPr>
                        <wps:bodyPr wrap="square" lIns="0" tIns="0" rIns="0" bIns="0" rtlCol="0">
                          <a:prstTxWarp prst="textNoShape">
                            <a:avLst/>
                          </a:prstTxWarp>
                          <a:noAutofit/>
                        </wps:bodyPr>
                      </wps:wsp>
                      <wps:wsp>
                        <wps:cNvPr id="143" name="Graphic 143"/>
                        <wps:cNvSpPr/>
                        <wps:spPr>
                          <a:xfrm>
                            <a:off x="6350" y="0"/>
                            <a:ext cx="1270" cy="2412365"/>
                          </a:xfrm>
                          <a:custGeom>
                            <a:avLst/>
                            <a:gdLst/>
                            <a:ahLst/>
                            <a:cxnLst/>
                            <a:rect l="l" t="t" r="r" b="b"/>
                            <a:pathLst>
                              <a:path w="0" h="2412365">
                                <a:moveTo>
                                  <a:pt x="0" y="0"/>
                                </a:moveTo>
                                <a:lnTo>
                                  <a:pt x="0" y="2411996"/>
                                </a:lnTo>
                              </a:path>
                            </a:pathLst>
                          </a:custGeom>
                          <a:ln w="12700">
                            <a:solidFill>
                              <a:srgbClr val="939598"/>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441.622803pt;margin-top:187.0867pt;width:40.3pt;height:189.95pt;mso-position-horizontal-relative:page;mso-position-vertical-relative:page;z-index:15772160" id="docshapegroup117" coordorigin="8832,3742" coordsize="806,3799">
                <v:rect style="position:absolute;left:8844;top:3741;width:794;height:567" id="docshape118" filled="true" fillcolor="#939598" stroked="false">
                  <v:fill type="solid"/>
                </v:rect>
                <v:line style="position:absolute" from="8842,3742" to="8842,7540" stroked="true" strokeweight="1pt" strokecolor="#939598">
                  <v:stroke dashstyle="solid"/>
                </v:line>
                <w10:wrap type="none"/>
              </v:group>
            </w:pict>
          </mc:Fallback>
        </mc:AlternateContent>
      </w:r>
      <w:r>
        <w:rPr/>
        <mc:AlternateContent>
          <mc:Choice Requires="wps">
            <w:drawing>
              <wp:anchor distT="0" distB="0" distL="0" distR="0" allowOverlap="1" layoutInCell="1" locked="0" behindDoc="0" simplePos="0" relativeHeight="15772672">
                <wp:simplePos x="0" y="0"/>
                <wp:positionH relativeFrom="page">
                  <wp:posOffset>5635147</wp:posOffset>
                </wp:positionH>
                <wp:positionV relativeFrom="page">
                  <wp:posOffset>2795300</wp:posOffset>
                </wp:positionV>
                <wp:extent cx="299720" cy="1995805"/>
                <wp:effectExtent l="0" t="0" r="0" b="0"/>
                <wp:wrapNone/>
                <wp:docPr id="144" name="Textbox 144"/>
                <wp:cNvGraphicFramePr>
                  <a:graphicFrameLocks/>
                </wp:cNvGraphicFramePr>
                <a:graphic>
                  <a:graphicData uri="http://schemas.microsoft.com/office/word/2010/wordprocessingShape">
                    <wps:wsp>
                      <wps:cNvPr id="144" name="Textbox 144"/>
                      <wps:cNvSpPr txBox="1"/>
                      <wps:spPr>
                        <a:xfrm>
                          <a:off x="0" y="0"/>
                          <a:ext cx="299720" cy="1995805"/>
                        </a:xfrm>
                        <a:prstGeom prst="rect">
                          <a:avLst/>
                        </a:prstGeom>
                      </wps:spPr>
                      <wps:txbx>
                        <w:txbxContent>
                          <w:p>
                            <w:pPr>
                              <w:spacing w:before="20"/>
                              <w:ind w:left="20" w:right="0" w:firstLine="0"/>
                              <w:jc w:val="left"/>
                              <w:rPr>
                                <w:rFonts w:ascii="Minion Pro"/>
                                <w:sz w:val="32"/>
                              </w:rPr>
                            </w:pPr>
                            <w:r>
                              <w:rPr>
                                <w:rFonts w:ascii="Minion Pro"/>
                                <w:color w:val="231F20"/>
                                <w:sz w:val="32"/>
                              </w:rPr>
                              <w:t>Commented</w:t>
                            </w:r>
                            <w:r>
                              <w:rPr>
                                <w:rFonts w:ascii="Minion Pro"/>
                                <w:color w:val="231F20"/>
                                <w:spacing w:val="-10"/>
                                <w:sz w:val="32"/>
                              </w:rPr>
                              <w:t> </w:t>
                            </w:r>
                            <w:r>
                              <w:rPr>
                                <w:rFonts w:ascii="Minion Pro"/>
                                <w:color w:val="231F20"/>
                                <w:spacing w:val="-2"/>
                                <w:sz w:val="32"/>
                              </w:rPr>
                              <w:t>documents</w:t>
                            </w:r>
                          </w:p>
                        </w:txbxContent>
                      </wps:txbx>
                      <wps:bodyPr wrap="square" lIns="0" tIns="0" rIns="0" bIns="0" rtlCol="0" vert="vert">
                        <a:noAutofit/>
                      </wps:bodyPr>
                    </wps:wsp>
                  </a:graphicData>
                </a:graphic>
              </wp:anchor>
            </w:drawing>
          </mc:Choice>
          <mc:Fallback>
            <w:pict>
              <v:shape style="position:absolute;margin-left:443.712402pt;margin-top:220.102402pt;width:23.6pt;height:157.15pt;mso-position-horizontal-relative:page;mso-position-vertical-relative:page;z-index:15772672" type="#_x0000_t202" id="docshape119" filled="false" stroked="false">
                <v:textbox inset="0,0,0,0" style="layout-flow:vertical">
                  <w:txbxContent>
                    <w:p>
                      <w:pPr>
                        <w:spacing w:before="20"/>
                        <w:ind w:left="20" w:right="0" w:firstLine="0"/>
                        <w:jc w:val="left"/>
                        <w:rPr>
                          <w:rFonts w:ascii="Minion Pro"/>
                          <w:sz w:val="32"/>
                        </w:rPr>
                      </w:pPr>
                      <w:r>
                        <w:rPr>
                          <w:rFonts w:ascii="Minion Pro"/>
                          <w:color w:val="231F20"/>
                          <w:sz w:val="32"/>
                        </w:rPr>
                        <w:t>Commented</w:t>
                      </w:r>
                      <w:r>
                        <w:rPr>
                          <w:rFonts w:ascii="Minion Pro"/>
                          <w:color w:val="231F20"/>
                          <w:spacing w:val="-10"/>
                          <w:sz w:val="32"/>
                        </w:rPr>
                        <w:t> </w:t>
                      </w:r>
                      <w:r>
                        <w:rPr>
                          <w:rFonts w:ascii="Minion Pro"/>
                          <w:color w:val="231F20"/>
                          <w:spacing w:val="-2"/>
                          <w:sz w:val="32"/>
                        </w:rPr>
                        <w:t>documents</w:t>
                      </w:r>
                    </w:p>
                  </w:txbxContent>
                </v:textbox>
                <w10:wrap type="none"/>
              </v:shape>
            </w:pict>
          </mc:Fallback>
        </mc:AlternateContent>
      </w:r>
      <w:r>
        <w:rPr>
          <w:color w:val="231F20"/>
        </w:rPr>
        <w:t>della</w:t>
      </w:r>
      <w:r>
        <w:rPr>
          <w:color w:val="231F20"/>
          <w:spacing w:val="-15"/>
        </w:rPr>
        <w:t> </w:t>
      </w:r>
      <w:r>
        <w:rPr>
          <w:color w:val="231F20"/>
        </w:rPr>
        <w:t>direttiva,</w:t>
      </w:r>
      <w:r>
        <w:rPr>
          <w:color w:val="231F20"/>
          <w:spacing w:val="-15"/>
        </w:rPr>
        <w:t> </w:t>
      </w:r>
      <w:r>
        <w:rPr>
          <w:color w:val="231F20"/>
        </w:rPr>
        <w:t>delle</w:t>
      </w:r>
      <w:r>
        <w:rPr>
          <w:color w:val="231F20"/>
          <w:spacing w:val="-15"/>
        </w:rPr>
        <w:t> </w:t>
      </w:r>
      <w:r>
        <w:rPr>
          <w:color w:val="231F20"/>
        </w:rPr>
        <w:t>informazioni</w:t>
      </w:r>
      <w:r>
        <w:rPr>
          <w:color w:val="231F20"/>
          <w:spacing w:val="-15"/>
        </w:rPr>
        <w:t> </w:t>
      </w:r>
      <w:r>
        <w:rPr>
          <w:color w:val="231F20"/>
        </w:rPr>
        <w:t>richieste</w:t>
      </w:r>
      <w:r>
        <w:rPr>
          <w:color w:val="231F20"/>
          <w:spacing w:val="-15"/>
        </w:rPr>
        <w:t> </w:t>
      </w:r>
      <w:r>
        <w:rPr>
          <w:color w:val="231F20"/>
        </w:rPr>
        <w:t>dall’amministrazione</w:t>
      </w:r>
      <w:r>
        <w:rPr>
          <w:color w:val="231F20"/>
          <w:spacing w:val="-15"/>
        </w:rPr>
        <w:t> </w:t>
      </w:r>
      <w:r>
        <w:rPr>
          <w:color w:val="231F20"/>
        </w:rPr>
        <w:t>finanziaria francese</w:t>
      </w:r>
      <w:r>
        <w:rPr>
          <w:color w:val="231F20"/>
          <w:spacing w:val="-12"/>
        </w:rPr>
        <w:t> </w:t>
      </w:r>
      <w:r>
        <w:rPr>
          <w:color w:val="231F20"/>
        </w:rPr>
        <w:t>a</w:t>
      </w:r>
      <w:r>
        <w:rPr>
          <w:color w:val="231F20"/>
          <w:spacing w:val="-12"/>
        </w:rPr>
        <w:t> </w:t>
      </w:r>
      <w:r>
        <w:rPr>
          <w:color w:val="231F20"/>
        </w:rPr>
        <w:t>quella</w:t>
      </w:r>
      <w:r>
        <w:rPr>
          <w:color w:val="231F20"/>
          <w:spacing w:val="-12"/>
        </w:rPr>
        <w:t> </w:t>
      </w:r>
      <w:r>
        <w:rPr>
          <w:color w:val="231F20"/>
        </w:rPr>
        <w:t>lussemburghese</w:t>
      </w:r>
      <w:r>
        <w:rPr>
          <w:color w:val="231F20"/>
          <w:spacing w:val="-12"/>
        </w:rPr>
        <w:t> </w:t>
      </w:r>
      <w:r>
        <w:rPr>
          <w:color w:val="231F20"/>
        </w:rPr>
        <w:t>e</w:t>
      </w:r>
      <w:r>
        <w:rPr>
          <w:color w:val="231F20"/>
          <w:spacing w:val="-12"/>
        </w:rPr>
        <w:t> </w:t>
      </w:r>
      <w:r>
        <w:rPr>
          <w:color w:val="231F20"/>
        </w:rPr>
        <w:t>quindi</w:t>
      </w:r>
      <w:r>
        <w:rPr>
          <w:color w:val="231F20"/>
          <w:spacing w:val="-12"/>
        </w:rPr>
        <w:t> </w:t>
      </w:r>
      <w:r>
        <w:rPr>
          <w:color w:val="231F20"/>
        </w:rPr>
        <w:t>la</w:t>
      </w:r>
      <w:r>
        <w:rPr>
          <w:color w:val="231F20"/>
          <w:spacing w:val="-12"/>
        </w:rPr>
        <w:t> </w:t>
      </w:r>
      <w:r>
        <w:rPr>
          <w:color w:val="231F20"/>
        </w:rPr>
        <w:t>legittimità</w:t>
      </w:r>
      <w:r>
        <w:rPr>
          <w:color w:val="231F20"/>
          <w:spacing w:val="-12"/>
        </w:rPr>
        <w:t> </w:t>
      </w:r>
      <w:r>
        <w:rPr>
          <w:color w:val="231F20"/>
        </w:rPr>
        <w:t>della</w:t>
      </w:r>
      <w:r>
        <w:rPr>
          <w:color w:val="231F20"/>
          <w:spacing w:val="-12"/>
        </w:rPr>
        <w:t> </w:t>
      </w:r>
      <w:r>
        <w:rPr>
          <w:color w:val="231F20"/>
        </w:rPr>
        <w:t>richiesta</w:t>
      </w:r>
      <w:r>
        <w:rPr>
          <w:color w:val="231F20"/>
          <w:spacing w:val="-12"/>
        </w:rPr>
        <w:t> </w:t>
      </w:r>
      <w:r>
        <w:rPr>
          <w:color w:val="231F20"/>
        </w:rPr>
        <w:t>di</w:t>
      </w:r>
      <w:r>
        <w:rPr>
          <w:color w:val="231F20"/>
          <w:spacing w:val="-12"/>
        </w:rPr>
        <w:t> </w:t>
      </w:r>
      <w:r>
        <w:rPr>
          <w:color w:val="231F20"/>
        </w:rPr>
        <w:t>in- formazioni</w:t>
      </w:r>
      <w:r>
        <w:rPr>
          <w:color w:val="231F20"/>
          <w:spacing w:val="-11"/>
        </w:rPr>
        <w:t> </w:t>
      </w:r>
      <w:r>
        <w:rPr>
          <w:color w:val="231F20"/>
        </w:rPr>
        <w:t>e</w:t>
      </w:r>
      <w:r>
        <w:rPr>
          <w:color w:val="231F20"/>
          <w:spacing w:val="-11"/>
        </w:rPr>
        <w:t> </w:t>
      </w:r>
      <w:r>
        <w:rPr>
          <w:color w:val="231F20"/>
        </w:rPr>
        <w:t>della</w:t>
      </w:r>
      <w:r>
        <w:rPr>
          <w:color w:val="231F20"/>
          <w:spacing w:val="-11"/>
        </w:rPr>
        <w:t> </w:t>
      </w:r>
      <w:r>
        <w:rPr>
          <w:color w:val="231F20"/>
        </w:rPr>
        <w:t>successiva</w:t>
      </w:r>
      <w:r>
        <w:rPr>
          <w:color w:val="231F20"/>
          <w:spacing w:val="-11"/>
        </w:rPr>
        <w:t> </w:t>
      </w:r>
      <w:r>
        <w:rPr>
          <w:color w:val="231F20"/>
        </w:rPr>
        <w:t>decisione</w:t>
      </w:r>
      <w:r>
        <w:rPr>
          <w:color w:val="231F20"/>
          <w:spacing w:val="-11"/>
        </w:rPr>
        <w:t> </w:t>
      </w:r>
      <w:r>
        <w:rPr>
          <w:color w:val="231F20"/>
        </w:rPr>
        <w:t>di</w:t>
      </w:r>
      <w:r>
        <w:rPr>
          <w:color w:val="231F20"/>
          <w:spacing w:val="-11"/>
        </w:rPr>
        <w:t> </w:t>
      </w:r>
      <w:r>
        <w:rPr>
          <w:color w:val="231F20"/>
        </w:rPr>
        <w:t>ingiunzione,</w:t>
      </w:r>
      <w:r>
        <w:rPr>
          <w:color w:val="231F20"/>
          <w:spacing w:val="-11"/>
        </w:rPr>
        <w:t> </w:t>
      </w:r>
      <w:r>
        <w:rPr>
          <w:color w:val="231F20"/>
        </w:rPr>
        <w:t>oggetto</w:t>
      </w:r>
      <w:r>
        <w:rPr>
          <w:color w:val="231F20"/>
          <w:spacing w:val="-11"/>
        </w:rPr>
        <w:t> </w:t>
      </w:r>
      <w:r>
        <w:rPr>
          <w:color w:val="231F20"/>
        </w:rPr>
        <w:t>del</w:t>
      </w:r>
      <w:r>
        <w:rPr>
          <w:color w:val="231F20"/>
          <w:spacing w:val="-11"/>
        </w:rPr>
        <w:t> </w:t>
      </w:r>
      <w:r>
        <w:rPr>
          <w:color w:val="231F20"/>
        </w:rPr>
        <w:t>processo pendente dinanzi alla Corte amministrativa d’appello del Lussemburgo.</w:t>
      </w:r>
    </w:p>
    <w:p>
      <w:pPr>
        <w:pStyle w:val="BodyText"/>
        <w:spacing w:line="225" w:lineRule="auto" w:before="5"/>
        <w:ind w:left="157" w:right="116" w:firstLine="340"/>
        <w:jc w:val="both"/>
      </w:pPr>
      <w:r>
        <w:rPr>
          <w:color w:val="231F20"/>
        </w:rPr>
        <w:t>Al riguardo, la Corte di giustizia ha osservato, in primo luogo, che l’art. 20, par. 2, lett. a), della direttiva menziona espressamente l’«identità della persona oggetto della verifica o indagine» quale indicazione che la richiesta di informazioni trasmessa dall’autorità richiedente deve neces- sariamente contenere al fine di consentire all’autorità interpellata di veri- ficare che le informazioni richieste non risultino prive della «prevedibile pertinenza» imposta dall’art. 1 della direttiva stessa. In secondo luogo, i giudici</w:t>
      </w:r>
      <w:r>
        <w:rPr>
          <w:color w:val="231F20"/>
          <w:spacing w:val="-3"/>
        </w:rPr>
        <w:t> </w:t>
      </w:r>
      <w:r>
        <w:rPr>
          <w:color w:val="231F20"/>
        </w:rPr>
        <w:t>dell’Unione</w:t>
      </w:r>
      <w:r>
        <w:rPr>
          <w:color w:val="231F20"/>
          <w:spacing w:val="-3"/>
        </w:rPr>
        <w:t> </w:t>
      </w:r>
      <w:r>
        <w:rPr>
          <w:color w:val="231F20"/>
        </w:rPr>
        <w:t>hanno</w:t>
      </w:r>
      <w:r>
        <w:rPr>
          <w:color w:val="231F20"/>
          <w:spacing w:val="-3"/>
        </w:rPr>
        <w:t> </w:t>
      </w:r>
      <w:r>
        <w:rPr>
          <w:color w:val="231F20"/>
        </w:rPr>
        <w:t>constatato</w:t>
      </w:r>
      <w:r>
        <w:rPr>
          <w:color w:val="231F20"/>
          <w:spacing w:val="-3"/>
        </w:rPr>
        <w:t> </w:t>
      </w:r>
      <w:r>
        <w:rPr>
          <w:color w:val="231F20"/>
        </w:rPr>
        <w:t>che</w:t>
      </w:r>
      <w:r>
        <w:rPr>
          <w:color w:val="231F20"/>
          <w:spacing w:val="-3"/>
        </w:rPr>
        <w:t> </w:t>
      </w:r>
      <w:r>
        <w:rPr>
          <w:color w:val="231F20"/>
        </w:rPr>
        <w:t>il</w:t>
      </w:r>
      <w:r>
        <w:rPr>
          <w:color w:val="231F20"/>
          <w:spacing w:val="-3"/>
        </w:rPr>
        <w:t> </w:t>
      </w:r>
      <w:r>
        <w:rPr>
          <w:color w:val="231F20"/>
        </w:rPr>
        <w:t>suddetto</w:t>
      </w:r>
      <w:r>
        <w:rPr>
          <w:color w:val="231F20"/>
          <w:spacing w:val="-3"/>
        </w:rPr>
        <w:t> </w:t>
      </w:r>
      <w:r>
        <w:rPr>
          <w:color w:val="231F20"/>
        </w:rPr>
        <w:t>art.</w:t>
      </w:r>
      <w:r>
        <w:rPr>
          <w:color w:val="231F20"/>
          <w:spacing w:val="-3"/>
        </w:rPr>
        <w:t> </w:t>
      </w:r>
      <w:r>
        <w:rPr>
          <w:color w:val="231F20"/>
        </w:rPr>
        <w:t>20,</w:t>
      </w:r>
      <w:r>
        <w:rPr>
          <w:color w:val="231F20"/>
          <w:spacing w:val="-3"/>
        </w:rPr>
        <w:t> </w:t>
      </w:r>
      <w:r>
        <w:rPr>
          <w:color w:val="231F20"/>
        </w:rPr>
        <w:t>par.</w:t>
      </w:r>
      <w:r>
        <w:rPr>
          <w:color w:val="231F20"/>
          <w:spacing w:val="-3"/>
        </w:rPr>
        <w:t> </w:t>
      </w:r>
      <w:r>
        <w:rPr>
          <w:color w:val="231F20"/>
        </w:rPr>
        <w:t>2.a)</w:t>
      </w:r>
      <w:r>
        <w:rPr>
          <w:color w:val="231F20"/>
          <w:spacing w:val="-3"/>
        </w:rPr>
        <w:t> </w:t>
      </w:r>
      <w:r>
        <w:rPr>
          <w:color w:val="231F20"/>
        </w:rPr>
        <w:t>non opera alcun rinvio ai diritti nazionali per quanto riguarda la definizione del concetto di «identità della persona oggetto della verifica (fiscale)», la quale pertanto deve essere considerata una «nozione autonoma di diritto dell’Unione</w:t>
      </w:r>
      <w:r>
        <w:rPr>
          <w:color w:val="231F20"/>
          <w:spacing w:val="-1"/>
        </w:rPr>
        <w:t> </w:t>
      </w:r>
      <w:r>
        <w:rPr>
          <w:color w:val="231F20"/>
        </w:rPr>
        <w:t>da</w:t>
      </w:r>
      <w:r>
        <w:rPr>
          <w:color w:val="231F20"/>
          <w:spacing w:val="-1"/>
        </w:rPr>
        <w:t> </w:t>
      </w:r>
      <w:r>
        <w:rPr>
          <w:color w:val="231F20"/>
        </w:rPr>
        <w:t>interpretare</w:t>
      </w:r>
      <w:r>
        <w:rPr>
          <w:color w:val="231F20"/>
          <w:spacing w:val="-1"/>
        </w:rPr>
        <w:t> </w:t>
      </w:r>
      <w:r>
        <w:rPr>
          <w:color w:val="231F20"/>
        </w:rPr>
        <w:t>in</w:t>
      </w:r>
      <w:r>
        <w:rPr>
          <w:color w:val="231F20"/>
          <w:spacing w:val="-1"/>
        </w:rPr>
        <w:t> </w:t>
      </w:r>
      <w:r>
        <w:rPr>
          <w:color w:val="231F20"/>
        </w:rPr>
        <w:t>maniera</w:t>
      </w:r>
      <w:r>
        <w:rPr>
          <w:color w:val="231F20"/>
          <w:spacing w:val="-1"/>
        </w:rPr>
        <w:t> </w:t>
      </w:r>
      <w:r>
        <w:rPr>
          <w:color w:val="231F20"/>
        </w:rPr>
        <w:t>uniforme</w:t>
      </w:r>
      <w:r>
        <w:rPr>
          <w:color w:val="231F20"/>
          <w:spacing w:val="-1"/>
        </w:rPr>
        <w:t> </w:t>
      </w:r>
      <w:r>
        <w:rPr>
          <w:color w:val="231F20"/>
        </w:rPr>
        <w:t>nel</w:t>
      </w:r>
      <w:r>
        <w:rPr>
          <w:color w:val="231F20"/>
          <w:spacing w:val="-1"/>
        </w:rPr>
        <w:t> </w:t>
      </w:r>
      <w:r>
        <w:rPr>
          <w:color w:val="231F20"/>
        </w:rPr>
        <w:t>territorio</w:t>
      </w:r>
      <w:r>
        <w:rPr>
          <w:color w:val="231F20"/>
          <w:spacing w:val="-1"/>
        </w:rPr>
        <w:t> </w:t>
      </w:r>
      <w:r>
        <w:rPr>
          <w:color w:val="231F20"/>
        </w:rPr>
        <w:t>di</w:t>
      </w:r>
      <w:r>
        <w:rPr>
          <w:color w:val="231F20"/>
          <w:spacing w:val="-1"/>
        </w:rPr>
        <w:t> </w:t>
      </w:r>
      <w:r>
        <w:rPr>
          <w:color w:val="231F20"/>
        </w:rPr>
        <w:t>quest’ul- tima». Tale termine «identità» va pertanto interpretato nel senso che esso designa «l’insieme dei dati che consentono di individuare una persona senza</w:t>
      </w:r>
      <w:r>
        <w:rPr>
          <w:color w:val="231F20"/>
          <w:spacing w:val="-5"/>
        </w:rPr>
        <w:t> </w:t>
      </w:r>
      <w:r>
        <w:rPr>
          <w:color w:val="231F20"/>
        </w:rPr>
        <w:t>ridursi</w:t>
      </w:r>
      <w:r>
        <w:rPr>
          <w:color w:val="231F20"/>
          <w:spacing w:val="-5"/>
        </w:rPr>
        <w:t> </w:t>
      </w:r>
      <w:r>
        <w:rPr>
          <w:color w:val="231F20"/>
        </w:rPr>
        <w:t>all’identificazione</w:t>
      </w:r>
      <w:r>
        <w:rPr>
          <w:color w:val="231F20"/>
          <w:spacing w:val="-5"/>
        </w:rPr>
        <w:t> </w:t>
      </w:r>
      <w:r>
        <w:rPr>
          <w:color w:val="231F20"/>
        </w:rPr>
        <w:t>individuale</w:t>
      </w:r>
      <w:r>
        <w:rPr>
          <w:color w:val="231F20"/>
          <w:spacing w:val="-5"/>
        </w:rPr>
        <w:t> </w:t>
      </w:r>
      <w:r>
        <w:rPr>
          <w:color w:val="231F20"/>
        </w:rPr>
        <w:t>di</w:t>
      </w:r>
      <w:r>
        <w:rPr>
          <w:color w:val="231F20"/>
          <w:spacing w:val="-5"/>
        </w:rPr>
        <w:t> </w:t>
      </w:r>
      <w:r>
        <w:rPr>
          <w:color w:val="231F20"/>
        </w:rPr>
        <w:t>quest’ultima</w:t>
      </w:r>
      <w:r>
        <w:rPr>
          <w:color w:val="231F20"/>
          <w:spacing w:val="-5"/>
        </w:rPr>
        <w:t> </w:t>
      </w:r>
      <w:r>
        <w:rPr>
          <w:color w:val="231F20"/>
        </w:rPr>
        <w:t>mediante</w:t>
      </w:r>
      <w:r>
        <w:rPr>
          <w:color w:val="231F20"/>
          <w:spacing w:val="-5"/>
        </w:rPr>
        <w:t> </w:t>
      </w:r>
      <w:r>
        <w:rPr>
          <w:color w:val="231F20"/>
        </w:rPr>
        <w:t>il</w:t>
      </w:r>
      <w:r>
        <w:rPr>
          <w:color w:val="231F20"/>
          <w:spacing w:val="-5"/>
        </w:rPr>
        <w:t> </w:t>
      </w:r>
      <w:r>
        <w:rPr>
          <w:color w:val="231F20"/>
        </w:rPr>
        <w:t>suo nome»</w:t>
      </w:r>
      <w:r>
        <w:rPr>
          <w:color w:val="231F20"/>
          <w:position w:val="8"/>
          <w:sz w:val="14"/>
        </w:rPr>
        <w:t>101</w:t>
      </w:r>
      <w:r>
        <w:rPr>
          <w:color w:val="231F20"/>
        </w:rPr>
        <w:t>.</w:t>
      </w:r>
      <w:r>
        <w:rPr>
          <w:color w:val="231F20"/>
          <w:spacing w:val="-2"/>
        </w:rPr>
        <w:t> </w:t>
      </w:r>
      <w:r>
        <w:rPr>
          <w:color w:val="231F20"/>
        </w:rPr>
        <w:t>Questa</w:t>
      </w:r>
      <w:r>
        <w:rPr>
          <w:color w:val="231F20"/>
          <w:spacing w:val="-2"/>
        </w:rPr>
        <w:t> </w:t>
      </w:r>
      <w:r>
        <w:rPr>
          <w:color w:val="231F20"/>
        </w:rPr>
        <w:t>interpretazione</w:t>
      </w:r>
      <w:r>
        <w:rPr>
          <w:color w:val="231F20"/>
          <w:spacing w:val="-2"/>
        </w:rPr>
        <w:t> </w:t>
      </w:r>
      <w:r>
        <w:rPr>
          <w:color w:val="231F20"/>
        </w:rPr>
        <w:t>ampia</w:t>
      </w:r>
      <w:r>
        <w:rPr>
          <w:color w:val="231F20"/>
          <w:spacing w:val="-2"/>
        </w:rPr>
        <w:t> </w:t>
      </w:r>
      <w:r>
        <w:rPr>
          <w:color w:val="231F20"/>
        </w:rPr>
        <w:t>del</w:t>
      </w:r>
      <w:r>
        <w:rPr>
          <w:color w:val="231F20"/>
          <w:spacing w:val="-2"/>
        </w:rPr>
        <w:t> </w:t>
      </w:r>
      <w:r>
        <w:rPr>
          <w:color w:val="231F20"/>
        </w:rPr>
        <w:t>termine</w:t>
      </w:r>
      <w:r>
        <w:rPr>
          <w:color w:val="231F20"/>
          <w:spacing w:val="-2"/>
        </w:rPr>
        <w:t> </w:t>
      </w:r>
      <w:r>
        <w:rPr>
          <w:color w:val="231F20"/>
        </w:rPr>
        <w:t>«identità»</w:t>
      </w:r>
      <w:r>
        <w:rPr>
          <w:color w:val="231F20"/>
          <w:spacing w:val="-2"/>
        </w:rPr>
        <w:t> </w:t>
      </w:r>
      <w:r>
        <w:rPr>
          <w:color w:val="231F20"/>
        </w:rPr>
        <w:t>si</w:t>
      </w:r>
      <w:r>
        <w:rPr>
          <w:color w:val="231F20"/>
          <w:spacing w:val="-2"/>
        </w:rPr>
        <w:t> </w:t>
      </w:r>
      <w:r>
        <w:rPr>
          <w:color w:val="231F20"/>
        </w:rPr>
        <w:t>giustifica con l’esigenza di assicurare l’«effetto utile» dello scambio di informazioni in</w:t>
      </w:r>
      <w:r>
        <w:rPr>
          <w:color w:val="231F20"/>
          <w:spacing w:val="-2"/>
        </w:rPr>
        <w:t> </w:t>
      </w:r>
      <w:r>
        <w:rPr>
          <w:color w:val="231F20"/>
        </w:rPr>
        <w:t>relazione</w:t>
      </w:r>
      <w:r>
        <w:rPr>
          <w:color w:val="231F20"/>
          <w:spacing w:val="-2"/>
        </w:rPr>
        <w:t> </w:t>
      </w:r>
      <w:r>
        <w:rPr>
          <w:color w:val="231F20"/>
        </w:rPr>
        <w:t>all’obiettivo</w:t>
      </w:r>
      <w:r>
        <w:rPr>
          <w:color w:val="231F20"/>
          <w:spacing w:val="-2"/>
        </w:rPr>
        <w:t> </w:t>
      </w:r>
      <w:r>
        <w:rPr>
          <w:color w:val="231F20"/>
        </w:rPr>
        <w:t>che</w:t>
      </w:r>
      <w:r>
        <w:rPr>
          <w:color w:val="231F20"/>
          <w:spacing w:val="-2"/>
        </w:rPr>
        <w:t> </w:t>
      </w:r>
      <w:r>
        <w:rPr>
          <w:color w:val="231F20"/>
        </w:rPr>
        <w:t>tale</w:t>
      </w:r>
      <w:r>
        <w:rPr>
          <w:color w:val="231F20"/>
          <w:spacing w:val="-2"/>
        </w:rPr>
        <w:t> </w:t>
      </w:r>
      <w:r>
        <w:rPr>
          <w:color w:val="231F20"/>
        </w:rPr>
        <w:t>strumento</w:t>
      </w:r>
      <w:r>
        <w:rPr>
          <w:color w:val="231F20"/>
          <w:spacing w:val="-2"/>
        </w:rPr>
        <w:t> </w:t>
      </w:r>
      <w:r>
        <w:rPr>
          <w:color w:val="231F20"/>
        </w:rPr>
        <w:t>di</w:t>
      </w:r>
      <w:r>
        <w:rPr>
          <w:color w:val="231F20"/>
          <w:spacing w:val="-2"/>
        </w:rPr>
        <w:t> </w:t>
      </w:r>
      <w:r>
        <w:rPr>
          <w:color w:val="231F20"/>
        </w:rPr>
        <w:t>cooperazione</w:t>
      </w:r>
      <w:r>
        <w:rPr>
          <w:color w:val="231F20"/>
          <w:spacing w:val="-2"/>
        </w:rPr>
        <w:t> </w:t>
      </w:r>
      <w:r>
        <w:rPr>
          <w:color w:val="231F20"/>
        </w:rPr>
        <w:t>amministrati- va mira a conseguire, vale a dire la lotta contro la frode e l’elusione fiscale transfrontaliere.</w:t>
      </w:r>
      <w:r>
        <w:rPr>
          <w:color w:val="231F20"/>
          <w:spacing w:val="-2"/>
        </w:rPr>
        <w:t> </w:t>
      </w:r>
      <w:r>
        <w:rPr>
          <w:color w:val="231F20"/>
        </w:rPr>
        <w:t>Ne</w:t>
      </w:r>
      <w:r>
        <w:rPr>
          <w:color w:val="231F20"/>
          <w:spacing w:val="-2"/>
        </w:rPr>
        <w:t> </w:t>
      </w:r>
      <w:r>
        <w:rPr>
          <w:color w:val="231F20"/>
        </w:rPr>
        <w:t>consegue</w:t>
      </w:r>
      <w:r>
        <w:rPr>
          <w:color w:val="231F20"/>
          <w:spacing w:val="-2"/>
        </w:rPr>
        <w:t> </w:t>
      </w:r>
      <w:r>
        <w:rPr>
          <w:color w:val="231F20"/>
        </w:rPr>
        <w:t>che</w:t>
      </w:r>
      <w:r>
        <w:rPr>
          <w:color w:val="231F20"/>
          <w:spacing w:val="-2"/>
        </w:rPr>
        <w:t> </w:t>
      </w:r>
      <w:r>
        <w:rPr>
          <w:color w:val="231F20"/>
        </w:rPr>
        <w:t>i</w:t>
      </w:r>
      <w:r>
        <w:rPr>
          <w:color w:val="231F20"/>
          <w:spacing w:val="-2"/>
        </w:rPr>
        <w:t> </w:t>
      </w:r>
      <w:r>
        <w:rPr>
          <w:color w:val="231F20"/>
        </w:rPr>
        <w:t>membri</w:t>
      </w:r>
      <w:r>
        <w:rPr>
          <w:color w:val="231F20"/>
          <w:spacing w:val="-2"/>
        </w:rPr>
        <w:t> </w:t>
      </w:r>
      <w:r>
        <w:rPr>
          <w:color w:val="231F20"/>
        </w:rPr>
        <w:t>di</w:t>
      </w:r>
      <w:r>
        <w:rPr>
          <w:color w:val="231F20"/>
          <w:spacing w:val="-2"/>
        </w:rPr>
        <w:t> </w:t>
      </w:r>
      <w:r>
        <w:rPr>
          <w:color w:val="231F20"/>
        </w:rPr>
        <w:t>«un</w:t>
      </w:r>
      <w:r>
        <w:rPr>
          <w:color w:val="231F20"/>
          <w:spacing w:val="-2"/>
        </w:rPr>
        <w:t> </w:t>
      </w:r>
      <w:r>
        <w:rPr>
          <w:color w:val="231F20"/>
        </w:rPr>
        <w:t>gruppo</w:t>
      </w:r>
      <w:r>
        <w:rPr>
          <w:color w:val="231F20"/>
          <w:spacing w:val="-2"/>
        </w:rPr>
        <w:t> </w:t>
      </w:r>
      <w:r>
        <w:rPr>
          <w:color w:val="231F20"/>
        </w:rPr>
        <w:t>limitato</w:t>
      </w:r>
      <w:r>
        <w:rPr>
          <w:color w:val="231F20"/>
          <w:spacing w:val="-2"/>
        </w:rPr>
        <w:t> </w:t>
      </w:r>
      <w:r>
        <w:rPr>
          <w:color w:val="231F20"/>
        </w:rPr>
        <w:t>di</w:t>
      </w:r>
      <w:r>
        <w:rPr>
          <w:color w:val="231F20"/>
          <w:spacing w:val="-2"/>
        </w:rPr>
        <w:t> </w:t>
      </w:r>
      <w:r>
        <w:rPr>
          <w:color w:val="231F20"/>
        </w:rPr>
        <w:t>per- sone</w:t>
      </w:r>
      <w:r>
        <w:rPr>
          <w:color w:val="231F20"/>
          <w:spacing w:val="-8"/>
        </w:rPr>
        <w:t> </w:t>
      </w:r>
      <w:r>
        <w:rPr>
          <w:color w:val="231F20"/>
        </w:rPr>
        <w:t>sospettate</w:t>
      </w:r>
      <w:r>
        <w:rPr>
          <w:color w:val="231F20"/>
          <w:spacing w:val="-8"/>
        </w:rPr>
        <w:t> </w:t>
      </w:r>
      <w:r>
        <w:rPr>
          <w:color w:val="231F20"/>
        </w:rPr>
        <w:t>di</w:t>
      </w:r>
      <w:r>
        <w:rPr>
          <w:color w:val="231F20"/>
          <w:spacing w:val="-8"/>
        </w:rPr>
        <w:t> </w:t>
      </w:r>
      <w:r>
        <w:rPr>
          <w:color w:val="231F20"/>
        </w:rPr>
        <w:t>aver</w:t>
      </w:r>
      <w:r>
        <w:rPr>
          <w:color w:val="231F20"/>
          <w:spacing w:val="-8"/>
        </w:rPr>
        <w:t> </w:t>
      </w:r>
      <w:r>
        <w:rPr>
          <w:color w:val="231F20"/>
        </w:rPr>
        <w:t>commesso</w:t>
      </w:r>
      <w:r>
        <w:rPr>
          <w:color w:val="231F20"/>
          <w:spacing w:val="-8"/>
        </w:rPr>
        <w:t> </w:t>
      </w:r>
      <w:r>
        <w:rPr>
          <w:color w:val="231F20"/>
        </w:rPr>
        <w:t>la</w:t>
      </w:r>
      <w:r>
        <w:rPr>
          <w:color w:val="231F20"/>
          <w:spacing w:val="-8"/>
        </w:rPr>
        <w:t> </w:t>
      </w:r>
      <w:r>
        <w:rPr>
          <w:color w:val="231F20"/>
        </w:rPr>
        <w:t>violazione»</w:t>
      </w:r>
      <w:r>
        <w:rPr>
          <w:color w:val="231F20"/>
          <w:spacing w:val="-8"/>
        </w:rPr>
        <w:t> </w:t>
      </w:r>
      <w:r>
        <w:rPr>
          <w:color w:val="231F20"/>
        </w:rPr>
        <w:t>della</w:t>
      </w:r>
      <w:r>
        <w:rPr>
          <w:color w:val="231F20"/>
          <w:spacing w:val="-8"/>
        </w:rPr>
        <w:t> </w:t>
      </w:r>
      <w:r>
        <w:rPr>
          <w:color w:val="231F20"/>
        </w:rPr>
        <w:t>legislazione</w:t>
      </w:r>
      <w:r>
        <w:rPr>
          <w:color w:val="231F20"/>
          <w:spacing w:val="-8"/>
        </w:rPr>
        <w:t> </w:t>
      </w:r>
      <w:r>
        <w:rPr>
          <w:color w:val="231F20"/>
        </w:rPr>
        <w:t>tributaria nazionale oggetto dell’indagine dell’amministrazione richiedente, possono essere individuati anche mediante «un insieme comune di qualità e carat- teristiche che li contraddistinguono» quali, nella fattispecie, la circostanza di essere tutti azionisti della stessa società - quella sì – necessariamente e nominativamente indicata</w:t>
      </w:r>
      <w:r>
        <w:rPr>
          <w:color w:val="231F20"/>
          <w:position w:val="8"/>
          <w:sz w:val="14"/>
        </w:rPr>
        <w:t>102</w:t>
      </w:r>
      <w:r>
        <w:rPr>
          <w:color w:val="231F20"/>
        </w:rPr>
        <w:t>.</w:t>
      </w:r>
    </w:p>
    <w:p>
      <w:pPr>
        <w:pStyle w:val="BodyText"/>
        <w:spacing w:line="225" w:lineRule="auto" w:before="33"/>
        <w:ind w:left="157" w:right="118" w:firstLine="340"/>
        <w:jc w:val="both"/>
      </w:pPr>
      <w:r>
        <w:rPr>
          <w:color w:val="231F20"/>
        </w:rPr>
        <w:t>Tale</w:t>
      </w:r>
      <w:r>
        <w:rPr>
          <w:color w:val="231F20"/>
          <w:spacing w:val="-5"/>
        </w:rPr>
        <w:t> </w:t>
      </w:r>
      <w:r>
        <w:rPr>
          <w:color w:val="231F20"/>
        </w:rPr>
        <w:t>facilitazione</w:t>
      </w:r>
      <w:r>
        <w:rPr>
          <w:color w:val="231F20"/>
          <w:spacing w:val="-5"/>
        </w:rPr>
        <w:t> </w:t>
      </w:r>
      <w:r>
        <w:rPr>
          <w:color w:val="231F20"/>
        </w:rPr>
        <w:t>(la</w:t>
      </w:r>
      <w:r>
        <w:rPr>
          <w:color w:val="231F20"/>
          <w:spacing w:val="-5"/>
        </w:rPr>
        <w:t> </w:t>
      </w:r>
      <w:r>
        <w:rPr>
          <w:color w:val="231F20"/>
        </w:rPr>
        <w:t>designazione</w:t>
      </w:r>
      <w:r>
        <w:rPr>
          <w:color w:val="231F20"/>
          <w:spacing w:val="-5"/>
        </w:rPr>
        <w:t> </w:t>
      </w:r>
      <w:r>
        <w:rPr>
          <w:color w:val="231F20"/>
        </w:rPr>
        <w:t>non</w:t>
      </w:r>
      <w:r>
        <w:rPr>
          <w:color w:val="231F20"/>
          <w:spacing w:val="-5"/>
        </w:rPr>
        <w:t> </w:t>
      </w:r>
      <w:r>
        <w:rPr>
          <w:color w:val="231F20"/>
        </w:rPr>
        <w:t>nominativa</w:t>
      </w:r>
      <w:r>
        <w:rPr>
          <w:color w:val="231F20"/>
          <w:spacing w:val="-5"/>
        </w:rPr>
        <w:t> </w:t>
      </w:r>
      <w:r>
        <w:rPr>
          <w:color w:val="231F20"/>
        </w:rPr>
        <w:t>di</w:t>
      </w:r>
      <w:r>
        <w:rPr>
          <w:color w:val="231F20"/>
          <w:spacing w:val="-5"/>
        </w:rPr>
        <w:t> </w:t>
      </w:r>
      <w:r>
        <w:rPr>
          <w:color w:val="231F20"/>
        </w:rPr>
        <w:t>un</w:t>
      </w:r>
      <w:r>
        <w:rPr>
          <w:color w:val="231F20"/>
          <w:spacing w:val="-5"/>
        </w:rPr>
        <w:t> </w:t>
      </w:r>
      <w:r>
        <w:rPr>
          <w:color w:val="231F20"/>
        </w:rPr>
        <w:t>«gruppo</w:t>
      </w:r>
      <w:r>
        <w:rPr>
          <w:color w:val="231F20"/>
          <w:spacing w:val="-5"/>
        </w:rPr>
        <w:t> </w:t>
      </w:r>
      <w:r>
        <w:rPr>
          <w:color w:val="231F20"/>
        </w:rPr>
        <w:t>limi- tato</w:t>
      </w:r>
      <w:r>
        <w:rPr>
          <w:color w:val="231F20"/>
          <w:spacing w:val="-14"/>
        </w:rPr>
        <w:t> </w:t>
      </w:r>
      <w:r>
        <w:rPr>
          <w:color w:val="231F20"/>
        </w:rPr>
        <w:t>di</w:t>
      </w:r>
      <w:r>
        <w:rPr>
          <w:color w:val="231F20"/>
          <w:spacing w:val="-14"/>
        </w:rPr>
        <w:t> </w:t>
      </w:r>
      <w:r>
        <w:rPr>
          <w:color w:val="231F20"/>
        </w:rPr>
        <w:t>persone»)</w:t>
      </w:r>
      <w:r>
        <w:rPr>
          <w:color w:val="231F20"/>
          <w:spacing w:val="-14"/>
        </w:rPr>
        <w:t> </w:t>
      </w:r>
      <w:r>
        <w:rPr>
          <w:color w:val="231F20"/>
        </w:rPr>
        <w:t>concessa</w:t>
      </w:r>
      <w:r>
        <w:rPr>
          <w:color w:val="231F20"/>
          <w:spacing w:val="-14"/>
        </w:rPr>
        <w:t> </w:t>
      </w:r>
      <w:r>
        <w:rPr>
          <w:color w:val="231F20"/>
        </w:rPr>
        <w:t>in</w:t>
      </w:r>
      <w:r>
        <w:rPr>
          <w:color w:val="231F20"/>
          <w:spacing w:val="-14"/>
        </w:rPr>
        <w:t> </w:t>
      </w:r>
      <w:r>
        <w:rPr>
          <w:color w:val="231F20"/>
        </w:rPr>
        <w:t>via</w:t>
      </w:r>
      <w:r>
        <w:rPr>
          <w:color w:val="231F20"/>
          <w:spacing w:val="-14"/>
        </w:rPr>
        <w:t> </w:t>
      </w:r>
      <w:r>
        <w:rPr>
          <w:color w:val="231F20"/>
        </w:rPr>
        <w:t>interpretativa</w:t>
      </w:r>
      <w:r>
        <w:rPr>
          <w:color w:val="231F20"/>
          <w:spacing w:val="-14"/>
        </w:rPr>
        <w:t> </w:t>
      </w:r>
      <w:r>
        <w:rPr>
          <w:color w:val="231F20"/>
        </w:rPr>
        <w:t>dalla</w:t>
      </w:r>
      <w:r>
        <w:rPr>
          <w:color w:val="231F20"/>
          <w:spacing w:val="-14"/>
        </w:rPr>
        <w:t> </w:t>
      </w:r>
      <w:r>
        <w:rPr>
          <w:color w:val="231F20"/>
        </w:rPr>
        <w:t>Corte</w:t>
      </w:r>
      <w:r>
        <w:rPr>
          <w:color w:val="231F20"/>
          <w:spacing w:val="-14"/>
        </w:rPr>
        <w:t> </w:t>
      </w:r>
      <w:r>
        <w:rPr>
          <w:color w:val="231F20"/>
        </w:rPr>
        <w:t>di</w:t>
      </w:r>
      <w:r>
        <w:rPr>
          <w:color w:val="231F20"/>
          <w:spacing w:val="-14"/>
        </w:rPr>
        <w:t> </w:t>
      </w:r>
      <w:r>
        <w:rPr>
          <w:color w:val="231F20"/>
        </w:rPr>
        <w:t>giustizia</w:t>
      </w:r>
      <w:r>
        <w:rPr>
          <w:color w:val="231F20"/>
          <w:spacing w:val="-14"/>
        </w:rPr>
        <w:t> </w:t>
      </w:r>
      <w:r>
        <w:rPr>
          <w:color w:val="231F20"/>
        </w:rPr>
        <w:t>appa- re tuttavia controbilanciata da alcuni più stringenti obblighi imposti dagli stessi giudici dell’Unione all’autorità richiedente, quali l’obbligo di preci- sare</w:t>
      </w:r>
      <w:r>
        <w:rPr>
          <w:color w:val="231F20"/>
          <w:spacing w:val="9"/>
        </w:rPr>
        <w:t> </w:t>
      </w:r>
      <w:r>
        <w:rPr>
          <w:color w:val="231F20"/>
        </w:rPr>
        <w:t>bene</w:t>
      </w:r>
      <w:r>
        <w:rPr>
          <w:color w:val="231F20"/>
          <w:spacing w:val="11"/>
        </w:rPr>
        <w:t> </w:t>
      </w:r>
      <w:r>
        <w:rPr>
          <w:color w:val="231F20"/>
        </w:rPr>
        <w:t>nella</w:t>
      </w:r>
      <w:r>
        <w:rPr>
          <w:color w:val="231F20"/>
          <w:spacing w:val="12"/>
        </w:rPr>
        <w:t> </w:t>
      </w:r>
      <w:r>
        <w:rPr>
          <w:color w:val="231F20"/>
        </w:rPr>
        <w:t>richiesta</w:t>
      </w:r>
      <w:r>
        <w:rPr>
          <w:color w:val="231F20"/>
          <w:spacing w:val="11"/>
        </w:rPr>
        <w:t> </w:t>
      </w:r>
      <w:r>
        <w:rPr>
          <w:color w:val="231F20"/>
        </w:rPr>
        <w:t>di</w:t>
      </w:r>
      <w:r>
        <w:rPr>
          <w:color w:val="231F20"/>
          <w:spacing w:val="12"/>
        </w:rPr>
        <w:t> </w:t>
      </w:r>
      <w:r>
        <w:rPr>
          <w:color w:val="231F20"/>
        </w:rPr>
        <w:t>informazioni:</w:t>
      </w:r>
      <w:r>
        <w:rPr>
          <w:color w:val="231F20"/>
          <w:spacing w:val="11"/>
        </w:rPr>
        <w:t> </w:t>
      </w:r>
      <w:r>
        <w:rPr>
          <w:color w:val="231F20"/>
        </w:rPr>
        <w:t>a)</w:t>
      </w:r>
      <w:r>
        <w:rPr>
          <w:color w:val="231F20"/>
          <w:spacing w:val="53"/>
          <w:w w:val="150"/>
        </w:rPr>
        <w:t> </w:t>
      </w:r>
      <w:r>
        <w:rPr>
          <w:color w:val="231F20"/>
        </w:rPr>
        <w:t>«l’insieme</w:t>
      </w:r>
      <w:r>
        <w:rPr>
          <w:color w:val="231F20"/>
          <w:spacing w:val="12"/>
        </w:rPr>
        <w:t> </w:t>
      </w:r>
      <w:r>
        <w:rPr>
          <w:color w:val="231F20"/>
        </w:rPr>
        <w:t>comune</w:t>
      </w:r>
      <w:r>
        <w:rPr>
          <w:color w:val="231F20"/>
          <w:spacing w:val="11"/>
        </w:rPr>
        <w:t> </w:t>
      </w:r>
      <w:r>
        <w:rPr>
          <w:color w:val="231F20"/>
        </w:rPr>
        <w:t>di</w:t>
      </w:r>
      <w:r>
        <w:rPr>
          <w:color w:val="231F20"/>
          <w:spacing w:val="12"/>
        </w:rPr>
        <w:t> </w:t>
      </w:r>
      <w:r>
        <w:rPr>
          <w:color w:val="231F20"/>
          <w:spacing w:val="-2"/>
        </w:rPr>
        <w:t>qualità</w:t>
      </w:r>
    </w:p>
    <w:p>
      <w:pPr>
        <w:pStyle w:val="BodyText"/>
        <w:spacing w:before="25"/>
        <w:rPr>
          <w:sz w:val="20"/>
        </w:rPr>
      </w:pPr>
      <w:r>
        <w:rPr/>
        <mc:AlternateContent>
          <mc:Choice Requires="wps">
            <w:drawing>
              <wp:anchor distT="0" distB="0" distL="0" distR="0" allowOverlap="1" layoutInCell="1" locked="0" behindDoc="1" simplePos="0" relativeHeight="487630848">
                <wp:simplePos x="0" y="0"/>
                <wp:positionH relativeFrom="page">
                  <wp:posOffset>899999</wp:posOffset>
                </wp:positionH>
                <wp:positionV relativeFrom="paragraph">
                  <wp:posOffset>192827</wp:posOffset>
                </wp:positionV>
                <wp:extent cx="792480" cy="1270"/>
                <wp:effectExtent l="0" t="0" r="0" b="0"/>
                <wp:wrapTopAndBottom/>
                <wp:docPr id="145" name="Graphic 145"/>
                <wp:cNvGraphicFramePr>
                  <a:graphicFrameLocks/>
                </wp:cNvGraphicFramePr>
                <a:graphic>
                  <a:graphicData uri="http://schemas.microsoft.com/office/word/2010/wordprocessingShape">
                    <wps:wsp>
                      <wps:cNvPr id="145" name="Graphic 145"/>
                      <wps:cNvSpPr/>
                      <wps:spPr>
                        <a:xfrm>
                          <a:off x="0" y="0"/>
                          <a:ext cx="792480" cy="1270"/>
                        </a:xfrm>
                        <a:custGeom>
                          <a:avLst/>
                          <a:gdLst/>
                          <a:ahLst/>
                          <a:cxnLst/>
                          <a:rect l="l" t="t" r="r" b="b"/>
                          <a:pathLst>
                            <a:path w="792480" h="0">
                              <a:moveTo>
                                <a:pt x="0" y="0"/>
                              </a:moveTo>
                              <a:lnTo>
                                <a:pt x="791997"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shape style="position:absolute;margin-left:70.866096pt;margin-top:15.1833pt;width:62.4pt;height:.1pt;mso-position-horizontal-relative:page;mso-position-vertical-relative:paragraph;z-index:-15685632;mso-wrap-distance-left:0;mso-wrap-distance-right:0" id="docshape120" coordorigin="1417,304" coordsize="1248,0" path="m1417,304l2665,304e" filled="false" stroked="true" strokeweight=".5pt" strokecolor="#231f20">
                <v:path arrowok="t"/>
                <v:stroke dashstyle="solid"/>
                <w10:wrap type="topAndBottom"/>
              </v:shape>
            </w:pict>
          </mc:Fallback>
        </mc:AlternateContent>
      </w:r>
    </w:p>
    <w:p>
      <w:pPr>
        <w:spacing w:line="235" w:lineRule="exact" w:before="190"/>
        <w:ind w:left="157" w:right="0" w:firstLine="0"/>
        <w:jc w:val="left"/>
        <w:rPr>
          <w:sz w:val="19"/>
        </w:rPr>
      </w:pPr>
      <w:r>
        <w:rPr>
          <w:color w:val="231F20"/>
          <w:position w:val="6"/>
          <w:sz w:val="11"/>
        </w:rPr>
        <w:t>101</w:t>
      </w:r>
      <w:r>
        <w:rPr>
          <w:color w:val="231F20"/>
          <w:spacing w:val="66"/>
          <w:w w:val="150"/>
          <w:position w:val="6"/>
          <w:sz w:val="11"/>
        </w:rPr>
        <w:t> </w:t>
      </w:r>
      <w:r>
        <w:rPr>
          <w:color w:val="231F20"/>
          <w:sz w:val="19"/>
        </w:rPr>
        <w:t>Corte giust. UE, ult. cit., punti da</w:t>
      </w:r>
      <w:r>
        <w:rPr>
          <w:color w:val="231F20"/>
          <w:spacing w:val="1"/>
          <w:sz w:val="19"/>
        </w:rPr>
        <w:t> </w:t>
      </w:r>
      <w:r>
        <w:rPr>
          <w:color w:val="231F20"/>
          <w:sz w:val="19"/>
        </w:rPr>
        <w:t>48 a </w:t>
      </w:r>
      <w:r>
        <w:rPr>
          <w:color w:val="231F20"/>
          <w:spacing w:val="-5"/>
          <w:sz w:val="19"/>
        </w:rPr>
        <w:t>51.</w:t>
      </w:r>
    </w:p>
    <w:p>
      <w:pPr>
        <w:spacing w:line="235" w:lineRule="exact" w:before="0"/>
        <w:ind w:left="157" w:right="0" w:firstLine="0"/>
        <w:jc w:val="left"/>
        <w:rPr>
          <w:sz w:val="19"/>
        </w:rPr>
      </w:pPr>
      <w:r>
        <w:rPr>
          <w:color w:val="231F20"/>
          <w:position w:val="6"/>
          <w:sz w:val="11"/>
        </w:rPr>
        <w:t>102</w:t>
      </w:r>
      <w:r>
        <w:rPr>
          <w:color w:val="231F20"/>
          <w:spacing w:val="66"/>
          <w:w w:val="150"/>
          <w:position w:val="6"/>
          <w:sz w:val="11"/>
        </w:rPr>
        <w:t> </w:t>
      </w:r>
      <w:r>
        <w:rPr>
          <w:color w:val="231F20"/>
          <w:sz w:val="19"/>
        </w:rPr>
        <w:t>Corte giust. UE, ult. cit., punti da</w:t>
      </w:r>
      <w:r>
        <w:rPr>
          <w:color w:val="231F20"/>
          <w:spacing w:val="1"/>
          <w:sz w:val="19"/>
        </w:rPr>
        <w:t> </w:t>
      </w:r>
      <w:r>
        <w:rPr>
          <w:color w:val="231F20"/>
          <w:sz w:val="19"/>
        </w:rPr>
        <w:t>52 a </w:t>
      </w:r>
      <w:r>
        <w:rPr>
          <w:color w:val="231F20"/>
          <w:spacing w:val="-5"/>
          <w:sz w:val="19"/>
        </w:rPr>
        <w:t>62.</w:t>
      </w:r>
    </w:p>
    <w:p>
      <w:pPr>
        <w:spacing w:after="0" w:line="235" w:lineRule="exact"/>
        <w:jc w:val="left"/>
        <w:rPr>
          <w:sz w:val="19"/>
        </w:rPr>
        <w:sectPr>
          <w:pgSz w:w="9640" w:h="13610"/>
          <w:pgMar w:header="0" w:footer="625" w:top="1260" w:bottom="820" w:left="1260" w:right="1240"/>
        </w:sectPr>
      </w:pPr>
    </w:p>
    <w:p>
      <w:pPr>
        <w:pStyle w:val="BodyText"/>
        <w:spacing w:line="225" w:lineRule="auto" w:before="117"/>
        <w:ind w:left="100" w:right="174"/>
        <w:jc w:val="both"/>
      </w:pPr>
      <w:r>
        <w:rPr>
          <w:color w:val="231F20"/>
        </w:rPr>
        <w:t>o caratteristiche distintive» dei contribuenti oggetto di verifica fiscale; </w:t>
      </w:r>
      <w:r>
        <w:rPr>
          <w:color w:val="231F20"/>
        </w:rPr>
        <w:t>b) gli</w:t>
      </w:r>
      <w:r>
        <w:rPr>
          <w:color w:val="231F20"/>
          <w:spacing w:val="-7"/>
        </w:rPr>
        <w:t> </w:t>
      </w:r>
      <w:r>
        <w:rPr>
          <w:color w:val="231F20"/>
        </w:rPr>
        <w:t>obblighi</w:t>
      </w:r>
      <w:r>
        <w:rPr>
          <w:color w:val="231F20"/>
          <w:spacing w:val="-7"/>
        </w:rPr>
        <w:t> </w:t>
      </w:r>
      <w:r>
        <w:rPr>
          <w:color w:val="231F20"/>
        </w:rPr>
        <w:t>tributari</w:t>
      </w:r>
      <w:r>
        <w:rPr>
          <w:color w:val="231F20"/>
          <w:spacing w:val="-7"/>
        </w:rPr>
        <w:t> </w:t>
      </w:r>
      <w:r>
        <w:rPr>
          <w:color w:val="231F20"/>
        </w:rPr>
        <w:t>specifici</w:t>
      </w:r>
      <w:r>
        <w:rPr>
          <w:color w:val="231F20"/>
          <w:spacing w:val="-7"/>
        </w:rPr>
        <w:t> </w:t>
      </w:r>
      <w:r>
        <w:rPr>
          <w:color w:val="231F20"/>
        </w:rPr>
        <w:t>che</w:t>
      </w:r>
      <w:r>
        <w:rPr>
          <w:color w:val="231F20"/>
          <w:spacing w:val="-7"/>
        </w:rPr>
        <w:t> </w:t>
      </w:r>
      <w:r>
        <w:rPr>
          <w:color w:val="231F20"/>
        </w:rPr>
        <w:t>gravano</w:t>
      </w:r>
      <w:r>
        <w:rPr>
          <w:color w:val="231F20"/>
          <w:spacing w:val="-7"/>
        </w:rPr>
        <w:t> </w:t>
      </w:r>
      <w:r>
        <w:rPr>
          <w:color w:val="231F20"/>
        </w:rPr>
        <w:t>su</w:t>
      </w:r>
      <w:r>
        <w:rPr>
          <w:color w:val="231F20"/>
          <w:spacing w:val="-7"/>
        </w:rPr>
        <w:t> </w:t>
      </w:r>
      <w:r>
        <w:rPr>
          <w:color w:val="231F20"/>
        </w:rPr>
        <w:t>tali</w:t>
      </w:r>
      <w:r>
        <w:rPr>
          <w:color w:val="231F20"/>
          <w:spacing w:val="-7"/>
        </w:rPr>
        <w:t> </w:t>
      </w:r>
      <w:r>
        <w:rPr>
          <w:color w:val="231F20"/>
        </w:rPr>
        <w:t>contribuenti;</w:t>
      </w:r>
      <w:r>
        <w:rPr>
          <w:color w:val="231F20"/>
          <w:spacing w:val="-7"/>
        </w:rPr>
        <w:t> </w:t>
      </w:r>
      <w:r>
        <w:rPr>
          <w:color w:val="231F20"/>
        </w:rPr>
        <w:t>c)</w:t>
      </w:r>
      <w:r>
        <w:rPr>
          <w:color w:val="231F20"/>
          <w:spacing w:val="-7"/>
        </w:rPr>
        <w:t> </w:t>
      </w:r>
      <w:r>
        <w:rPr>
          <w:color w:val="231F20"/>
        </w:rPr>
        <w:t>le</w:t>
      </w:r>
      <w:r>
        <w:rPr>
          <w:color w:val="231F20"/>
          <w:spacing w:val="-7"/>
        </w:rPr>
        <w:t> </w:t>
      </w:r>
      <w:r>
        <w:rPr>
          <w:color w:val="231F20"/>
        </w:rPr>
        <w:t>ragioni per le quali i medesimi contribuenti sono sospettati di aver commesso le violazioni oggetto della verifica fiscale</w:t>
      </w:r>
      <w:r>
        <w:rPr>
          <w:color w:val="231F20"/>
          <w:position w:val="8"/>
          <w:sz w:val="14"/>
        </w:rPr>
        <w:t>103</w:t>
      </w:r>
      <w:r>
        <w:rPr>
          <w:color w:val="231F20"/>
        </w:rPr>
        <w:t>. Ed infine la Corte di giustizia ha rilevato</w:t>
      </w:r>
      <w:r>
        <w:rPr>
          <w:color w:val="231F20"/>
          <w:spacing w:val="-13"/>
        </w:rPr>
        <w:t> </w:t>
      </w:r>
      <w:r>
        <w:rPr>
          <w:color w:val="231F20"/>
        </w:rPr>
        <w:t>che</w:t>
      </w:r>
      <w:r>
        <w:rPr>
          <w:color w:val="231F20"/>
          <w:spacing w:val="-13"/>
        </w:rPr>
        <w:t> </w:t>
      </w:r>
      <w:r>
        <w:rPr>
          <w:color w:val="231F20"/>
        </w:rPr>
        <w:t>tale</w:t>
      </w:r>
      <w:r>
        <w:rPr>
          <w:color w:val="231F20"/>
          <w:spacing w:val="-13"/>
        </w:rPr>
        <w:t> </w:t>
      </w:r>
      <w:r>
        <w:rPr>
          <w:color w:val="231F20"/>
        </w:rPr>
        <w:t>interpretazione</w:t>
      </w:r>
      <w:r>
        <w:rPr>
          <w:color w:val="231F20"/>
          <w:spacing w:val="-13"/>
        </w:rPr>
        <w:t> </w:t>
      </w:r>
      <w:r>
        <w:rPr>
          <w:color w:val="231F20"/>
        </w:rPr>
        <w:t>degli</w:t>
      </w:r>
      <w:r>
        <w:rPr>
          <w:color w:val="231F20"/>
          <w:spacing w:val="-13"/>
        </w:rPr>
        <w:t> </w:t>
      </w:r>
      <w:r>
        <w:rPr>
          <w:color w:val="231F20"/>
        </w:rPr>
        <w:t>artt.</w:t>
      </w:r>
      <w:r>
        <w:rPr>
          <w:color w:val="231F20"/>
          <w:spacing w:val="-13"/>
        </w:rPr>
        <w:t> </w:t>
      </w:r>
      <w:r>
        <w:rPr>
          <w:color w:val="231F20"/>
        </w:rPr>
        <w:t>1,</w:t>
      </w:r>
      <w:r>
        <w:rPr>
          <w:color w:val="231F20"/>
          <w:spacing w:val="-13"/>
        </w:rPr>
        <w:t> </w:t>
      </w:r>
      <w:r>
        <w:rPr>
          <w:color w:val="231F20"/>
        </w:rPr>
        <w:t>5</w:t>
      </w:r>
      <w:r>
        <w:rPr>
          <w:color w:val="231F20"/>
          <w:spacing w:val="-13"/>
        </w:rPr>
        <w:t> </w:t>
      </w:r>
      <w:r>
        <w:rPr>
          <w:color w:val="231F20"/>
        </w:rPr>
        <w:t>e</w:t>
      </w:r>
      <w:r>
        <w:rPr>
          <w:color w:val="231F20"/>
          <w:spacing w:val="-13"/>
        </w:rPr>
        <w:t> </w:t>
      </w:r>
      <w:r>
        <w:rPr>
          <w:color w:val="231F20"/>
        </w:rPr>
        <w:t>20</w:t>
      </w:r>
      <w:r>
        <w:rPr>
          <w:color w:val="231F20"/>
          <w:spacing w:val="-13"/>
        </w:rPr>
        <w:t> </w:t>
      </w:r>
      <w:r>
        <w:rPr>
          <w:color w:val="231F20"/>
        </w:rPr>
        <w:t>della</w:t>
      </w:r>
      <w:r>
        <w:rPr>
          <w:color w:val="231F20"/>
          <w:spacing w:val="-13"/>
        </w:rPr>
        <w:t> </w:t>
      </w:r>
      <w:r>
        <w:rPr>
          <w:color w:val="231F20"/>
        </w:rPr>
        <w:t>direttiva</w:t>
      </w:r>
      <w:r>
        <w:rPr>
          <w:color w:val="231F20"/>
          <w:spacing w:val="-13"/>
        </w:rPr>
        <w:t> </w:t>
      </w:r>
      <w:r>
        <w:rPr>
          <w:color w:val="231F20"/>
        </w:rPr>
        <w:t>2011/16/ UE</w:t>
      </w:r>
      <w:r>
        <w:rPr>
          <w:color w:val="231F20"/>
          <w:spacing w:val="-11"/>
        </w:rPr>
        <w:t> </w:t>
      </w:r>
      <w:r>
        <w:rPr>
          <w:color w:val="231F20"/>
        </w:rPr>
        <w:t>corrisponde</w:t>
      </w:r>
      <w:r>
        <w:rPr>
          <w:color w:val="231F20"/>
          <w:spacing w:val="-11"/>
        </w:rPr>
        <w:t> </w:t>
      </w:r>
      <w:r>
        <w:rPr>
          <w:color w:val="231F20"/>
        </w:rPr>
        <w:t>alla</w:t>
      </w:r>
      <w:r>
        <w:rPr>
          <w:color w:val="231F20"/>
          <w:spacing w:val="-11"/>
        </w:rPr>
        <w:t> </w:t>
      </w:r>
      <w:r>
        <w:rPr>
          <w:color w:val="231F20"/>
        </w:rPr>
        <w:t>nozione</w:t>
      </w:r>
      <w:r>
        <w:rPr>
          <w:color w:val="231F20"/>
          <w:spacing w:val="-11"/>
        </w:rPr>
        <w:t> </w:t>
      </w:r>
      <w:r>
        <w:rPr>
          <w:color w:val="231F20"/>
        </w:rPr>
        <w:t>di</w:t>
      </w:r>
      <w:r>
        <w:rPr>
          <w:color w:val="231F20"/>
          <w:spacing w:val="-11"/>
        </w:rPr>
        <w:t> </w:t>
      </w:r>
      <w:r>
        <w:rPr>
          <w:color w:val="231F20"/>
        </w:rPr>
        <w:t>«prevedibile</w:t>
      </w:r>
      <w:r>
        <w:rPr>
          <w:color w:val="231F20"/>
          <w:spacing w:val="-11"/>
        </w:rPr>
        <w:t> </w:t>
      </w:r>
      <w:r>
        <w:rPr>
          <w:color w:val="231F20"/>
        </w:rPr>
        <w:t>pertinenza»</w:t>
      </w:r>
      <w:r>
        <w:rPr>
          <w:color w:val="231F20"/>
          <w:spacing w:val="-11"/>
        </w:rPr>
        <w:t> </w:t>
      </w:r>
      <w:r>
        <w:rPr>
          <w:color w:val="231F20"/>
        </w:rPr>
        <w:t>delle</w:t>
      </w:r>
      <w:r>
        <w:rPr>
          <w:color w:val="231F20"/>
          <w:spacing w:val="-11"/>
        </w:rPr>
        <w:t> </w:t>
      </w:r>
      <w:r>
        <w:rPr>
          <w:color w:val="231F20"/>
        </w:rPr>
        <w:t>informazioni richieste utilizzata all’art. 26, par. 1, del modello di convenzione fiscale dell’OCSE sul reddito e sul patrimonio</w:t>
      </w:r>
      <w:r>
        <w:rPr>
          <w:color w:val="231F20"/>
          <w:position w:val="8"/>
          <w:sz w:val="14"/>
        </w:rPr>
        <w:t>104</w:t>
      </w:r>
      <w:r>
        <w:rPr>
          <w:color w:val="231F20"/>
        </w:rPr>
        <w:t>.</w:t>
      </w:r>
    </w:p>
    <w:p>
      <w:pPr>
        <w:pStyle w:val="BodyText"/>
        <w:spacing w:before="41"/>
      </w:pPr>
    </w:p>
    <w:p>
      <w:pPr>
        <w:pStyle w:val="ListParagraph"/>
        <w:numPr>
          <w:ilvl w:val="2"/>
          <w:numId w:val="4"/>
        </w:numPr>
        <w:tabs>
          <w:tab w:pos="700" w:val="left" w:leader="none"/>
        </w:tabs>
        <w:spacing w:line="230" w:lineRule="auto" w:before="0" w:after="0"/>
        <w:ind w:left="100" w:right="418" w:firstLine="0"/>
        <w:jc w:val="left"/>
        <w:rPr>
          <w:i/>
          <w:sz w:val="24"/>
        </w:rPr>
      </w:pPr>
      <w:r>
        <w:rPr>
          <w:i/>
          <w:color w:val="231F20"/>
          <w:sz w:val="24"/>
        </w:rPr>
        <w:t>Diritto</w:t>
      </w:r>
      <w:r>
        <w:rPr>
          <w:i/>
          <w:color w:val="231F20"/>
          <w:spacing w:val="-4"/>
          <w:sz w:val="24"/>
        </w:rPr>
        <w:t> </w:t>
      </w:r>
      <w:r>
        <w:rPr>
          <w:i/>
          <w:color w:val="231F20"/>
          <w:sz w:val="24"/>
        </w:rPr>
        <w:t>del</w:t>
      </w:r>
      <w:r>
        <w:rPr>
          <w:i/>
          <w:color w:val="231F20"/>
          <w:spacing w:val="-4"/>
          <w:sz w:val="24"/>
        </w:rPr>
        <w:t> </w:t>
      </w:r>
      <w:r>
        <w:rPr>
          <w:i/>
          <w:color w:val="231F20"/>
          <w:sz w:val="24"/>
        </w:rPr>
        <w:t>detentore</w:t>
      </w:r>
      <w:r>
        <w:rPr>
          <w:i/>
          <w:color w:val="231F20"/>
          <w:spacing w:val="-4"/>
          <w:sz w:val="24"/>
        </w:rPr>
        <w:t> </w:t>
      </w:r>
      <w:r>
        <w:rPr>
          <w:i/>
          <w:color w:val="231F20"/>
          <w:sz w:val="24"/>
        </w:rPr>
        <w:t>di</w:t>
      </w:r>
      <w:r>
        <w:rPr>
          <w:i/>
          <w:color w:val="231F20"/>
          <w:spacing w:val="-4"/>
          <w:sz w:val="24"/>
        </w:rPr>
        <w:t> </w:t>
      </w:r>
      <w:r>
        <w:rPr>
          <w:i/>
          <w:color w:val="231F20"/>
          <w:sz w:val="24"/>
        </w:rPr>
        <w:t>informazioni</w:t>
      </w:r>
      <w:r>
        <w:rPr>
          <w:i/>
          <w:color w:val="231F20"/>
          <w:spacing w:val="-4"/>
          <w:sz w:val="24"/>
        </w:rPr>
        <w:t> </w:t>
      </w:r>
      <w:r>
        <w:rPr>
          <w:i/>
          <w:color w:val="231F20"/>
          <w:sz w:val="24"/>
        </w:rPr>
        <w:t>ad</w:t>
      </w:r>
      <w:r>
        <w:rPr>
          <w:i/>
          <w:color w:val="231F20"/>
          <w:spacing w:val="-4"/>
          <w:sz w:val="24"/>
        </w:rPr>
        <w:t> </w:t>
      </w:r>
      <w:r>
        <w:rPr>
          <w:i/>
          <w:color w:val="231F20"/>
          <w:sz w:val="24"/>
        </w:rPr>
        <w:t>un</w:t>
      </w:r>
      <w:r>
        <w:rPr>
          <w:i/>
          <w:color w:val="231F20"/>
          <w:spacing w:val="-4"/>
          <w:sz w:val="24"/>
        </w:rPr>
        <w:t> </w:t>
      </w:r>
      <w:r>
        <w:rPr>
          <w:i/>
          <w:color w:val="231F20"/>
          <w:sz w:val="24"/>
        </w:rPr>
        <w:t>termine</w:t>
      </w:r>
      <w:r>
        <w:rPr>
          <w:i/>
          <w:color w:val="231F20"/>
          <w:spacing w:val="-4"/>
          <w:sz w:val="24"/>
        </w:rPr>
        <w:t> </w:t>
      </w:r>
      <w:r>
        <w:rPr>
          <w:i/>
          <w:color w:val="231F20"/>
          <w:sz w:val="24"/>
        </w:rPr>
        <w:t>sospensivo</w:t>
      </w:r>
      <w:r>
        <w:rPr>
          <w:i/>
          <w:color w:val="231F20"/>
          <w:spacing w:val="-4"/>
          <w:sz w:val="24"/>
        </w:rPr>
        <w:t> </w:t>
      </w:r>
      <w:r>
        <w:rPr>
          <w:i/>
          <w:color w:val="231F20"/>
          <w:sz w:val="24"/>
        </w:rPr>
        <w:t>per</w:t>
      </w:r>
      <w:r>
        <w:rPr>
          <w:i/>
          <w:color w:val="231F20"/>
          <w:spacing w:val="-4"/>
          <w:sz w:val="24"/>
        </w:rPr>
        <w:t> </w:t>
      </w:r>
      <w:r>
        <w:rPr>
          <w:i/>
          <w:color w:val="231F20"/>
          <w:sz w:val="24"/>
        </w:rPr>
        <w:t>il</w:t>
      </w:r>
      <w:r>
        <w:rPr>
          <w:i/>
          <w:color w:val="231F20"/>
          <w:sz w:val="24"/>
        </w:rPr>
        <w:t> pagamento della sanzione</w:t>
      </w:r>
    </w:p>
    <w:p>
      <w:pPr>
        <w:pStyle w:val="BodyText"/>
        <w:spacing w:line="225" w:lineRule="auto" w:before="172"/>
        <w:ind w:left="100" w:right="172"/>
        <w:jc w:val="both"/>
      </w:pPr>
      <w:r>
        <w:rPr>
          <w:color w:val="231F20"/>
        </w:rPr>
        <w:t>Dopo</w:t>
      </w:r>
      <w:r>
        <w:rPr>
          <w:color w:val="231F20"/>
          <w:spacing w:val="16"/>
        </w:rPr>
        <w:t> </w:t>
      </w:r>
      <w:r>
        <w:rPr>
          <w:color w:val="231F20"/>
        </w:rPr>
        <w:t>aver</w:t>
      </w:r>
      <w:r>
        <w:rPr>
          <w:color w:val="231F20"/>
          <w:spacing w:val="16"/>
        </w:rPr>
        <w:t> </w:t>
      </w:r>
      <w:r>
        <w:rPr>
          <w:color w:val="231F20"/>
        </w:rPr>
        <w:t>risolto</w:t>
      </w:r>
      <w:r>
        <w:rPr>
          <w:color w:val="231F20"/>
          <w:spacing w:val="16"/>
        </w:rPr>
        <w:t> </w:t>
      </w:r>
      <w:r>
        <w:rPr>
          <w:color w:val="231F20"/>
        </w:rPr>
        <w:t>i</w:t>
      </w:r>
      <w:r>
        <w:rPr>
          <w:color w:val="231F20"/>
          <w:spacing w:val="16"/>
        </w:rPr>
        <w:t> </w:t>
      </w:r>
      <w:r>
        <w:rPr>
          <w:color w:val="231F20"/>
        </w:rPr>
        <w:t>problemi</w:t>
      </w:r>
      <w:r>
        <w:rPr>
          <w:color w:val="231F20"/>
          <w:spacing w:val="16"/>
        </w:rPr>
        <w:t> </w:t>
      </w:r>
      <w:r>
        <w:rPr>
          <w:color w:val="231F20"/>
        </w:rPr>
        <w:t>interpretativi</w:t>
      </w:r>
      <w:r>
        <w:rPr>
          <w:color w:val="231F20"/>
          <w:spacing w:val="16"/>
        </w:rPr>
        <w:t> </w:t>
      </w:r>
      <w:r>
        <w:rPr>
          <w:color w:val="231F20"/>
        </w:rPr>
        <w:t>«a</w:t>
      </w:r>
      <w:r>
        <w:rPr>
          <w:color w:val="231F20"/>
          <w:spacing w:val="16"/>
        </w:rPr>
        <w:t> </w:t>
      </w:r>
      <w:r>
        <w:rPr>
          <w:color w:val="231F20"/>
        </w:rPr>
        <w:t>monte»</w:t>
      </w:r>
      <w:r>
        <w:rPr>
          <w:color w:val="231F20"/>
          <w:spacing w:val="16"/>
        </w:rPr>
        <w:t> </w:t>
      </w:r>
      <w:r>
        <w:rPr>
          <w:color w:val="231F20"/>
        </w:rPr>
        <w:t>del</w:t>
      </w:r>
      <w:r>
        <w:rPr>
          <w:color w:val="231F20"/>
          <w:spacing w:val="16"/>
        </w:rPr>
        <w:t> </w:t>
      </w:r>
      <w:r>
        <w:rPr>
          <w:color w:val="231F20"/>
        </w:rPr>
        <w:t>processo</w:t>
      </w:r>
      <w:r>
        <w:rPr>
          <w:color w:val="231F20"/>
          <w:spacing w:val="16"/>
        </w:rPr>
        <w:t> </w:t>
      </w:r>
      <w:r>
        <w:rPr>
          <w:i/>
          <w:color w:val="231F20"/>
        </w:rPr>
        <w:t>a</w:t>
      </w:r>
      <w:r>
        <w:rPr>
          <w:i/>
          <w:color w:val="231F20"/>
          <w:spacing w:val="16"/>
        </w:rPr>
        <w:t> </w:t>
      </w:r>
      <w:r>
        <w:rPr>
          <w:i/>
          <w:color w:val="231F20"/>
        </w:rPr>
        <w:t>quo</w:t>
      </w:r>
      <w:r>
        <w:rPr>
          <w:i/>
          <w:color w:val="231F20"/>
        </w:rPr>
        <w:t> </w:t>
      </w:r>
      <w:r>
        <w:rPr>
          <w:color w:val="231F20"/>
        </w:rPr>
        <w:t>e afferenti da un lato, all’identificazione delle persone oggetto di accerta- menti tributari nello Stato membro dell’autorità richiedente e dall’altro, alla conseguente legittimità della richiesta di informazioni trasmessa da quest’ultima</w:t>
      </w:r>
      <w:r>
        <w:rPr>
          <w:color w:val="231F20"/>
          <w:spacing w:val="40"/>
        </w:rPr>
        <w:t> </w:t>
      </w:r>
      <w:r>
        <w:rPr>
          <w:color w:val="231F20"/>
        </w:rPr>
        <w:t>all’autorità</w:t>
      </w:r>
      <w:r>
        <w:rPr>
          <w:color w:val="231F20"/>
          <w:spacing w:val="40"/>
        </w:rPr>
        <w:t> </w:t>
      </w:r>
      <w:r>
        <w:rPr>
          <w:color w:val="231F20"/>
        </w:rPr>
        <w:t>interpellata,</w:t>
      </w:r>
      <w:r>
        <w:rPr>
          <w:color w:val="231F20"/>
          <w:spacing w:val="40"/>
        </w:rPr>
        <w:t> </w:t>
      </w:r>
      <w:r>
        <w:rPr>
          <w:color w:val="231F20"/>
        </w:rPr>
        <w:t>la</w:t>
      </w:r>
      <w:r>
        <w:rPr>
          <w:color w:val="231F20"/>
          <w:spacing w:val="40"/>
        </w:rPr>
        <w:t> </w:t>
      </w:r>
      <w:r>
        <w:rPr>
          <w:color w:val="231F20"/>
        </w:rPr>
        <w:t>Corte</w:t>
      </w:r>
      <w:r>
        <w:rPr>
          <w:color w:val="231F20"/>
          <w:spacing w:val="40"/>
        </w:rPr>
        <w:t> </w:t>
      </w:r>
      <w:r>
        <w:rPr>
          <w:color w:val="231F20"/>
        </w:rPr>
        <w:t>di</w:t>
      </w:r>
      <w:r>
        <w:rPr>
          <w:color w:val="231F20"/>
          <w:spacing w:val="40"/>
        </w:rPr>
        <w:t> </w:t>
      </w:r>
      <w:r>
        <w:rPr>
          <w:color w:val="231F20"/>
        </w:rPr>
        <w:t>giustizia,</w:t>
      </w:r>
      <w:r>
        <w:rPr>
          <w:color w:val="231F20"/>
          <w:spacing w:val="40"/>
        </w:rPr>
        <w:t> </w:t>
      </w:r>
      <w:r>
        <w:rPr>
          <w:color w:val="231F20"/>
        </w:rPr>
        <w:t>nella</w:t>
      </w:r>
      <w:r>
        <w:rPr>
          <w:color w:val="231F20"/>
          <w:spacing w:val="40"/>
        </w:rPr>
        <w:t> </w:t>
      </w:r>
      <w:r>
        <w:rPr>
          <w:color w:val="231F20"/>
        </w:rPr>
        <w:t>secon- da parte della sentenza del 25 novembre 2021, causa C-437/19 in esa-</w:t>
      </w:r>
      <w:r>
        <w:rPr>
          <w:color w:val="231F20"/>
          <w:spacing w:val="40"/>
        </w:rPr>
        <w:t> </w:t>
      </w:r>
      <w:r>
        <w:rPr>
          <w:color w:val="231F20"/>
        </w:rPr>
        <w:t>me, ha affrontato il problema «a valle» del diritto del soggetto detentore delle</w:t>
      </w:r>
      <w:r>
        <w:rPr>
          <w:color w:val="231F20"/>
          <w:spacing w:val="38"/>
        </w:rPr>
        <w:t> </w:t>
      </w:r>
      <w:r>
        <w:rPr>
          <w:color w:val="231F20"/>
        </w:rPr>
        <w:t>informazioni</w:t>
      </w:r>
      <w:r>
        <w:rPr>
          <w:color w:val="231F20"/>
          <w:spacing w:val="38"/>
        </w:rPr>
        <w:t> </w:t>
      </w:r>
      <w:r>
        <w:rPr>
          <w:color w:val="231F20"/>
        </w:rPr>
        <w:t>di</w:t>
      </w:r>
      <w:r>
        <w:rPr>
          <w:color w:val="231F20"/>
          <w:spacing w:val="38"/>
        </w:rPr>
        <w:t> </w:t>
      </w:r>
      <w:r>
        <w:rPr>
          <w:color w:val="231F20"/>
        </w:rPr>
        <w:t>vedersi</w:t>
      </w:r>
      <w:r>
        <w:rPr>
          <w:color w:val="231F20"/>
          <w:spacing w:val="38"/>
        </w:rPr>
        <w:t> </w:t>
      </w:r>
      <w:r>
        <w:rPr>
          <w:color w:val="231F20"/>
        </w:rPr>
        <w:t>concesso</w:t>
      </w:r>
      <w:r>
        <w:rPr>
          <w:color w:val="231F20"/>
          <w:spacing w:val="38"/>
        </w:rPr>
        <w:t> </w:t>
      </w:r>
      <w:r>
        <w:rPr>
          <w:color w:val="231F20"/>
        </w:rPr>
        <w:t>dal</w:t>
      </w:r>
      <w:r>
        <w:rPr>
          <w:color w:val="231F20"/>
          <w:spacing w:val="38"/>
        </w:rPr>
        <w:t> </w:t>
      </w:r>
      <w:r>
        <w:rPr>
          <w:color w:val="231F20"/>
        </w:rPr>
        <w:t>giudice</w:t>
      </w:r>
      <w:r>
        <w:rPr>
          <w:color w:val="231F20"/>
          <w:spacing w:val="38"/>
        </w:rPr>
        <w:t> </w:t>
      </w:r>
      <w:r>
        <w:rPr>
          <w:color w:val="231F20"/>
        </w:rPr>
        <w:t>di</w:t>
      </w:r>
      <w:r>
        <w:rPr>
          <w:color w:val="231F20"/>
          <w:spacing w:val="38"/>
        </w:rPr>
        <w:t> </w:t>
      </w:r>
      <w:r>
        <w:rPr>
          <w:color w:val="231F20"/>
        </w:rPr>
        <w:t>rinvio</w:t>
      </w:r>
      <w:r>
        <w:rPr>
          <w:color w:val="231F20"/>
          <w:spacing w:val="38"/>
        </w:rPr>
        <w:t> </w:t>
      </w:r>
      <w:r>
        <w:rPr>
          <w:color w:val="231F20"/>
        </w:rPr>
        <w:t>un</w:t>
      </w:r>
      <w:r>
        <w:rPr>
          <w:color w:val="231F20"/>
          <w:spacing w:val="38"/>
        </w:rPr>
        <w:t> </w:t>
      </w:r>
      <w:r>
        <w:rPr>
          <w:color w:val="231F20"/>
        </w:rPr>
        <w:t>«termi- ne sospensivo» per il pagamento della sanzione che gli era stata irrogata dall’autorità interpellata, al fine di ottemperare all’ingiunzione di fornire all’autorità medesima le informazioni da questa richieste. Al riguardo, i giudici dell’Unione hanno in primo luogo ricordato che nella precedente sentenza</w:t>
      </w:r>
      <w:r>
        <w:rPr>
          <w:color w:val="231F20"/>
          <w:spacing w:val="27"/>
        </w:rPr>
        <w:t> </w:t>
      </w:r>
      <w:r>
        <w:rPr>
          <w:color w:val="231F20"/>
        </w:rPr>
        <w:t>del</w:t>
      </w:r>
      <w:r>
        <w:rPr>
          <w:color w:val="231F20"/>
          <w:spacing w:val="27"/>
        </w:rPr>
        <w:t> </w:t>
      </w:r>
      <w:r>
        <w:rPr>
          <w:color w:val="231F20"/>
        </w:rPr>
        <w:t>6</w:t>
      </w:r>
      <w:r>
        <w:rPr>
          <w:color w:val="231F20"/>
          <w:spacing w:val="27"/>
        </w:rPr>
        <w:t> </w:t>
      </w:r>
      <w:r>
        <w:rPr>
          <w:color w:val="231F20"/>
        </w:rPr>
        <w:t>ottobre</w:t>
      </w:r>
      <w:r>
        <w:rPr>
          <w:color w:val="231F20"/>
          <w:spacing w:val="27"/>
        </w:rPr>
        <w:t> </w:t>
      </w:r>
      <w:r>
        <w:rPr>
          <w:color w:val="231F20"/>
        </w:rPr>
        <w:t>2020,</w:t>
      </w:r>
      <w:r>
        <w:rPr>
          <w:color w:val="231F20"/>
          <w:spacing w:val="27"/>
        </w:rPr>
        <w:t> </w:t>
      </w:r>
      <w:r>
        <w:rPr>
          <w:color w:val="231F20"/>
        </w:rPr>
        <w:t>causa</w:t>
      </w:r>
      <w:r>
        <w:rPr>
          <w:color w:val="231F20"/>
          <w:spacing w:val="27"/>
        </w:rPr>
        <w:t> </w:t>
      </w:r>
      <w:r>
        <w:rPr>
          <w:color w:val="231F20"/>
        </w:rPr>
        <w:t>C-245/19</w:t>
      </w:r>
      <w:r>
        <w:rPr>
          <w:color w:val="231F20"/>
          <w:spacing w:val="27"/>
        </w:rPr>
        <w:t> </w:t>
      </w:r>
      <w:r>
        <w:rPr>
          <w:color w:val="231F20"/>
        </w:rPr>
        <w:t>essi</w:t>
      </w:r>
      <w:r>
        <w:rPr>
          <w:color w:val="231F20"/>
          <w:spacing w:val="27"/>
        </w:rPr>
        <w:t> </w:t>
      </w:r>
      <w:r>
        <w:rPr>
          <w:color w:val="231F20"/>
        </w:rPr>
        <w:t>avevano</w:t>
      </w:r>
      <w:r>
        <w:rPr>
          <w:color w:val="231F20"/>
          <w:spacing w:val="27"/>
        </w:rPr>
        <w:t> </w:t>
      </w:r>
      <w:r>
        <w:rPr>
          <w:color w:val="231F20"/>
        </w:rPr>
        <w:t>già</w:t>
      </w:r>
      <w:r>
        <w:rPr>
          <w:color w:val="231F20"/>
          <w:spacing w:val="27"/>
        </w:rPr>
        <w:t> </w:t>
      </w:r>
      <w:r>
        <w:rPr>
          <w:color w:val="231F20"/>
        </w:rPr>
        <w:t>constata- to l’incompatibilità con il diritto fondamentale ad un ricorso effettivo garantito dall’art. 47 della Carta, della norma di legge lussemburghese</w:t>
      </w:r>
      <w:r>
        <w:rPr>
          <w:color w:val="231F20"/>
          <w:spacing w:val="80"/>
        </w:rPr>
        <w:t> </w:t>
      </w:r>
      <w:r>
        <w:rPr>
          <w:color w:val="231F20"/>
        </w:rPr>
        <w:t>che escludendo l’impugnabilità della decisione di ingiunzione, costrin- geva il detentore delle informazioni richieste dall’autorità interpellata a rifiutare</w:t>
      </w:r>
      <w:r>
        <w:rPr>
          <w:color w:val="231F20"/>
          <w:spacing w:val="32"/>
        </w:rPr>
        <w:t> </w:t>
      </w:r>
      <w:r>
        <w:rPr>
          <w:color w:val="231F20"/>
        </w:rPr>
        <w:t>di</w:t>
      </w:r>
      <w:r>
        <w:rPr>
          <w:color w:val="231F20"/>
          <w:spacing w:val="33"/>
        </w:rPr>
        <w:t> </w:t>
      </w:r>
      <w:r>
        <w:rPr>
          <w:color w:val="231F20"/>
        </w:rPr>
        <w:t>ottemperare</w:t>
      </w:r>
      <w:r>
        <w:rPr>
          <w:color w:val="231F20"/>
          <w:spacing w:val="33"/>
        </w:rPr>
        <w:t> </w:t>
      </w:r>
      <w:r>
        <w:rPr>
          <w:color w:val="231F20"/>
        </w:rPr>
        <w:t>alla</w:t>
      </w:r>
      <w:r>
        <w:rPr>
          <w:color w:val="231F20"/>
          <w:spacing w:val="33"/>
        </w:rPr>
        <w:t> </w:t>
      </w:r>
      <w:r>
        <w:rPr>
          <w:color w:val="231F20"/>
        </w:rPr>
        <w:t>suddetta</w:t>
      </w:r>
      <w:r>
        <w:rPr>
          <w:color w:val="231F20"/>
          <w:spacing w:val="33"/>
        </w:rPr>
        <w:t> </w:t>
      </w:r>
      <w:r>
        <w:rPr>
          <w:color w:val="231F20"/>
        </w:rPr>
        <w:t>decisione</w:t>
      </w:r>
      <w:r>
        <w:rPr>
          <w:color w:val="231F20"/>
          <w:spacing w:val="33"/>
        </w:rPr>
        <w:t> </w:t>
      </w:r>
      <w:r>
        <w:rPr>
          <w:color w:val="231F20"/>
        </w:rPr>
        <w:t>e</w:t>
      </w:r>
      <w:r>
        <w:rPr>
          <w:color w:val="231F20"/>
          <w:spacing w:val="32"/>
        </w:rPr>
        <w:t> </w:t>
      </w:r>
      <w:r>
        <w:rPr>
          <w:color w:val="231F20"/>
        </w:rPr>
        <w:t>ad</w:t>
      </w:r>
      <w:r>
        <w:rPr>
          <w:color w:val="231F20"/>
          <w:spacing w:val="33"/>
        </w:rPr>
        <w:t> </w:t>
      </w:r>
      <w:r>
        <w:rPr>
          <w:color w:val="231F20"/>
        </w:rPr>
        <w:t>impugnare</w:t>
      </w:r>
      <w:r>
        <w:rPr>
          <w:color w:val="231F20"/>
          <w:spacing w:val="33"/>
        </w:rPr>
        <w:t> </w:t>
      </w:r>
      <w:r>
        <w:rPr>
          <w:color w:val="231F20"/>
          <w:spacing w:val="-2"/>
        </w:rPr>
        <w:t>dinanzi</w:t>
      </w:r>
    </w:p>
    <w:p>
      <w:pPr>
        <w:pStyle w:val="BodyText"/>
        <w:spacing w:before="2"/>
        <w:rPr>
          <w:sz w:val="16"/>
        </w:rPr>
      </w:pPr>
      <w:r>
        <w:rPr/>
        <mc:AlternateContent>
          <mc:Choice Requires="wps">
            <w:drawing>
              <wp:anchor distT="0" distB="0" distL="0" distR="0" allowOverlap="1" layoutInCell="1" locked="0" behindDoc="1" simplePos="0" relativeHeight="487632384">
                <wp:simplePos x="0" y="0"/>
                <wp:positionH relativeFrom="page">
                  <wp:posOffset>864000</wp:posOffset>
                </wp:positionH>
                <wp:positionV relativeFrom="paragraph">
                  <wp:posOffset>146024</wp:posOffset>
                </wp:positionV>
                <wp:extent cx="792480" cy="1270"/>
                <wp:effectExtent l="0" t="0" r="0" b="0"/>
                <wp:wrapTopAndBottom/>
                <wp:docPr id="146" name="Graphic 146"/>
                <wp:cNvGraphicFramePr>
                  <a:graphicFrameLocks/>
                </wp:cNvGraphicFramePr>
                <a:graphic>
                  <a:graphicData uri="http://schemas.microsoft.com/office/word/2010/wordprocessingShape">
                    <wps:wsp>
                      <wps:cNvPr id="146" name="Graphic 146"/>
                      <wps:cNvSpPr/>
                      <wps:spPr>
                        <a:xfrm>
                          <a:off x="0" y="0"/>
                          <a:ext cx="792480" cy="1270"/>
                        </a:xfrm>
                        <a:custGeom>
                          <a:avLst/>
                          <a:gdLst/>
                          <a:ahLst/>
                          <a:cxnLst/>
                          <a:rect l="l" t="t" r="r" b="b"/>
                          <a:pathLst>
                            <a:path w="792480" h="0">
                              <a:moveTo>
                                <a:pt x="0" y="0"/>
                              </a:moveTo>
                              <a:lnTo>
                                <a:pt x="791997"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shape style="position:absolute;margin-left:68.031502pt;margin-top:11.49802pt;width:62.4pt;height:.1pt;mso-position-horizontal-relative:page;mso-position-vertical-relative:paragraph;z-index:-15684096;mso-wrap-distance-left:0;mso-wrap-distance-right:0" id="docshape121" coordorigin="1361,230" coordsize="1248,0" path="m1361,230l2608,230e" filled="false" stroked="true" strokeweight=".5pt" strokecolor="#231f20">
                <v:path arrowok="t"/>
                <v:stroke dashstyle="solid"/>
                <w10:wrap type="topAndBottom"/>
              </v:shape>
            </w:pict>
          </mc:Fallback>
        </mc:AlternateContent>
      </w:r>
    </w:p>
    <w:p>
      <w:pPr>
        <w:spacing w:line="235" w:lineRule="exact" w:before="190"/>
        <w:ind w:left="100" w:right="0" w:firstLine="0"/>
        <w:jc w:val="both"/>
        <w:rPr>
          <w:sz w:val="19"/>
        </w:rPr>
      </w:pPr>
      <w:r>
        <w:rPr>
          <w:color w:val="231F20"/>
          <w:position w:val="6"/>
          <w:sz w:val="11"/>
        </w:rPr>
        <w:t>103</w:t>
      </w:r>
      <w:r>
        <w:rPr>
          <w:color w:val="231F20"/>
          <w:spacing w:val="66"/>
          <w:w w:val="150"/>
          <w:position w:val="6"/>
          <w:sz w:val="11"/>
        </w:rPr>
        <w:t> </w:t>
      </w:r>
      <w:r>
        <w:rPr>
          <w:color w:val="231F20"/>
          <w:sz w:val="19"/>
        </w:rPr>
        <w:t>Corte giust. UE, ult. cit., punti da</w:t>
      </w:r>
      <w:r>
        <w:rPr>
          <w:color w:val="231F20"/>
          <w:spacing w:val="1"/>
          <w:sz w:val="19"/>
        </w:rPr>
        <w:t> </w:t>
      </w:r>
      <w:r>
        <w:rPr>
          <w:color w:val="231F20"/>
          <w:sz w:val="19"/>
        </w:rPr>
        <w:t>64 a </w:t>
      </w:r>
      <w:r>
        <w:rPr>
          <w:color w:val="231F20"/>
          <w:spacing w:val="-5"/>
          <w:sz w:val="19"/>
        </w:rPr>
        <w:t>68.</w:t>
      </w:r>
    </w:p>
    <w:p>
      <w:pPr>
        <w:spacing w:line="225" w:lineRule="auto" w:before="4"/>
        <w:ind w:left="100" w:right="174" w:firstLine="0"/>
        <w:jc w:val="both"/>
        <w:rPr>
          <w:sz w:val="19"/>
        </w:rPr>
      </w:pPr>
      <w:r>
        <w:rPr>
          <w:color w:val="231F20"/>
          <w:position w:val="6"/>
          <w:sz w:val="11"/>
        </w:rPr>
        <w:t>104</w:t>
      </w:r>
      <w:r>
        <w:rPr>
          <w:color w:val="231F20"/>
          <w:spacing w:val="68"/>
          <w:position w:val="6"/>
          <w:sz w:val="11"/>
        </w:rPr>
        <w:t> </w:t>
      </w:r>
      <w:r>
        <w:rPr>
          <w:color w:val="231F20"/>
          <w:sz w:val="19"/>
        </w:rPr>
        <w:t>Corte</w:t>
      </w:r>
      <w:r>
        <w:rPr>
          <w:color w:val="231F20"/>
          <w:spacing w:val="-9"/>
          <w:sz w:val="19"/>
        </w:rPr>
        <w:t> </w:t>
      </w:r>
      <w:r>
        <w:rPr>
          <w:color w:val="231F20"/>
          <w:sz w:val="19"/>
        </w:rPr>
        <w:t>giust.</w:t>
      </w:r>
      <w:r>
        <w:rPr>
          <w:color w:val="231F20"/>
          <w:spacing w:val="-9"/>
          <w:sz w:val="19"/>
        </w:rPr>
        <w:t> </w:t>
      </w:r>
      <w:r>
        <w:rPr>
          <w:color w:val="231F20"/>
          <w:sz w:val="19"/>
        </w:rPr>
        <w:t>UE,</w:t>
      </w:r>
      <w:r>
        <w:rPr>
          <w:color w:val="231F20"/>
          <w:spacing w:val="-9"/>
          <w:sz w:val="19"/>
        </w:rPr>
        <w:t> </w:t>
      </w:r>
      <w:r>
        <w:rPr>
          <w:color w:val="231F20"/>
          <w:sz w:val="19"/>
        </w:rPr>
        <w:t>ult.</w:t>
      </w:r>
      <w:r>
        <w:rPr>
          <w:color w:val="231F20"/>
          <w:spacing w:val="-9"/>
          <w:sz w:val="19"/>
        </w:rPr>
        <w:t> </w:t>
      </w:r>
      <w:r>
        <w:rPr>
          <w:color w:val="231F20"/>
          <w:sz w:val="19"/>
        </w:rPr>
        <w:t>cit.,</w:t>
      </w:r>
      <w:r>
        <w:rPr>
          <w:color w:val="231F20"/>
          <w:spacing w:val="-9"/>
          <w:sz w:val="19"/>
        </w:rPr>
        <w:t> </w:t>
      </w:r>
      <w:r>
        <w:rPr>
          <w:color w:val="231F20"/>
          <w:sz w:val="19"/>
        </w:rPr>
        <w:t>punti</w:t>
      </w:r>
      <w:r>
        <w:rPr>
          <w:color w:val="231F20"/>
          <w:spacing w:val="-9"/>
          <w:sz w:val="19"/>
        </w:rPr>
        <w:t> </w:t>
      </w:r>
      <w:r>
        <w:rPr>
          <w:color w:val="231F20"/>
          <w:sz w:val="19"/>
        </w:rPr>
        <w:t>da</w:t>
      </w:r>
      <w:r>
        <w:rPr>
          <w:color w:val="231F20"/>
          <w:spacing w:val="-9"/>
          <w:sz w:val="19"/>
        </w:rPr>
        <w:t> </w:t>
      </w:r>
      <w:r>
        <w:rPr>
          <w:color w:val="231F20"/>
          <w:sz w:val="19"/>
        </w:rPr>
        <w:t>69</w:t>
      </w:r>
      <w:r>
        <w:rPr>
          <w:color w:val="231F20"/>
          <w:spacing w:val="-9"/>
          <w:sz w:val="19"/>
        </w:rPr>
        <w:t> </w:t>
      </w:r>
      <w:r>
        <w:rPr>
          <w:color w:val="231F20"/>
          <w:sz w:val="19"/>
        </w:rPr>
        <w:t>a</w:t>
      </w:r>
      <w:r>
        <w:rPr>
          <w:color w:val="231F20"/>
          <w:spacing w:val="-9"/>
          <w:sz w:val="19"/>
        </w:rPr>
        <w:t> </w:t>
      </w:r>
      <w:r>
        <w:rPr>
          <w:color w:val="231F20"/>
          <w:sz w:val="19"/>
        </w:rPr>
        <w:t>71,</w:t>
      </w:r>
      <w:r>
        <w:rPr>
          <w:color w:val="231F20"/>
          <w:spacing w:val="-9"/>
          <w:sz w:val="19"/>
        </w:rPr>
        <w:t> </w:t>
      </w:r>
      <w:r>
        <w:rPr>
          <w:color w:val="231F20"/>
          <w:sz w:val="19"/>
        </w:rPr>
        <w:t>che</w:t>
      </w:r>
      <w:r>
        <w:rPr>
          <w:color w:val="231F20"/>
          <w:spacing w:val="-9"/>
          <w:sz w:val="19"/>
        </w:rPr>
        <w:t> </w:t>
      </w:r>
      <w:r>
        <w:rPr>
          <w:color w:val="231F20"/>
          <w:sz w:val="19"/>
        </w:rPr>
        <w:t>conferma</w:t>
      </w:r>
      <w:r>
        <w:rPr>
          <w:color w:val="231F20"/>
          <w:spacing w:val="-9"/>
          <w:sz w:val="19"/>
        </w:rPr>
        <w:t> </w:t>
      </w:r>
      <w:r>
        <w:rPr>
          <w:color w:val="231F20"/>
          <w:sz w:val="19"/>
        </w:rPr>
        <w:t>al</w:t>
      </w:r>
      <w:r>
        <w:rPr>
          <w:color w:val="231F20"/>
          <w:spacing w:val="-9"/>
          <w:sz w:val="19"/>
        </w:rPr>
        <w:t> </w:t>
      </w:r>
      <w:r>
        <w:rPr>
          <w:color w:val="231F20"/>
          <w:sz w:val="19"/>
        </w:rPr>
        <w:t>riguardo</w:t>
      </w:r>
      <w:r>
        <w:rPr>
          <w:color w:val="231F20"/>
          <w:spacing w:val="-9"/>
          <w:sz w:val="19"/>
        </w:rPr>
        <w:t> </w:t>
      </w:r>
      <w:r>
        <w:rPr>
          <w:color w:val="231F20"/>
          <w:sz w:val="19"/>
        </w:rPr>
        <w:t>la</w:t>
      </w:r>
      <w:r>
        <w:rPr>
          <w:color w:val="231F20"/>
          <w:spacing w:val="-9"/>
          <w:sz w:val="19"/>
        </w:rPr>
        <w:t> </w:t>
      </w:r>
      <w:r>
        <w:rPr>
          <w:color w:val="231F20"/>
          <w:sz w:val="19"/>
        </w:rPr>
        <w:t>precedente</w:t>
      </w:r>
      <w:r>
        <w:rPr>
          <w:color w:val="231F20"/>
          <w:spacing w:val="-9"/>
          <w:sz w:val="19"/>
        </w:rPr>
        <w:t> </w:t>
      </w:r>
      <w:r>
        <w:rPr>
          <w:color w:val="231F20"/>
          <w:sz w:val="19"/>
        </w:rPr>
        <w:t>sentenza </w:t>
      </w:r>
      <w:r>
        <w:rPr>
          <w:i/>
          <w:color w:val="231F20"/>
          <w:sz w:val="19"/>
        </w:rPr>
        <w:t>Berlioz,</w:t>
      </w:r>
      <w:r>
        <w:rPr>
          <w:i/>
          <w:color w:val="231F20"/>
          <w:spacing w:val="-2"/>
          <w:sz w:val="19"/>
        </w:rPr>
        <w:t> </w:t>
      </w:r>
      <w:r>
        <w:rPr>
          <w:color w:val="231F20"/>
          <w:sz w:val="19"/>
        </w:rPr>
        <w:t>punto</w:t>
      </w:r>
      <w:r>
        <w:rPr>
          <w:color w:val="231F20"/>
          <w:spacing w:val="-2"/>
          <w:sz w:val="19"/>
        </w:rPr>
        <w:t> </w:t>
      </w:r>
      <w:r>
        <w:rPr>
          <w:color w:val="231F20"/>
          <w:sz w:val="19"/>
        </w:rPr>
        <w:t>67.</w:t>
      </w:r>
      <w:r>
        <w:rPr>
          <w:color w:val="231F20"/>
          <w:spacing w:val="-9"/>
          <w:sz w:val="19"/>
        </w:rPr>
        <w:t> </w:t>
      </w:r>
      <w:r>
        <w:rPr>
          <w:color w:val="231F20"/>
          <w:sz w:val="19"/>
        </w:rPr>
        <w:t>Tale</w:t>
      </w:r>
      <w:r>
        <w:rPr>
          <w:color w:val="231F20"/>
          <w:spacing w:val="-2"/>
          <w:sz w:val="19"/>
        </w:rPr>
        <w:t> </w:t>
      </w:r>
      <w:r>
        <w:rPr>
          <w:color w:val="231F20"/>
          <w:sz w:val="19"/>
        </w:rPr>
        <w:t>riferimento</w:t>
      </w:r>
      <w:r>
        <w:rPr>
          <w:color w:val="231F20"/>
          <w:spacing w:val="-2"/>
          <w:sz w:val="19"/>
        </w:rPr>
        <w:t> </w:t>
      </w:r>
      <w:r>
        <w:rPr>
          <w:color w:val="231F20"/>
          <w:sz w:val="19"/>
        </w:rPr>
        <w:t>della</w:t>
      </w:r>
      <w:r>
        <w:rPr>
          <w:color w:val="231F20"/>
          <w:spacing w:val="-2"/>
          <w:sz w:val="19"/>
        </w:rPr>
        <w:t> </w:t>
      </w:r>
      <w:r>
        <w:rPr>
          <w:color w:val="231F20"/>
          <w:sz w:val="19"/>
        </w:rPr>
        <w:t>Corte</w:t>
      </w:r>
      <w:r>
        <w:rPr>
          <w:color w:val="231F20"/>
          <w:spacing w:val="-2"/>
          <w:sz w:val="19"/>
        </w:rPr>
        <w:t> </w:t>
      </w:r>
      <w:r>
        <w:rPr>
          <w:color w:val="231F20"/>
          <w:sz w:val="19"/>
        </w:rPr>
        <w:t>di</w:t>
      </w:r>
      <w:r>
        <w:rPr>
          <w:color w:val="231F20"/>
          <w:spacing w:val="-2"/>
          <w:sz w:val="19"/>
        </w:rPr>
        <w:t> </w:t>
      </w:r>
      <w:r>
        <w:rPr>
          <w:color w:val="231F20"/>
          <w:sz w:val="19"/>
        </w:rPr>
        <w:t>giustizia</w:t>
      </w:r>
      <w:r>
        <w:rPr>
          <w:color w:val="231F20"/>
          <w:spacing w:val="-2"/>
          <w:sz w:val="19"/>
        </w:rPr>
        <w:t> </w:t>
      </w:r>
      <w:r>
        <w:rPr>
          <w:color w:val="231F20"/>
          <w:sz w:val="19"/>
        </w:rPr>
        <w:t>ad</w:t>
      </w:r>
      <w:r>
        <w:rPr>
          <w:color w:val="231F20"/>
          <w:spacing w:val="-2"/>
          <w:sz w:val="19"/>
        </w:rPr>
        <w:t> </w:t>
      </w:r>
      <w:r>
        <w:rPr>
          <w:color w:val="231F20"/>
          <w:sz w:val="19"/>
        </w:rPr>
        <w:t>una</w:t>
      </w:r>
      <w:r>
        <w:rPr>
          <w:color w:val="231F20"/>
          <w:spacing w:val="-2"/>
          <w:sz w:val="19"/>
        </w:rPr>
        <w:t> </w:t>
      </w:r>
      <w:r>
        <w:rPr>
          <w:color w:val="231F20"/>
          <w:sz w:val="19"/>
        </w:rPr>
        <w:t>disposizione</w:t>
      </w:r>
      <w:r>
        <w:rPr>
          <w:color w:val="231F20"/>
          <w:spacing w:val="-2"/>
          <w:sz w:val="19"/>
        </w:rPr>
        <w:t> </w:t>
      </w:r>
      <w:r>
        <w:rPr>
          <w:color w:val="231F20"/>
          <w:sz w:val="19"/>
        </w:rPr>
        <w:t>del</w:t>
      </w:r>
      <w:r>
        <w:rPr>
          <w:color w:val="231F20"/>
          <w:spacing w:val="-2"/>
          <w:sz w:val="19"/>
        </w:rPr>
        <w:t> </w:t>
      </w:r>
      <w:r>
        <w:rPr>
          <w:color w:val="231F20"/>
          <w:sz w:val="19"/>
        </w:rPr>
        <w:t>modello</w:t>
      </w:r>
      <w:r>
        <w:rPr>
          <w:color w:val="231F20"/>
          <w:spacing w:val="-2"/>
          <w:sz w:val="19"/>
        </w:rPr>
        <w:t> </w:t>
      </w:r>
      <w:r>
        <w:rPr>
          <w:color w:val="231F20"/>
          <w:sz w:val="19"/>
        </w:rPr>
        <w:t>di convenzione</w:t>
      </w:r>
      <w:r>
        <w:rPr>
          <w:color w:val="231F20"/>
          <w:spacing w:val="10"/>
          <w:sz w:val="19"/>
        </w:rPr>
        <w:t> </w:t>
      </w:r>
      <w:r>
        <w:rPr>
          <w:color w:val="231F20"/>
          <w:sz w:val="19"/>
        </w:rPr>
        <w:t>fiscale</w:t>
      </w:r>
      <w:r>
        <w:rPr>
          <w:color w:val="231F20"/>
          <w:spacing w:val="11"/>
          <w:sz w:val="19"/>
        </w:rPr>
        <w:t> </w:t>
      </w:r>
      <w:r>
        <w:rPr>
          <w:color w:val="231F20"/>
          <w:sz w:val="19"/>
        </w:rPr>
        <w:t>dell’OCSE</w:t>
      </w:r>
      <w:r>
        <w:rPr>
          <w:color w:val="231F20"/>
          <w:spacing w:val="10"/>
          <w:sz w:val="19"/>
        </w:rPr>
        <w:t> </w:t>
      </w:r>
      <w:r>
        <w:rPr>
          <w:color w:val="231F20"/>
          <w:sz w:val="19"/>
        </w:rPr>
        <w:t>su</w:t>
      </w:r>
      <w:r>
        <w:rPr>
          <w:color w:val="231F20"/>
          <w:spacing w:val="11"/>
          <w:sz w:val="19"/>
        </w:rPr>
        <w:t> </w:t>
      </w:r>
      <w:r>
        <w:rPr>
          <w:color w:val="231F20"/>
          <w:sz w:val="19"/>
        </w:rPr>
        <w:t>reddito</w:t>
      </w:r>
      <w:r>
        <w:rPr>
          <w:color w:val="231F20"/>
          <w:spacing w:val="11"/>
          <w:sz w:val="19"/>
        </w:rPr>
        <w:t> </w:t>
      </w:r>
      <w:r>
        <w:rPr>
          <w:color w:val="231F20"/>
          <w:sz w:val="19"/>
        </w:rPr>
        <w:t>e</w:t>
      </w:r>
      <w:r>
        <w:rPr>
          <w:color w:val="231F20"/>
          <w:spacing w:val="10"/>
          <w:sz w:val="19"/>
        </w:rPr>
        <w:t> </w:t>
      </w:r>
      <w:r>
        <w:rPr>
          <w:color w:val="231F20"/>
          <w:sz w:val="19"/>
        </w:rPr>
        <w:t>sul</w:t>
      </w:r>
      <w:r>
        <w:rPr>
          <w:color w:val="231F20"/>
          <w:spacing w:val="11"/>
          <w:sz w:val="19"/>
        </w:rPr>
        <w:t> </w:t>
      </w:r>
      <w:r>
        <w:rPr>
          <w:color w:val="231F20"/>
          <w:sz w:val="19"/>
        </w:rPr>
        <w:t>patrimonio</w:t>
      </w:r>
      <w:r>
        <w:rPr>
          <w:color w:val="231F20"/>
          <w:spacing w:val="11"/>
          <w:sz w:val="19"/>
        </w:rPr>
        <w:t> </w:t>
      </w:r>
      <w:r>
        <w:rPr>
          <w:color w:val="231F20"/>
          <w:sz w:val="19"/>
        </w:rPr>
        <w:t>è</w:t>
      </w:r>
      <w:r>
        <w:rPr>
          <w:color w:val="231F20"/>
          <w:spacing w:val="10"/>
          <w:sz w:val="19"/>
        </w:rPr>
        <w:t> </w:t>
      </w:r>
      <w:r>
        <w:rPr>
          <w:color w:val="231F20"/>
          <w:sz w:val="19"/>
        </w:rPr>
        <w:t>stato</w:t>
      </w:r>
      <w:r>
        <w:rPr>
          <w:color w:val="231F20"/>
          <w:spacing w:val="11"/>
          <w:sz w:val="19"/>
        </w:rPr>
        <w:t> </w:t>
      </w:r>
      <w:r>
        <w:rPr>
          <w:color w:val="231F20"/>
          <w:sz w:val="19"/>
        </w:rPr>
        <w:t>rilevato</w:t>
      </w:r>
      <w:r>
        <w:rPr>
          <w:color w:val="231F20"/>
          <w:spacing w:val="10"/>
          <w:sz w:val="19"/>
        </w:rPr>
        <w:t> </w:t>
      </w:r>
      <w:r>
        <w:rPr>
          <w:color w:val="231F20"/>
          <w:sz w:val="19"/>
        </w:rPr>
        <w:t>e</w:t>
      </w:r>
      <w:r>
        <w:rPr>
          <w:color w:val="231F20"/>
          <w:spacing w:val="11"/>
          <w:sz w:val="19"/>
        </w:rPr>
        <w:t> </w:t>
      </w:r>
      <w:r>
        <w:rPr>
          <w:color w:val="231F20"/>
          <w:sz w:val="19"/>
        </w:rPr>
        <w:t>commentato</w:t>
      </w:r>
      <w:r>
        <w:rPr>
          <w:color w:val="231F20"/>
          <w:spacing w:val="11"/>
          <w:sz w:val="19"/>
        </w:rPr>
        <w:t> </w:t>
      </w:r>
      <w:r>
        <w:rPr>
          <w:color w:val="231F20"/>
          <w:spacing w:val="-5"/>
          <w:sz w:val="19"/>
        </w:rPr>
        <w:t>da</w:t>
      </w:r>
    </w:p>
    <w:p>
      <w:pPr>
        <w:spacing w:line="225" w:lineRule="auto" w:before="3"/>
        <w:ind w:left="100" w:right="175" w:firstLine="0"/>
        <w:jc w:val="both"/>
        <w:rPr>
          <w:sz w:val="19"/>
        </w:rPr>
      </w:pPr>
      <w:r>
        <w:rPr>
          <w:color w:val="231F20"/>
          <w:sz w:val="19"/>
        </w:rPr>
        <w:t>G. Marino, </w:t>
      </w:r>
      <w:r>
        <w:rPr>
          <w:i/>
          <w:color w:val="231F20"/>
          <w:sz w:val="19"/>
        </w:rPr>
        <w:t>La “soft law” internazionale nelle fonti del diritto europeo tributario: analisi di </w:t>
      </w:r>
      <w:r>
        <w:rPr>
          <w:i/>
          <w:color w:val="231F20"/>
          <w:sz w:val="19"/>
        </w:rPr>
        <w:t>una</w:t>
      </w:r>
      <w:r>
        <w:rPr>
          <w:i/>
          <w:color w:val="231F20"/>
          <w:sz w:val="19"/>
        </w:rPr>
        <w:t> “moral</w:t>
      </w:r>
      <w:r>
        <w:rPr>
          <w:i/>
          <w:color w:val="231F20"/>
          <w:spacing w:val="-4"/>
          <w:sz w:val="19"/>
        </w:rPr>
        <w:t> </w:t>
      </w:r>
      <w:r>
        <w:rPr>
          <w:i/>
          <w:color w:val="231F20"/>
          <w:sz w:val="19"/>
        </w:rPr>
        <w:t>suasion”</w:t>
      </w:r>
      <w:r>
        <w:rPr>
          <w:i/>
          <w:color w:val="231F20"/>
          <w:spacing w:val="-2"/>
          <w:sz w:val="19"/>
        </w:rPr>
        <w:t> </w:t>
      </w:r>
      <w:r>
        <w:rPr>
          <w:i/>
          <w:color w:val="231F20"/>
          <w:sz w:val="19"/>
        </w:rPr>
        <w:t>giuridica</w:t>
      </w:r>
      <w:r>
        <w:rPr>
          <w:i/>
          <w:color w:val="231F20"/>
          <w:spacing w:val="-1"/>
          <w:sz w:val="19"/>
        </w:rPr>
        <w:t> </w:t>
      </w:r>
      <w:r>
        <w:rPr>
          <w:i/>
          <w:color w:val="231F20"/>
          <w:sz w:val="19"/>
        </w:rPr>
        <w:t>e</w:t>
      </w:r>
      <w:r>
        <w:rPr>
          <w:i/>
          <w:color w:val="231F20"/>
          <w:spacing w:val="-2"/>
          <w:sz w:val="19"/>
        </w:rPr>
        <w:t> </w:t>
      </w:r>
      <w:r>
        <w:rPr>
          <w:i/>
          <w:color w:val="231F20"/>
          <w:sz w:val="19"/>
        </w:rPr>
        <w:t>culturale,</w:t>
      </w:r>
      <w:r>
        <w:rPr>
          <w:i/>
          <w:color w:val="231F20"/>
          <w:spacing w:val="-1"/>
          <w:sz w:val="19"/>
        </w:rPr>
        <w:t> </w:t>
      </w:r>
      <w:r>
        <w:rPr>
          <w:color w:val="231F20"/>
          <w:sz w:val="19"/>
        </w:rPr>
        <w:t>in</w:t>
      </w:r>
      <w:r>
        <w:rPr>
          <w:color w:val="231F20"/>
          <w:spacing w:val="-3"/>
          <w:sz w:val="19"/>
        </w:rPr>
        <w:t> </w:t>
      </w:r>
      <w:r>
        <w:rPr>
          <w:i/>
          <w:color w:val="231F20"/>
          <w:sz w:val="19"/>
        </w:rPr>
        <w:t>Dir.prat.trib.int</w:t>
      </w:r>
      <w:r>
        <w:rPr>
          <w:color w:val="231F20"/>
          <w:sz w:val="19"/>
        </w:rPr>
        <w:t>.,</w:t>
      </w:r>
      <w:r>
        <w:rPr>
          <w:color w:val="231F20"/>
          <w:spacing w:val="-1"/>
          <w:sz w:val="19"/>
        </w:rPr>
        <w:t> </w:t>
      </w:r>
      <w:r>
        <w:rPr>
          <w:color w:val="231F20"/>
          <w:sz w:val="19"/>
        </w:rPr>
        <w:t>2,</w:t>
      </w:r>
      <w:r>
        <w:rPr>
          <w:color w:val="231F20"/>
          <w:spacing w:val="-2"/>
          <w:sz w:val="19"/>
        </w:rPr>
        <w:t> </w:t>
      </w:r>
      <w:r>
        <w:rPr>
          <w:color w:val="231F20"/>
          <w:sz w:val="19"/>
        </w:rPr>
        <w:t>2023,</w:t>
      </w:r>
      <w:r>
        <w:rPr>
          <w:color w:val="231F20"/>
          <w:spacing w:val="-1"/>
          <w:sz w:val="19"/>
        </w:rPr>
        <w:t> </w:t>
      </w:r>
      <w:r>
        <w:rPr>
          <w:color w:val="231F20"/>
          <w:sz w:val="19"/>
        </w:rPr>
        <w:t>p.</w:t>
      </w:r>
      <w:r>
        <w:rPr>
          <w:color w:val="231F20"/>
          <w:spacing w:val="-2"/>
          <w:sz w:val="19"/>
        </w:rPr>
        <w:t> </w:t>
      </w:r>
      <w:r>
        <w:rPr>
          <w:color w:val="231F20"/>
          <w:sz w:val="19"/>
        </w:rPr>
        <w:t>409</w:t>
      </w:r>
      <w:r>
        <w:rPr>
          <w:color w:val="231F20"/>
          <w:spacing w:val="-1"/>
          <w:sz w:val="19"/>
        </w:rPr>
        <w:t> </w:t>
      </w:r>
      <w:r>
        <w:rPr>
          <w:color w:val="231F20"/>
          <w:sz w:val="19"/>
        </w:rPr>
        <w:t>e</w:t>
      </w:r>
      <w:r>
        <w:rPr>
          <w:color w:val="231F20"/>
          <w:spacing w:val="-2"/>
          <w:sz w:val="19"/>
        </w:rPr>
        <w:t> </w:t>
      </w:r>
      <w:r>
        <w:rPr>
          <w:color w:val="231F20"/>
          <w:sz w:val="19"/>
        </w:rPr>
        <w:t>ss.,</w:t>
      </w:r>
      <w:r>
        <w:rPr>
          <w:color w:val="231F20"/>
          <w:spacing w:val="-1"/>
          <w:sz w:val="19"/>
        </w:rPr>
        <w:t> </w:t>
      </w:r>
      <w:r>
        <w:rPr>
          <w:color w:val="231F20"/>
          <w:sz w:val="19"/>
        </w:rPr>
        <w:t>in</w:t>
      </w:r>
      <w:r>
        <w:rPr>
          <w:color w:val="231F20"/>
          <w:spacing w:val="-2"/>
          <w:sz w:val="19"/>
        </w:rPr>
        <w:t> </w:t>
      </w:r>
      <w:r>
        <w:rPr>
          <w:color w:val="231F20"/>
          <w:sz w:val="19"/>
        </w:rPr>
        <w:t>particolare</w:t>
      </w:r>
      <w:r>
        <w:rPr>
          <w:color w:val="231F20"/>
          <w:spacing w:val="-1"/>
          <w:sz w:val="19"/>
        </w:rPr>
        <w:t> </w:t>
      </w:r>
      <w:r>
        <w:rPr>
          <w:color w:val="231F20"/>
          <w:spacing w:val="-5"/>
          <w:sz w:val="19"/>
        </w:rPr>
        <w:t>p.</w:t>
      </w:r>
    </w:p>
    <w:p>
      <w:pPr>
        <w:spacing w:line="225" w:lineRule="auto" w:before="2"/>
        <w:ind w:left="100" w:right="175" w:firstLine="0"/>
        <w:jc w:val="both"/>
        <w:rPr>
          <w:sz w:val="19"/>
        </w:rPr>
      </w:pPr>
      <w:r>
        <w:rPr>
          <w:color w:val="231F20"/>
          <w:sz w:val="19"/>
        </w:rPr>
        <w:t>420. Sull’influenza dei lavori dell’OCSE sulla giurisprudenza della Corte di giustizia, si veda anche M. Lang, </w:t>
      </w:r>
      <w:r>
        <w:rPr>
          <w:i/>
          <w:color w:val="231F20"/>
          <w:sz w:val="19"/>
        </w:rPr>
        <w:t>Double taxation Conventions in the case law of the CJEU, </w:t>
      </w:r>
      <w:r>
        <w:rPr>
          <w:color w:val="231F20"/>
          <w:sz w:val="19"/>
        </w:rPr>
        <w:t>in </w:t>
      </w:r>
      <w:r>
        <w:rPr>
          <w:i/>
          <w:color w:val="231F20"/>
          <w:sz w:val="19"/>
        </w:rPr>
        <w:t>Intertax</w:t>
      </w:r>
      <w:r>
        <w:rPr>
          <w:color w:val="231F20"/>
          <w:sz w:val="19"/>
        </w:rPr>
        <w:t>, </w:t>
      </w:r>
      <w:r>
        <w:rPr>
          <w:color w:val="231F20"/>
          <w:sz w:val="19"/>
        </w:rPr>
        <w:t>2018, </w:t>
      </w:r>
      <w:r>
        <w:rPr>
          <w:color w:val="231F20"/>
          <w:spacing w:val="-4"/>
          <w:sz w:val="19"/>
        </w:rPr>
        <w:t>182.</w:t>
      </w:r>
    </w:p>
    <w:p>
      <w:pPr>
        <w:spacing w:after="0" w:line="225" w:lineRule="auto"/>
        <w:jc w:val="both"/>
        <w:rPr>
          <w:sz w:val="19"/>
        </w:rPr>
        <w:sectPr>
          <w:pgSz w:w="9640" w:h="13610"/>
          <w:pgMar w:header="0" w:footer="625" w:top="1260" w:bottom="820" w:left="1260" w:right="1240"/>
        </w:sectPr>
      </w:pPr>
    </w:p>
    <w:p>
      <w:pPr>
        <w:pStyle w:val="BodyText"/>
        <w:spacing w:line="225" w:lineRule="auto" w:before="117"/>
        <w:ind w:left="157" w:right="115"/>
        <w:jc w:val="both"/>
      </w:pPr>
      <w:r>
        <w:rPr/>
        <mc:AlternateContent>
          <mc:Choice Requires="wps">
            <w:drawing>
              <wp:anchor distT="0" distB="0" distL="0" distR="0" allowOverlap="1" layoutInCell="1" locked="0" behindDoc="0" simplePos="0" relativeHeight="15774208">
                <wp:simplePos x="0" y="0"/>
                <wp:positionH relativeFrom="page">
                  <wp:posOffset>5608609</wp:posOffset>
                </wp:positionH>
                <wp:positionV relativeFrom="page">
                  <wp:posOffset>2376001</wp:posOffset>
                </wp:positionV>
                <wp:extent cx="511809" cy="2412365"/>
                <wp:effectExtent l="0" t="0" r="0" b="0"/>
                <wp:wrapNone/>
                <wp:docPr id="147" name="Group 147"/>
                <wp:cNvGraphicFramePr>
                  <a:graphicFrameLocks/>
                </wp:cNvGraphicFramePr>
                <a:graphic>
                  <a:graphicData uri="http://schemas.microsoft.com/office/word/2010/wordprocessingGroup">
                    <wpg:wgp>
                      <wpg:cNvPr id="147" name="Group 147"/>
                      <wpg:cNvGrpSpPr/>
                      <wpg:grpSpPr>
                        <a:xfrm>
                          <a:off x="0" y="0"/>
                          <a:ext cx="511809" cy="2412365"/>
                          <a:chExt cx="511809" cy="2412365"/>
                        </a:xfrm>
                      </wpg:grpSpPr>
                      <wps:wsp>
                        <wps:cNvPr id="148" name="Graphic 148"/>
                        <wps:cNvSpPr/>
                        <wps:spPr>
                          <a:xfrm>
                            <a:off x="7393" y="3"/>
                            <a:ext cx="504190" cy="360045"/>
                          </a:xfrm>
                          <a:custGeom>
                            <a:avLst/>
                            <a:gdLst/>
                            <a:ahLst/>
                            <a:cxnLst/>
                            <a:rect l="l" t="t" r="r" b="b"/>
                            <a:pathLst>
                              <a:path w="504190" h="360045">
                                <a:moveTo>
                                  <a:pt x="503999" y="0"/>
                                </a:moveTo>
                                <a:lnTo>
                                  <a:pt x="0" y="0"/>
                                </a:lnTo>
                                <a:lnTo>
                                  <a:pt x="0" y="359994"/>
                                </a:lnTo>
                                <a:lnTo>
                                  <a:pt x="503999" y="359994"/>
                                </a:lnTo>
                                <a:lnTo>
                                  <a:pt x="503999" y="0"/>
                                </a:lnTo>
                                <a:close/>
                              </a:path>
                            </a:pathLst>
                          </a:custGeom>
                          <a:solidFill>
                            <a:srgbClr val="939598"/>
                          </a:solidFill>
                        </wps:spPr>
                        <wps:bodyPr wrap="square" lIns="0" tIns="0" rIns="0" bIns="0" rtlCol="0">
                          <a:prstTxWarp prst="textNoShape">
                            <a:avLst/>
                          </a:prstTxWarp>
                          <a:noAutofit/>
                        </wps:bodyPr>
                      </wps:wsp>
                      <wps:wsp>
                        <wps:cNvPr id="149" name="Graphic 149"/>
                        <wps:cNvSpPr/>
                        <wps:spPr>
                          <a:xfrm>
                            <a:off x="6350" y="0"/>
                            <a:ext cx="1270" cy="2412365"/>
                          </a:xfrm>
                          <a:custGeom>
                            <a:avLst/>
                            <a:gdLst/>
                            <a:ahLst/>
                            <a:cxnLst/>
                            <a:rect l="l" t="t" r="r" b="b"/>
                            <a:pathLst>
                              <a:path w="0" h="2412365">
                                <a:moveTo>
                                  <a:pt x="0" y="0"/>
                                </a:moveTo>
                                <a:lnTo>
                                  <a:pt x="0" y="2411996"/>
                                </a:lnTo>
                              </a:path>
                            </a:pathLst>
                          </a:custGeom>
                          <a:ln w="12700">
                            <a:solidFill>
                              <a:srgbClr val="939598"/>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441.622803pt;margin-top:187.0867pt;width:40.3pt;height:189.95pt;mso-position-horizontal-relative:page;mso-position-vertical-relative:page;z-index:15774208" id="docshapegroup122" coordorigin="8832,3742" coordsize="806,3799">
                <v:rect style="position:absolute;left:8844;top:3741;width:794;height:567" id="docshape123" filled="true" fillcolor="#939598" stroked="false">
                  <v:fill type="solid"/>
                </v:rect>
                <v:line style="position:absolute" from="8842,3742" to="8842,7540" stroked="true" strokeweight="1pt" strokecolor="#939598">
                  <v:stroke dashstyle="solid"/>
                </v:line>
                <w10:wrap type="none"/>
              </v:group>
            </w:pict>
          </mc:Fallback>
        </mc:AlternateContent>
      </w:r>
      <w:r>
        <w:rPr/>
        <mc:AlternateContent>
          <mc:Choice Requires="wps">
            <w:drawing>
              <wp:anchor distT="0" distB="0" distL="0" distR="0" allowOverlap="1" layoutInCell="1" locked="0" behindDoc="0" simplePos="0" relativeHeight="15774720">
                <wp:simplePos x="0" y="0"/>
                <wp:positionH relativeFrom="page">
                  <wp:posOffset>5635147</wp:posOffset>
                </wp:positionH>
                <wp:positionV relativeFrom="page">
                  <wp:posOffset>2795300</wp:posOffset>
                </wp:positionV>
                <wp:extent cx="299720" cy="1995805"/>
                <wp:effectExtent l="0" t="0" r="0" b="0"/>
                <wp:wrapNone/>
                <wp:docPr id="150" name="Textbox 150"/>
                <wp:cNvGraphicFramePr>
                  <a:graphicFrameLocks/>
                </wp:cNvGraphicFramePr>
                <a:graphic>
                  <a:graphicData uri="http://schemas.microsoft.com/office/word/2010/wordprocessingShape">
                    <wps:wsp>
                      <wps:cNvPr id="150" name="Textbox 150"/>
                      <wps:cNvSpPr txBox="1"/>
                      <wps:spPr>
                        <a:xfrm>
                          <a:off x="0" y="0"/>
                          <a:ext cx="299720" cy="1995805"/>
                        </a:xfrm>
                        <a:prstGeom prst="rect">
                          <a:avLst/>
                        </a:prstGeom>
                      </wps:spPr>
                      <wps:txbx>
                        <w:txbxContent>
                          <w:p>
                            <w:pPr>
                              <w:spacing w:before="20"/>
                              <w:ind w:left="20" w:right="0" w:firstLine="0"/>
                              <w:jc w:val="left"/>
                              <w:rPr>
                                <w:rFonts w:ascii="Minion Pro"/>
                                <w:sz w:val="32"/>
                              </w:rPr>
                            </w:pPr>
                            <w:r>
                              <w:rPr>
                                <w:rFonts w:ascii="Minion Pro"/>
                                <w:color w:val="231F20"/>
                                <w:sz w:val="32"/>
                              </w:rPr>
                              <w:t>Commented</w:t>
                            </w:r>
                            <w:r>
                              <w:rPr>
                                <w:rFonts w:ascii="Minion Pro"/>
                                <w:color w:val="231F20"/>
                                <w:spacing w:val="-10"/>
                                <w:sz w:val="32"/>
                              </w:rPr>
                              <w:t> </w:t>
                            </w:r>
                            <w:r>
                              <w:rPr>
                                <w:rFonts w:ascii="Minion Pro"/>
                                <w:color w:val="231F20"/>
                                <w:spacing w:val="-2"/>
                                <w:sz w:val="32"/>
                              </w:rPr>
                              <w:t>documents</w:t>
                            </w:r>
                          </w:p>
                        </w:txbxContent>
                      </wps:txbx>
                      <wps:bodyPr wrap="square" lIns="0" tIns="0" rIns="0" bIns="0" rtlCol="0" vert="vert">
                        <a:noAutofit/>
                      </wps:bodyPr>
                    </wps:wsp>
                  </a:graphicData>
                </a:graphic>
              </wp:anchor>
            </w:drawing>
          </mc:Choice>
          <mc:Fallback>
            <w:pict>
              <v:shape style="position:absolute;margin-left:443.712402pt;margin-top:220.102402pt;width:23.6pt;height:157.15pt;mso-position-horizontal-relative:page;mso-position-vertical-relative:page;z-index:15774720" type="#_x0000_t202" id="docshape124" filled="false" stroked="false">
                <v:textbox inset="0,0,0,0" style="layout-flow:vertical">
                  <w:txbxContent>
                    <w:p>
                      <w:pPr>
                        <w:spacing w:before="20"/>
                        <w:ind w:left="20" w:right="0" w:firstLine="0"/>
                        <w:jc w:val="left"/>
                        <w:rPr>
                          <w:rFonts w:ascii="Minion Pro"/>
                          <w:sz w:val="32"/>
                        </w:rPr>
                      </w:pPr>
                      <w:r>
                        <w:rPr>
                          <w:rFonts w:ascii="Minion Pro"/>
                          <w:color w:val="231F20"/>
                          <w:sz w:val="32"/>
                        </w:rPr>
                        <w:t>Commented</w:t>
                      </w:r>
                      <w:r>
                        <w:rPr>
                          <w:rFonts w:ascii="Minion Pro"/>
                          <w:color w:val="231F20"/>
                          <w:spacing w:val="-10"/>
                          <w:sz w:val="32"/>
                        </w:rPr>
                        <w:t> </w:t>
                      </w:r>
                      <w:r>
                        <w:rPr>
                          <w:rFonts w:ascii="Minion Pro"/>
                          <w:color w:val="231F20"/>
                          <w:spacing w:val="-2"/>
                          <w:sz w:val="32"/>
                        </w:rPr>
                        <w:t>documents</w:t>
                      </w:r>
                    </w:p>
                  </w:txbxContent>
                </v:textbox>
                <w10:wrap type="none"/>
              </v:shape>
            </w:pict>
          </mc:Fallback>
        </mc:AlternateContent>
      </w:r>
      <w:r>
        <w:rPr>
          <w:color w:val="231F20"/>
        </w:rPr>
        <w:t>al giudice amministrativo nazionale, in via principale, il provvedimento sanzionatorio e soltanto in via incidentale la decisione di ingiunzione. Da tale constatazione della violazione dell’art. 47 della Carta commessa dal legislatore</w:t>
      </w:r>
      <w:r>
        <w:rPr>
          <w:color w:val="231F20"/>
          <w:spacing w:val="25"/>
        </w:rPr>
        <w:t> </w:t>
      </w:r>
      <w:r>
        <w:rPr>
          <w:color w:val="231F20"/>
        </w:rPr>
        <w:t>lussemburghese,</w:t>
      </w:r>
      <w:r>
        <w:rPr>
          <w:color w:val="231F20"/>
          <w:spacing w:val="25"/>
        </w:rPr>
        <w:t> </w:t>
      </w:r>
      <w:r>
        <w:rPr>
          <w:color w:val="231F20"/>
        </w:rPr>
        <w:t>la</w:t>
      </w:r>
      <w:r>
        <w:rPr>
          <w:color w:val="231F20"/>
          <w:spacing w:val="25"/>
        </w:rPr>
        <w:t> </w:t>
      </w:r>
      <w:r>
        <w:rPr>
          <w:color w:val="231F20"/>
        </w:rPr>
        <w:t>Corte</w:t>
      </w:r>
      <w:r>
        <w:rPr>
          <w:color w:val="231F20"/>
          <w:spacing w:val="25"/>
        </w:rPr>
        <w:t> </w:t>
      </w:r>
      <w:r>
        <w:rPr>
          <w:color w:val="231F20"/>
        </w:rPr>
        <w:t>di</w:t>
      </w:r>
      <w:r>
        <w:rPr>
          <w:color w:val="231F20"/>
          <w:spacing w:val="25"/>
        </w:rPr>
        <w:t> </w:t>
      </w:r>
      <w:r>
        <w:rPr>
          <w:color w:val="231F20"/>
        </w:rPr>
        <w:t>giustizia</w:t>
      </w:r>
      <w:r>
        <w:rPr>
          <w:color w:val="231F20"/>
          <w:spacing w:val="25"/>
        </w:rPr>
        <w:t> </w:t>
      </w:r>
      <w:r>
        <w:rPr>
          <w:color w:val="231F20"/>
        </w:rPr>
        <w:t>ha</w:t>
      </w:r>
      <w:r>
        <w:rPr>
          <w:color w:val="231F20"/>
          <w:spacing w:val="25"/>
        </w:rPr>
        <w:t> </w:t>
      </w:r>
      <w:r>
        <w:rPr>
          <w:color w:val="231F20"/>
        </w:rPr>
        <w:t>dedotto</w:t>
      </w:r>
      <w:r>
        <w:rPr>
          <w:color w:val="231F20"/>
          <w:spacing w:val="25"/>
        </w:rPr>
        <w:t> </w:t>
      </w:r>
      <w:r>
        <w:rPr>
          <w:color w:val="231F20"/>
        </w:rPr>
        <w:t>che,</w:t>
      </w:r>
      <w:r>
        <w:rPr>
          <w:color w:val="231F20"/>
          <w:spacing w:val="25"/>
        </w:rPr>
        <w:t> </w:t>
      </w:r>
      <w:r>
        <w:rPr>
          <w:color w:val="231F20"/>
        </w:rPr>
        <w:t>qualora il giudice amministrativo nazionale avesse confermato la legittimità del-</w:t>
      </w:r>
      <w:r>
        <w:rPr>
          <w:color w:val="231F20"/>
          <w:spacing w:val="80"/>
          <w:w w:val="150"/>
        </w:rPr>
        <w:t> </w:t>
      </w:r>
      <w:r>
        <w:rPr>
          <w:color w:val="231F20"/>
        </w:rPr>
        <w:t>la decisione di ingiunzione, al detentore delle informazioni destinatario</w:t>
      </w:r>
      <w:r>
        <w:rPr>
          <w:color w:val="231F20"/>
          <w:spacing w:val="80"/>
          <w:w w:val="150"/>
        </w:rPr>
        <w:t> </w:t>
      </w:r>
      <w:r>
        <w:rPr>
          <w:color w:val="231F20"/>
        </w:rPr>
        <w:t>di tale decisione doveva essere concessa la possibilità di ottemperare alla decisione stessa entro il termine inizialmente fissato dall’autorità inter- pellata (nella fattispecie: l’amministrazione finanziaria lussemburghese). Tale possibilità escludeva, sempre secondo i giudici dell’Unione, «il man- tenimento della sanzione nella quale (il detentore delle informazioni) è incorso per esercitare il suo diritto ad un ricorso effettivo»</w:t>
      </w:r>
      <w:r>
        <w:rPr>
          <w:color w:val="231F20"/>
          <w:position w:val="8"/>
          <w:sz w:val="14"/>
        </w:rPr>
        <w:t>105</w:t>
      </w:r>
      <w:r>
        <w:rPr>
          <w:color w:val="231F20"/>
        </w:rPr>
        <w:t>.</w:t>
      </w:r>
    </w:p>
    <w:p>
      <w:pPr>
        <w:pStyle w:val="BodyText"/>
        <w:spacing w:line="225" w:lineRule="auto" w:before="15"/>
        <w:ind w:left="157" w:right="117" w:firstLine="340"/>
        <w:jc w:val="both"/>
      </w:pPr>
      <w:r>
        <w:rPr>
          <w:color w:val="231F20"/>
        </w:rPr>
        <w:t>Questo è un ennesimo esempio di come una pronuncia </w:t>
      </w:r>
      <w:r>
        <w:rPr>
          <w:color w:val="231F20"/>
        </w:rPr>
        <w:t>interpretativa della Corte di giustizia può cambiare radicalmente l’esito di un processo</w:t>
      </w:r>
      <w:r>
        <w:rPr>
          <w:color w:val="231F20"/>
          <w:spacing w:val="40"/>
        </w:rPr>
        <w:t> </w:t>
      </w:r>
      <w:r>
        <w:rPr>
          <w:color w:val="231F20"/>
        </w:rPr>
        <w:t>in materia di sanzioni amministrative in un settore, come quello della co- operazione</w:t>
      </w:r>
      <w:r>
        <w:rPr>
          <w:color w:val="231F20"/>
          <w:spacing w:val="-3"/>
        </w:rPr>
        <w:t> </w:t>
      </w:r>
      <w:r>
        <w:rPr>
          <w:color w:val="231F20"/>
        </w:rPr>
        <w:t>amministrativa</w:t>
      </w:r>
      <w:r>
        <w:rPr>
          <w:color w:val="231F20"/>
          <w:spacing w:val="-3"/>
        </w:rPr>
        <w:t> </w:t>
      </w:r>
      <w:r>
        <w:rPr>
          <w:color w:val="231F20"/>
        </w:rPr>
        <w:t>in</w:t>
      </w:r>
      <w:r>
        <w:rPr>
          <w:color w:val="231F20"/>
          <w:spacing w:val="-3"/>
        </w:rPr>
        <w:t> </w:t>
      </w:r>
      <w:r>
        <w:rPr>
          <w:color w:val="231F20"/>
        </w:rPr>
        <w:t>materia</w:t>
      </w:r>
      <w:r>
        <w:rPr>
          <w:color w:val="231F20"/>
          <w:spacing w:val="-3"/>
        </w:rPr>
        <w:t> </w:t>
      </w:r>
      <w:r>
        <w:rPr>
          <w:color w:val="231F20"/>
        </w:rPr>
        <w:t>fiscale,</w:t>
      </w:r>
      <w:r>
        <w:rPr>
          <w:color w:val="231F20"/>
          <w:spacing w:val="-3"/>
        </w:rPr>
        <w:t> </w:t>
      </w:r>
      <w:r>
        <w:rPr>
          <w:color w:val="231F20"/>
        </w:rPr>
        <w:t>di</w:t>
      </w:r>
      <w:r>
        <w:rPr>
          <w:color w:val="231F20"/>
          <w:spacing w:val="-3"/>
        </w:rPr>
        <w:t> </w:t>
      </w:r>
      <w:r>
        <w:rPr>
          <w:color w:val="231F20"/>
        </w:rPr>
        <w:t>competenza</w:t>
      </w:r>
      <w:r>
        <w:rPr>
          <w:color w:val="231F20"/>
          <w:spacing w:val="-3"/>
        </w:rPr>
        <w:t> </w:t>
      </w:r>
      <w:r>
        <w:rPr>
          <w:color w:val="231F20"/>
        </w:rPr>
        <w:t>del</w:t>
      </w:r>
      <w:r>
        <w:rPr>
          <w:color w:val="231F20"/>
          <w:spacing w:val="-3"/>
        </w:rPr>
        <w:t> </w:t>
      </w:r>
      <w:r>
        <w:rPr>
          <w:color w:val="231F20"/>
        </w:rPr>
        <w:t>legislatore dell’Unione</w:t>
      </w:r>
      <w:r>
        <w:rPr>
          <w:color w:val="231F20"/>
          <w:spacing w:val="-3"/>
        </w:rPr>
        <w:t> </w:t>
      </w:r>
      <w:r>
        <w:rPr>
          <w:color w:val="231F20"/>
        </w:rPr>
        <w:t>ed</w:t>
      </w:r>
      <w:r>
        <w:rPr>
          <w:color w:val="231F20"/>
          <w:spacing w:val="-3"/>
        </w:rPr>
        <w:t> </w:t>
      </w:r>
      <w:r>
        <w:rPr>
          <w:color w:val="231F20"/>
        </w:rPr>
        <w:t>al</w:t>
      </w:r>
      <w:r>
        <w:rPr>
          <w:color w:val="231F20"/>
          <w:spacing w:val="-3"/>
        </w:rPr>
        <w:t> </w:t>
      </w:r>
      <w:r>
        <w:rPr>
          <w:color w:val="231F20"/>
        </w:rPr>
        <w:t>quale</w:t>
      </w:r>
      <w:r>
        <w:rPr>
          <w:color w:val="231F20"/>
          <w:spacing w:val="-3"/>
        </w:rPr>
        <w:t> </w:t>
      </w:r>
      <w:r>
        <w:rPr>
          <w:color w:val="231F20"/>
        </w:rPr>
        <w:t>di</w:t>
      </w:r>
      <w:r>
        <w:rPr>
          <w:color w:val="231F20"/>
          <w:spacing w:val="-3"/>
        </w:rPr>
        <w:t> </w:t>
      </w:r>
      <w:r>
        <w:rPr>
          <w:color w:val="231F20"/>
        </w:rPr>
        <w:t>conseguenza</w:t>
      </w:r>
      <w:r>
        <w:rPr>
          <w:color w:val="231F20"/>
          <w:spacing w:val="-3"/>
        </w:rPr>
        <w:t> </w:t>
      </w:r>
      <w:r>
        <w:rPr>
          <w:color w:val="231F20"/>
        </w:rPr>
        <w:t>si</w:t>
      </w:r>
      <w:r>
        <w:rPr>
          <w:color w:val="231F20"/>
          <w:spacing w:val="-3"/>
        </w:rPr>
        <w:t> </w:t>
      </w:r>
      <w:r>
        <w:rPr>
          <w:color w:val="231F20"/>
        </w:rPr>
        <w:t>applicano</w:t>
      </w:r>
      <w:r>
        <w:rPr>
          <w:color w:val="231F20"/>
          <w:spacing w:val="-3"/>
        </w:rPr>
        <w:t> </w:t>
      </w:r>
      <w:r>
        <w:rPr>
          <w:i/>
          <w:color w:val="231F20"/>
        </w:rPr>
        <w:t>in</w:t>
      </w:r>
      <w:r>
        <w:rPr>
          <w:i/>
          <w:color w:val="231F20"/>
          <w:spacing w:val="-3"/>
        </w:rPr>
        <w:t> </w:t>
      </w:r>
      <w:r>
        <w:rPr>
          <w:i/>
          <w:color w:val="231F20"/>
        </w:rPr>
        <w:t>toto</w:t>
      </w:r>
      <w:r>
        <w:rPr>
          <w:color w:val="231F20"/>
        </w:rPr>
        <w:t>,</w:t>
      </w:r>
      <w:r>
        <w:rPr>
          <w:color w:val="231F20"/>
          <w:spacing w:val="-3"/>
        </w:rPr>
        <w:t> </w:t>
      </w:r>
      <w:r>
        <w:rPr>
          <w:color w:val="231F20"/>
        </w:rPr>
        <w:t>ex</w:t>
      </w:r>
      <w:r>
        <w:rPr>
          <w:color w:val="231F20"/>
          <w:spacing w:val="-3"/>
        </w:rPr>
        <w:t> </w:t>
      </w:r>
      <w:r>
        <w:rPr>
          <w:color w:val="231F20"/>
        </w:rPr>
        <w:t>art.</w:t>
      </w:r>
      <w:r>
        <w:rPr>
          <w:color w:val="231F20"/>
          <w:spacing w:val="-3"/>
        </w:rPr>
        <w:t> </w:t>
      </w:r>
      <w:r>
        <w:rPr>
          <w:color w:val="231F20"/>
        </w:rPr>
        <w:t>51,</w:t>
      </w:r>
      <w:r>
        <w:rPr>
          <w:color w:val="231F20"/>
          <w:spacing w:val="-3"/>
        </w:rPr>
        <w:t> </w:t>
      </w:r>
      <w:r>
        <w:rPr>
          <w:color w:val="231F20"/>
        </w:rPr>
        <w:t>par. 1,</w:t>
      </w:r>
      <w:r>
        <w:rPr>
          <w:color w:val="231F20"/>
          <w:spacing w:val="-4"/>
        </w:rPr>
        <w:t> </w:t>
      </w:r>
      <w:r>
        <w:rPr>
          <w:color w:val="231F20"/>
        </w:rPr>
        <w:t>le</w:t>
      </w:r>
      <w:r>
        <w:rPr>
          <w:color w:val="231F20"/>
          <w:spacing w:val="-4"/>
        </w:rPr>
        <w:t> </w:t>
      </w:r>
      <w:r>
        <w:rPr>
          <w:color w:val="231F20"/>
        </w:rPr>
        <w:t>garanzie</w:t>
      </w:r>
      <w:r>
        <w:rPr>
          <w:color w:val="231F20"/>
          <w:spacing w:val="-4"/>
        </w:rPr>
        <w:t> </w:t>
      </w:r>
      <w:r>
        <w:rPr>
          <w:color w:val="231F20"/>
        </w:rPr>
        <w:t>sostanziali</w:t>
      </w:r>
      <w:r>
        <w:rPr>
          <w:color w:val="231F20"/>
          <w:spacing w:val="-4"/>
        </w:rPr>
        <w:t> </w:t>
      </w:r>
      <w:r>
        <w:rPr>
          <w:color w:val="231F20"/>
        </w:rPr>
        <w:t>(proporzionalità</w:t>
      </w:r>
      <w:r>
        <w:rPr>
          <w:color w:val="231F20"/>
          <w:spacing w:val="-4"/>
        </w:rPr>
        <w:t> </w:t>
      </w:r>
      <w:r>
        <w:rPr>
          <w:color w:val="231F20"/>
        </w:rPr>
        <w:t>della</w:t>
      </w:r>
      <w:r>
        <w:rPr>
          <w:color w:val="231F20"/>
          <w:spacing w:val="-4"/>
        </w:rPr>
        <w:t> </w:t>
      </w:r>
      <w:r>
        <w:rPr>
          <w:color w:val="231F20"/>
        </w:rPr>
        <w:t>sanzione)</w:t>
      </w:r>
      <w:r>
        <w:rPr>
          <w:color w:val="231F20"/>
          <w:spacing w:val="40"/>
        </w:rPr>
        <w:t> </w:t>
      </w:r>
      <w:r>
        <w:rPr>
          <w:color w:val="231F20"/>
        </w:rPr>
        <w:t>e</w:t>
      </w:r>
      <w:r>
        <w:rPr>
          <w:color w:val="231F20"/>
          <w:spacing w:val="-4"/>
        </w:rPr>
        <w:t> </w:t>
      </w:r>
      <w:r>
        <w:rPr>
          <w:color w:val="231F20"/>
        </w:rPr>
        <w:t>processuali</w:t>
      </w:r>
      <w:r>
        <w:rPr>
          <w:color w:val="231F20"/>
          <w:spacing w:val="-4"/>
        </w:rPr>
        <w:t> </w:t>
      </w:r>
      <w:r>
        <w:rPr>
          <w:color w:val="231F20"/>
        </w:rPr>
        <w:t>(di- ritto ad un ricorso giurisdizionale effettivo) previste dalla Carta dei diritti fondamentali.</w:t>
      </w:r>
      <w:r>
        <w:rPr>
          <w:color w:val="231F20"/>
          <w:spacing w:val="-11"/>
        </w:rPr>
        <w:t> </w:t>
      </w:r>
      <w:r>
        <w:rPr>
          <w:color w:val="231F20"/>
        </w:rPr>
        <w:t>Più</w:t>
      </w:r>
      <w:r>
        <w:rPr>
          <w:color w:val="231F20"/>
          <w:spacing w:val="-11"/>
        </w:rPr>
        <w:t> </w:t>
      </w:r>
      <w:r>
        <w:rPr>
          <w:color w:val="231F20"/>
        </w:rPr>
        <w:t>precisamente</w:t>
      </w:r>
      <w:r>
        <w:rPr>
          <w:color w:val="231F20"/>
          <w:spacing w:val="-11"/>
        </w:rPr>
        <w:t> </w:t>
      </w:r>
      <w:r>
        <w:rPr>
          <w:color w:val="231F20"/>
        </w:rPr>
        <w:t>e</w:t>
      </w:r>
      <w:r>
        <w:rPr>
          <w:color w:val="231F20"/>
          <w:spacing w:val="-11"/>
        </w:rPr>
        <w:t> </w:t>
      </w:r>
      <w:r>
        <w:rPr>
          <w:color w:val="231F20"/>
        </w:rPr>
        <w:t>con</w:t>
      </w:r>
      <w:r>
        <w:rPr>
          <w:color w:val="231F20"/>
          <w:spacing w:val="-11"/>
        </w:rPr>
        <w:t> </w:t>
      </w:r>
      <w:r>
        <w:rPr>
          <w:color w:val="231F20"/>
        </w:rPr>
        <w:t>riferimento</w:t>
      </w:r>
      <w:r>
        <w:rPr>
          <w:color w:val="231F20"/>
          <w:spacing w:val="-11"/>
        </w:rPr>
        <w:t> </w:t>
      </w:r>
      <w:r>
        <w:rPr>
          <w:color w:val="231F20"/>
        </w:rPr>
        <w:t>alle</w:t>
      </w:r>
      <w:r>
        <w:rPr>
          <w:color w:val="231F20"/>
          <w:spacing w:val="-11"/>
        </w:rPr>
        <w:t> </w:t>
      </w:r>
      <w:r>
        <w:rPr>
          <w:color w:val="231F20"/>
        </w:rPr>
        <w:t>circostanze</w:t>
      </w:r>
      <w:r>
        <w:rPr>
          <w:color w:val="231F20"/>
          <w:spacing w:val="-11"/>
        </w:rPr>
        <w:t> </w:t>
      </w:r>
      <w:r>
        <w:rPr>
          <w:color w:val="231F20"/>
        </w:rPr>
        <w:t>di</w:t>
      </w:r>
      <w:r>
        <w:rPr>
          <w:color w:val="231F20"/>
          <w:spacing w:val="-11"/>
        </w:rPr>
        <w:t> </w:t>
      </w:r>
      <w:r>
        <w:rPr>
          <w:color w:val="231F20"/>
        </w:rPr>
        <w:t>fatto</w:t>
      </w:r>
      <w:r>
        <w:rPr>
          <w:color w:val="231F20"/>
          <w:spacing w:val="-11"/>
        </w:rPr>
        <w:t> </w:t>
      </w:r>
      <w:r>
        <w:rPr>
          <w:color w:val="231F20"/>
        </w:rPr>
        <w:t>e di diritto della causa </w:t>
      </w:r>
      <w:r>
        <w:rPr>
          <w:i/>
          <w:color w:val="231F20"/>
        </w:rPr>
        <w:t>a quo</w:t>
      </w:r>
      <w:r>
        <w:rPr>
          <w:color w:val="231F20"/>
        </w:rPr>
        <w:t>, una sanzione amministrativa che sarebbe stata legittima sulla base del solo diritto nazionale è risultata non più dovuta</w:t>
      </w:r>
      <w:r>
        <w:rPr>
          <w:color w:val="231F20"/>
          <w:spacing w:val="40"/>
        </w:rPr>
        <w:t> </w:t>
      </w:r>
      <w:r>
        <w:rPr>
          <w:color w:val="231F20"/>
        </w:rPr>
        <w:t>dal destinatario del provvedimento sanzionatorio poiché la norma di leg- ge</w:t>
      </w:r>
      <w:r>
        <w:rPr>
          <w:color w:val="231F20"/>
          <w:spacing w:val="-2"/>
        </w:rPr>
        <w:t> </w:t>
      </w:r>
      <w:r>
        <w:rPr>
          <w:color w:val="231F20"/>
        </w:rPr>
        <w:t>nazionale</w:t>
      </w:r>
      <w:r>
        <w:rPr>
          <w:color w:val="231F20"/>
          <w:spacing w:val="-2"/>
        </w:rPr>
        <w:t> </w:t>
      </w:r>
      <w:r>
        <w:rPr>
          <w:color w:val="231F20"/>
        </w:rPr>
        <w:t>sulla</w:t>
      </w:r>
      <w:r>
        <w:rPr>
          <w:color w:val="231F20"/>
          <w:spacing w:val="-2"/>
        </w:rPr>
        <w:t> </w:t>
      </w:r>
      <w:r>
        <w:rPr>
          <w:color w:val="231F20"/>
        </w:rPr>
        <w:t>quale</w:t>
      </w:r>
      <w:r>
        <w:rPr>
          <w:color w:val="231F20"/>
          <w:spacing w:val="-2"/>
        </w:rPr>
        <w:t> </w:t>
      </w:r>
      <w:r>
        <w:rPr>
          <w:color w:val="231F20"/>
        </w:rPr>
        <w:t>si</w:t>
      </w:r>
      <w:r>
        <w:rPr>
          <w:color w:val="231F20"/>
          <w:spacing w:val="-2"/>
        </w:rPr>
        <w:t> </w:t>
      </w:r>
      <w:r>
        <w:rPr>
          <w:color w:val="231F20"/>
        </w:rPr>
        <w:t>basava</w:t>
      </w:r>
      <w:r>
        <w:rPr>
          <w:color w:val="231F20"/>
          <w:spacing w:val="-2"/>
        </w:rPr>
        <w:t> </w:t>
      </w:r>
      <w:r>
        <w:rPr>
          <w:color w:val="231F20"/>
        </w:rPr>
        <w:t>tale</w:t>
      </w:r>
      <w:r>
        <w:rPr>
          <w:color w:val="231F20"/>
          <w:spacing w:val="-2"/>
        </w:rPr>
        <w:t> </w:t>
      </w:r>
      <w:r>
        <w:rPr>
          <w:color w:val="231F20"/>
        </w:rPr>
        <w:t>atto</w:t>
      </w:r>
      <w:r>
        <w:rPr>
          <w:color w:val="231F20"/>
          <w:spacing w:val="-2"/>
        </w:rPr>
        <w:t> </w:t>
      </w:r>
      <w:r>
        <w:rPr>
          <w:color w:val="231F20"/>
        </w:rPr>
        <w:t>dell’amministrazione</w:t>
      </w:r>
      <w:r>
        <w:rPr>
          <w:color w:val="231F20"/>
          <w:spacing w:val="-2"/>
        </w:rPr>
        <w:t> </w:t>
      </w:r>
      <w:r>
        <w:rPr>
          <w:color w:val="231F20"/>
        </w:rPr>
        <w:t>finanziaria lussemburghese era stata dichiarata inapplicabile dalla Corte di giustizia</w:t>
      </w:r>
      <w:r>
        <w:rPr>
          <w:color w:val="231F20"/>
          <w:spacing w:val="80"/>
        </w:rPr>
        <w:t> </w:t>
      </w:r>
      <w:r>
        <w:rPr>
          <w:color w:val="231F20"/>
        </w:rPr>
        <w:t>in quanto contraria a un articolo, nella fattispecie l’art. 47, della Carta dei diritti fondamentali</w:t>
      </w:r>
      <w:r>
        <w:rPr>
          <w:color w:val="231F20"/>
          <w:position w:val="8"/>
          <w:sz w:val="14"/>
        </w:rPr>
        <w:t>106</w:t>
      </w:r>
      <w:r>
        <w:rPr>
          <w:color w:val="231F20"/>
        </w:rPr>
        <w:t>. Sarebbe stato soltanto nell’improbabile ipotesi in cui il destinatario della decisione di ingiunzione non avesse ottemperato per</w:t>
      </w:r>
      <w:r>
        <w:rPr>
          <w:color w:val="231F20"/>
          <w:spacing w:val="-7"/>
        </w:rPr>
        <w:t> </w:t>
      </w:r>
      <w:r>
        <w:rPr>
          <w:color w:val="231F20"/>
        </w:rPr>
        <w:t>una</w:t>
      </w:r>
      <w:r>
        <w:rPr>
          <w:color w:val="231F20"/>
          <w:spacing w:val="-7"/>
        </w:rPr>
        <w:t> </w:t>
      </w:r>
      <w:r>
        <w:rPr>
          <w:color w:val="231F20"/>
        </w:rPr>
        <w:t>seconda</w:t>
      </w:r>
      <w:r>
        <w:rPr>
          <w:color w:val="231F20"/>
          <w:spacing w:val="-7"/>
        </w:rPr>
        <w:t> </w:t>
      </w:r>
      <w:r>
        <w:rPr>
          <w:color w:val="231F20"/>
        </w:rPr>
        <w:t>volta</w:t>
      </w:r>
      <w:r>
        <w:rPr>
          <w:color w:val="231F20"/>
          <w:spacing w:val="-7"/>
        </w:rPr>
        <w:t> </w:t>
      </w:r>
      <w:r>
        <w:rPr>
          <w:color w:val="231F20"/>
        </w:rPr>
        <w:t>alla</w:t>
      </w:r>
      <w:r>
        <w:rPr>
          <w:color w:val="231F20"/>
          <w:spacing w:val="-7"/>
        </w:rPr>
        <w:t> </w:t>
      </w:r>
      <w:r>
        <w:rPr>
          <w:color w:val="231F20"/>
        </w:rPr>
        <w:t>richiesta</w:t>
      </w:r>
      <w:r>
        <w:rPr>
          <w:color w:val="231F20"/>
          <w:spacing w:val="-7"/>
        </w:rPr>
        <w:t> </w:t>
      </w:r>
      <w:r>
        <w:rPr>
          <w:color w:val="231F20"/>
        </w:rPr>
        <w:t>di</w:t>
      </w:r>
      <w:r>
        <w:rPr>
          <w:color w:val="231F20"/>
          <w:spacing w:val="-7"/>
        </w:rPr>
        <w:t> </w:t>
      </w:r>
      <w:r>
        <w:rPr>
          <w:color w:val="231F20"/>
        </w:rPr>
        <w:t>informazioni</w:t>
      </w:r>
      <w:r>
        <w:rPr>
          <w:color w:val="231F20"/>
          <w:spacing w:val="-7"/>
        </w:rPr>
        <w:t> </w:t>
      </w:r>
      <w:r>
        <w:rPr>
          <w:color w:val="231F20"/>
        </w:rPr>
        <w:t>dell’autorità</w:t>
      </w:r>
      <w:r>
        <w:rPr>
          <w:color w:val="231F20"/>
          <w:spacing w:val="-7"/>
        </w:rPr>
        <w:t> </w:t>
      </w:r>
      <w:r>
        <w:rPr>
          <w:color w:val="231F20"/>
        </w:rPr>
        <w:t>interpella- ta,</w:t>
      </w:r>
      <w:r>
        <w:rPr>
          <w:color w:val="231F20"/>
          <w:spacing w:val="7"/>
        </w:rPr>
        <w:t> </w:t>
      </w:r>
      <w:r>
        <w:rPr>
          <w:color w:val="231F20"/>
        </w:rPr>
        <w:t>che</w:t>
      </w:r>
      <w:r>
        <w:rPr>
          <w:color w:val="231F20"/>
          <w:spacing w:val="8"/>
        </w:rPr>
        <w:t> </w:t>
      </w:r>
      <w:r>
        <w:rPr>
          <w:color w:val="231F20"/>
        </w:rPr>
        <w:t>la</w:t>
      </w:r>
      <w:r>
        <w:rPr>
          <w:color w:val="231F20"/>
          <w:spacing w:val="8"/>
        </w:rPr>
        <w:t> </w:t>
      </w:r>
      <w:r>
        <w:rPr>
          <w:color w:val="231F20"/>
        </w:rPr>
        <w:t>sanzione</w:t>
      </w:r>
      <w:r>
        <w:rPr>
          <w:color w:val="231F20"/>
          <w:spacing w:val="8"/>
        </w:rPr>
        <w:t> </w:t>
      </w:r>
      <w:r>
        <w:rPr>
          <w:color w:val="231F20"/>
        </w:rPr>
        <w:t>inizialmente</w:t>
      </w:r>
      <w:r>
        <w:rPr>
          <w:color w:val="231F20"/>
          <w:spacing w:val="8"/>
        </w:rPr>
        <w:t> </w:t>
      </w:r>
      <w:r>
        <w:rPr>
          <w:color w:val="231F20"/>
        </w:rPr>
        <w:t>irrogata</w:t>
      </w:r>
      <w:r>
        <w:rPr>
          <w:color w:val="231F20"/>
          <w:spacing w:val="8"/>
        </w:rPr>
        <w:t> </w:t>
      </w:r>
      <w:r>
        <w:rPr>
          <w:color w:val="231F20"/>
        </w:rPr>
        <w:t>da</w:t>
      </w:r>
      <w:r>
        <w:rPr>
          <w:color w:val="231F20"/>
          <w:spacing w:val="8"/>
        </w:rPr>
        <w:t> </w:t>
      </w:r>
      <w:r>
        <w:rPr>
          <w:color w:val="231F20"/>
        </w:rPr>
        <w:t>quest’ultima</w:t>
      </w:r>
      <w:r>
        <w:rPr>
          <w:color w:val="231F20"/>
          <w:spacing w:val="8"/>
        </w:rPr>
        <w:t> </w:t>
      </w:r>
      <w:r>
        <w:rPr>
          <w:color w:val="231F20"/>
        </w:rPr>
        <w:t>sarebbe</w:t>
      </w:r>
      <w:r>
        <w:rPr>
          <w:color w:val="231F20"/>
          <w:spacing w:val="8"/>
        </w:rPr>
        <w:t> </w:t>
      </w:r>
      <w:r>
        <w:rPr>
          <w:color w:val="231F20"/>
          <w:spacing w:val="-2"/>
        </w:rPr>
        <w:t>diventata</w:t>
      </w:r>
    </w:p>
    <w:p>
      <w:pPr>
        <w:pStyle w:val="BodyText"/>
        <w:spacing w:before="10"/>
        <w:ind w:left="157"/>
        <w:jc w:val="both"/>
      </w:pPr>
      <w:r>
        <w:rPr>
          <w:color w:val="231F20"/>
        </w:rPr>
        <w:t>«legittimamente </w:t>
      </w:r>
      <w:r>
        <w:rPr>
          <w:color w:val="231F20"/>
          <w:spacing w:val="-2"/>
        </w:rPr>
        <w:t>esigibile»</w:t>
      </w:r>
      <w:r>
        <w:rPr>
          <w:color w:val="231F20"/>
          <w:spacing w:val="-2"/>
          <w:position w:val="8"/>
          <w:sz w:val="14"/>
        </w:rPr>
        <w:t>107</w:t>
      </w:r>
      <w:r>
        <w:rPr>
          <w:color w:val="231F20"/>
          <w:spacing w:val="-2"/>
        </w:rPr>
        <w:t>.</w:t>
      </w:r>
    </w:p>
    <w:p>
      <w:pPr>
        <w:pStyle w:val="BodyText"/>
        <w:rPr>
          <w:sz w:val="20"/>
        </w:rPr>
      </w:pPr>
    </w:p>
    <w:p>
      <w:pPr>
        <w:pStyle w:val="BodyText"/>
        <w:rPr>
          <w:sz w:val="20"/>
        </w:rPr>
      </w:pPr>
      <w:r>
        <w:rPr/>
        <mc:AlternateContent>
          <mc:Choice Requires="wps">
            <w:drawing>
              <wp:anchor distT="0" distB="0" distL="0" distR="0" allowOverlap="1" layoutInCell="1" locked="0" behindDoc="1" simplePos="0" relativeHeight="487632896">
                <wp:simplePos x="0" y="0"/>
                <wp:positionH relativeFrom="page">
                  <wp:posOffset>900000</wp:posOffset>
                </wp:positionH>
                <wp:positionV relativeFrom="paragraph">
                  <wp:posOffset>177233</wp:posOffset>
                </wp:positionV>
                <wp:extent cx="792480" cy="1270"/>
                <wp:effectExtent l="0" t="0" r="0" b="0"/>
                <wp:wrapTopAndBottom/>
                <wp:docPr id="151" name="Graphic 151"/>
                <wp:cNvGraphicFramePr>
                  <a:graphicFrameLocks/>
                </wp:cNvGraphicFramePr>
                <a:graphic>
                  <a:graphicData uri="http://schemas.microsoft.com/office/word/2010/wordprocessingShape">
                    <wps:wsp>
                      <wps:cNvPr id="151" name="Graphic 151"/>
                      <wps:cNvSpPr/>
                      <wps:spPr>
                        <a:xfrm>
                          <a:off x="0" y="0"/>
                          <a:ext cx="792480" cy="1270"/>
                        </a:xfrm>
                        <a:custGeom>
                          <a:avLst/>
                          <a:gdLst/>
                          <a:ahLst/>
                          <a:cxnLst/>
                          <a:rect l="l" t="t" r="r" b="b"/>
                          <a:pathLst>
                            <a:path w="792480" h="0">
                              <a:moveTo>
                                <a:pt x="0" y="0"/>
                              </a:moveTo>
                              <a:lnTo>
                                <a:pt x="791997"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shape style="position:absolute;margin-left:70.866203pt;margin-top:13.9554pt;width:62.4pt;height:.1pt;mso-position-horizontal-relative:page;mso-position-vertical-relative:paragraph;z-index:-15683584;mso-wrap-distance-left:0;mso-wrap-distance-right:0" id="docshape125" coordorigin="1417,279" coordsize="1248,0" path="m1417,279l2665,279e" filled="false" stroked="true" strokeweight=".5pt" strokecolor="#231f20">
                <v:path arrowok="t"/>
                <v:stroke dashstyle="solid"/>
                <w10:wrap type="topAndBottom"/>
              </v:shape>
            </w:pict>
          </mc:Fallback>
        </mc:AlternateContent>
      </w:r>
    </w:p>
    <w:p>
      <w:pPr>
        <w:spacing w:line="235" w:lineRule="exact" w:before="190"/>
        <w:ind w:left="157" w:right="0" w:firstLine="0"/>
        <w:jc w:val="both"/>
        <w:rPr>
          <w:sz w:val="19"/>
        </w:rPr>
      </w:pPr>
      <w:r>
        <w:rPr>
          <w:color w:val="231F20"/>
          <w:position w:val="6"/>
          <w:sz w:val="11"/>
        </w:rPr>
        <w:t>105</w:t>
      </w:r>
      <w:r>
        <w:rPr>
          <w:color w:val="231F20"/>
          <w:spacing w:val="79"/>
          <w:position w:val="6"/>
          <w:sz w:val="11"/>
        </w:rPr>
        <w:t> </w:t>
      </w:r>
      <w:r>
        <w:rPr>
          <w:color w:val="231F20"/>
          <w:sz w:val="19"/>
        </w:rPr>
        <w:t>Corte</w:t>
      </w:r>
      <w:r>
        <w:rPr>
          <w:color w:val="231F20"/>
          <w:spacing w:val="-1"/>
          <w:sz w:val="19"/>
        </w:rPr>
        <w:t> </w:t>
      </w:r>
      <w:r>
        <w:rPr>
          <w:color w:val="231F20"/>
          <w:sz w:val="19"/>
        </w:rPr>
        <w:t>giust. UE,</w:t>
      </w:r>
      <w:r>
        <w:rPr>
          <w:color w:val="231F20"/>
          <w:spacing w:val="-1"/>
          <w:sz w:val="19"/>
        </w:rPr>
        <w:t> </w:t>
      </w:r>
      <w:r>
        <w:rPr>
          <w:color w:val="231F20"/>
          <w:sz w:val="19"/>
        </w:rPr>
        <w:t>sent. del</w:t>
      </w:r>
      <w:r>
        <w:rPr>
          <w:color w:val="231F20"/>
          <w:spacing w:val="-1"/>
          <w:sz w:val="19"/>
        </w:rPr>
        <w:t> </w:t>
      </w:r>
      <w:r>
        <w:rPr>
          <w:color w:val="231F20"/>
          <w:sz w:val="19"/>
        </w:rPr>
        <w:t>25 novembre 2021,</w:t>
      </w:r>
      <w:r>
        <w:rPr>
          <w:color w:val="231F20"/>
          <w:spacing w:val="-1"/>
          <w:sz w:val="19"/>
        </w:rPr>
        <w:t> </w:t>
      </w:r>
      <w:r>
        <w:rPr>
          <w:color w:val="231F20"/>
          <w:sz w:val="19"/>
        </w:rPr>
        <w:t>C-437/19, cit.,</w:t>
      </w:r>
      <w:r>
        <w:rPr>
          <w:color w:val="231F20"/>
          <w:spacing w:val="-1"/>
          <w:sz w:val="19"/>
        </w:rPr>
        <w:t> </w:t>
      </w:r>
      <w:r>
        <w:rPr>
          <w:color w:val="231F20"/>
          <w:sz w:val="19"/>
        </w:rPr>
        <w:t>punti da</w:t>
      </w:r>
      <w:r>
        <w:rPr>
          <w:color w:val="231F20"/>
          <w:spacing w:val="-1"/>
          <w:sz w:val="19"/>
        </w:rPr>
        <w:t> </w:t>
      </w:r>
      <w:r>
        <w:rPr>
          <w:color w:val="231F20"/>
          <w:sz w:val="19"/>
        </w:rPr>
        <w:t>95 a </w:t>
      </w:r>
      <w:r>
        <w:rPr>
          <w:color w:val="231F20"/>
          <w:spacing w:val="-5"/>
          <w:sz w:val="19"/>
        </w:rPr>
        <w:t>98.</w:t>
      </w:r>
    </w:p>
    <w:p>
      <w:pPr>
        <w:spacing w:line="225" w:lineRule="auto" w:before="4"/>
        <w:ind w:left="157" w:right="118" w:firstLine="0"/>
        <w:jc w:val="both"/>
        <w:rPr>
          <w:sz w:val="19"/>
        </w:rPr>
      </w:pPr>
      <w:r>
        <w:rPr>
          <w:color w:val="231F20"/>
          <w:position w:val="6"/>
          <w:sz w:val="11"/>
        </w:rPr>
        <w:t>106</w:t>
      </w:r>
      <w:r>
        <w:rPr>
          <w:color w:val="231F20"/>
          <w:spacing w:val="40"/>
          <w:position w:val="6"/>
          <w:sz w:val="11"/>
        </w:rPr>
        <w:t> </w:t>
      </w:r>
      <w:r>
        <w:rPr>
          <w:color w:val="231F20"/>
          <w:sz w:val="19"/>
        </w:rPr>
        <w:t>Tutte le motivazioni giuridiche di diritto dell’Unione sulla base delle quali la Corte di giustizia</w:t>
      </w:r>
      <w:r>
        <w:rPr>
          <w:color w:val="231F20"/>
          <w:spacing w:val="-6"/>
          <w:sz w:val="19"/>
        </w:rPr>
        <w:t> </w:t>
      </w:r>
      <w:r>
        <w:rPr>
          <w:color w:val="231F20"/>
          <w:sz w:val="19"/>
        </w:rPr>
        <w:t>può</w:t>
      </w:r>
      <w:r>
        <w:rPr>
          <w:color w:val="231F20"/>
          <w:spacing w:val="-6"/>
          <w:sz w:val="19"/>
        </w:rPr>
        <w:t> </w:t>
      </w:r>
      <w:r>
        <w:rPr>
          <w:color w:val="231F20"/>
          <w:sz w:val="19"/>
        </w:rPr>
        <w:t>dichiarare</w:t>
      </w:r>
      <w:r>
        <w:rPr>
          <w:color w:val="231F20"/>
          <w:spacing w:val="-6"/>
          <w:sz w:val="19"/>
        </w:rPr>
        <w:t> </w:t>
      </w:r>
      <w:r>
        <w:rPr>
          <w:color w:val="231F20"/>
          <w:sz w:val="19"/>
        </w:rPr>
        <w:t>contraria</w:t>
      </w:r>
      <w:r>
        <w:rPr>
          <w:color w:val="231F20"/>
          <w:spacing w:val="-6"/>
          <w:sz w:val="19"/>
        </w:rPr>
        <w:t> </w:t>
      </w:r>
      <w:r>
        <w:rPr>
          <w:color w:val="231F20"/>
          <w:sz w:val="19"/>
        </w:rPr>
        <w:t>al</w:t>
      </w:r>
      <w:r>
        <w:rPr>
          <w:color w:val="231F20"/>
          <w:spacing w:val="-6"/>
          <w:sz w:val="19"/>
        </w:rPr>
        <w:t> </w:t>
      </w:r>
      <w:r>
        <w:rPr>
          <w:color w:val="231F20"/>
          <w:sz w:val="19"/>
        </w:rPr>
        <w:t>diritto</w:t>
      </w:r>
      <w:r>
        <w:rPr>
          <w:color w:val="231F20"/>
          <w:spacing w:val="-6"/>
          <w:sz w:val="19"/>
        </w:rPr>
        <w:t> </w:t>
      </w:r>
      <w:r>
        <w:rPr>
          <w:color w:val="231F20"/>
          <w:sz w:val="19"/>
        </w:rPr>
        <w:t>dell’Unione</w:t>
      </w:r>
      <w:r>
        <w:rPr>
          <w:color w:val="231F20"/>
          <w:spacing w:val="-6"/>
          <w:sz w:val="19"/>
        </w:rPr>
        <w:t> </w:t>
      </w:r>
      <w:r>
        <w:rPr>
          <w:color w:val="231F20"/>
          <w:sz w:val="19"/>
        </w:rPr>
        <w:t>una</w:t>
      </w:r>
      <w:r>
        <w:rPr>
          <w:color w:val="231F20"/>
          <w:spacing w:val="-6"/>
          <w:sz w:val="19"/>
        </w:rPr>
        <w:t> </w:t>
      </w:r>
      <w:r>
        <w:rPr>
          <w:color w:val="231F20"/>
          <w:sz w:val="19"/>
        </w:rPr>
        <w:t>sanzione</w:t>
      </w:r>
      <w:r>
        <w:rPr>
          <w:color w:val="231F20"/>
          <w:spacing w:val="-6"/>
          <w:sz w:val="19"/>
        </w:rPr>
        <w:t> </w:t>
      </w:r>
      <w:r>
        <w:rPr>
          <w:color w:val="231F20"/>
          <w:sz w:val="19"/>
        </w:rPr>
        <w:t>amministrativa</w:t>
      </w:r>
      <w:r>
        <w:rPr>
          <w:color w:val="231F20"/>
          <w:spacing w:val="-6"/>
          <w:sz w:val="19"/>
        </w:rPr>
        <w:t> </w:t>
      </w:r>
      <w:r>
        <w:rPr>
          <w:color w:val="231F20"/>
          <w:sz w:val="19"/>
        </w:rPr>
        <w:t>tributaria irrogata</w:t>
      </w:r>
      <w:r>
        <w:rPr>
          <w:color w:val="231F20"/>
          <w:spacing w:val="-8"/>
          <w:sz w:val="19"/>
        </w:rPr>
        <w:t> </w:t>
      </w:r>
      <w:r>
        <w:rPr>
          <w:color w:val="231F20"/>
          <w:sz w:val="19"/>
        </w:rPr>
        <w:t>dal</w:t>
      </w:r>
      <w:r>
        <w:rPr>
          <w:color w:val="231F20"/>
          <w:spacing w:val="-8"/>
          <w:sz w:val="19"/>
        </w:rPr>
        <w:t> </w:t>
      </w:r>
      <w:r>
        <w:rPr>
          <w:color w:val="231F20"/>
          <w:sz w:val="19"/>
        </w:rPr>
        <w:t>un’amministrazione</w:t>
      </w:r>
      <w:r>
        <w:rPr>
          <w:color w:val="231F20"/>
          <w:spacing w:val="-8"/>
          <w:sz w:val="19"/>
        </w:rPr>
        <w:t> </w:t>
      </w:r>
      <w:r>
        <w:rPr>
          <w:color w:val="231F20"/>
          <w:sz w:val="19"/>
        </w:rPr>
        <w:t>nazionale</w:t>
      </w:r>
      <w:r>
        <w:rPr>
          <w:color w:val="231F20"/>
          <w:spacing w:val="-8"/>
          <w:sz w:val="19"/>
        </w:rPr>
        <w:t> </w:t>
      </w:r>
      <w:r>
        <w:rPr>
          <w:color w:val="231F20"/>
          <w:sz w:val="19"/>
        </w:rPr>
        <w:t>sono</w:t>
      </w:r>
      <w:r>
        <w:rPr>
          <w:color w:val="231F20"/>
          <w:spacing w:val="-8"/>
          <w:sz w:val="19"/>
        </w:rPr>
        <w:t> </w:t>
      </w:r>
      <w:r>
        <w:rPr>
          <w:color w:val="231F20"/>
          <w:sz w:val="19"/>
        </w:rPr>
        <w:t>state</w:t>
      </w:r>
      <w:r>
        <w:rPr>
          <w:color w:val="231F20"/>
          <w:spacing w:val="-8"/>
          <w:sz w:val="19"/>
        </w:rPr>
        <w:t> </w:t>
      </w:r>
      <w:r>
        <w:rPr>
          <w:color w:val="231F20"/>
          <w:sz w:val="19"/>
        </w:rPr>
        <w:t>dettagliatamente</w:t>
      </w:r>
      <w:r>
        <w:rPr>
          <w:color w:val="231F20"/>
          <w:spacing w:val="-8"/>
          <w:sz w:val="19"/>
        </w:rPr>
        <w:t> </w:t>
      </w:r>
      <w:r>
        <w:rPr>
          <w:color w:val="231F20"/>
          <w:sz w:val="19"/>
        </w:rPr>
        <w:t>esaminate</w:t>
      </w:r>
      <w:r>
        <w:rPr>
          <w:color w:val="231F20"/>
          <w:spacing w:val="-8"/>
          <w:sz w:val="19"/>
        </w:rPr>
        <w:t> </w:t>
      </w:r>
      <w:r>
        <w:rPr>
          <w:color w:val="231F20"/>
          <w:sz w:val="19"/>
        </w:rPr>
        <w:t>da</w:t>
      </w:r>
      <w:r>
        <w:rPr>
          <w:color w:val="231F20"/>
          <w:spacing w:val="-8"/>
          <w:sz w:val="19"/>
        </w:rPr>
        <w:t> </w:t>
      </w:r>
      <w:r>
        <w:rPr>
          <w:color w:val="231F20"/>
          <w:sz w:val="19"/>
        </w:rPr>
        <w:t>R.</w:t>
      </w:r>
      <w:r>
        <w:rPr>
          <w:color w:val="231F20"/>
          <w:spacing w:val="-8"/>
          <w:sz w:val="19"/>
        </w:rPr>
        <w:t> </w:t>
      </w:r>
      <w:r>
        <w:rPr>
          <w:color w:val="231F20"/>
          <w:sz w:val="19"/>
        </w:rPr>
        <w:t>Alfano, </w:t>
      </w:r>
      <w:r>
        <w:rPr>
          <w:i/>
          <w:color w:val="231F20"/>
          <w:sz w:val="19"/>
        </w:rPr>
        <w:t>Sanzioni amministrative tributarie e tutela del contribuente, cit</w:t>
      </w:r>
      <w:r>
        <w:rPr>
          <w:color w:val="231F20"/>
          <w:sz w:val="19"/>
        </w:rPr>
        <w:t>., pp. 182-216 e 289-354.</w:t>
      </w:r>
    </w:p>
    <w:p>
      <w:pPr>
        <w:spacing w:line="235" w:lineRule="exact" w:before="0"/>
        <w:ind w:left="157" w:right="0" w:firstLine="0"/>
        <w:jc w:val="both"/>
        <w:rPr>
          <w:sz w:val="19"/>
        </w:rPr>
      </w:pPr>
      <w:r>
        <w:rPr>
          <w:color w:val="231F20"/>
          <w:position w:val="6"/>
          <w:sz w:val="11"/>
        </w:rPr>
        <w:t>107</w:t>
      </w:r>
      <w:r>
        <w:rPr>
          <w:color w:val="231F20"/>
          <w:spacing w:val="77"/>
          <w:position w:val="6"/>
          <w:sz w:val="11"/>
        </w:rPr>
        <w:t> </w:t>
      </w:r>
      <w:r>
        <w:rPr>
          <w:color w:val="231F20"/>
          <w:sz w:val="19"/>
        </w:rPr>
        <w:t>Sentenza</w:t>
      </w:r>
      <w:r>
        <w:rPr>
          <w:color w:val="231F20"/>
          <w:spacing w:val="-1"/>
          <w:sz w:val="19"/>
        </w:rPr>
        <w:t> </w:t>
      </w:r>
      <w:r>
        <w:rPr>
          <w:color w:val="231F20"/>
          <w:sz w:val="19"/>
        </w:rPr>
        <w:t>C-437/19, punto</w:t>
      </w:r>
      <w:r>
        <w:rPr>
          <w:color w:val="231F20"/>
          <w:spacing w:val="-1"/>
          <w:sz w:val="19"/>
        </w:rPr>
        <w:t> </w:t>
      </w:r>
      <w:r>
        <w:rPr>
          <w:color w:val="231F20"/>
          <w:sz w:val="19"/>
        </w:rPr>
        <w:t>98 e </w:t>
      </w:r>
      <w:r>
        <w:rPr>
          <w:color w:val="231F20"/>
          <w:spacing w:val="-2"/>
          <w:sz w:val="19"/>
        </w:rPr>
        <w:t>dispositivo.</w:t>
      </w:r>
    </w:p>
    <w:p>
      <w:pPr>
        <w:spacing w:after="0" w:line="235" w:lineRule="exact"/>
        <w:jc w:val="both"/>
        <w:rPr>
          <w:sz w:val="19"/>
        </w:rPr>
        <w:sectPr>
          <w:pgSz w:w="9640" w:h="13610"/>
          <w:pgMar w:header="0" w:footer="625" w:top="1260" w:bottom="820" w:left="1260" w:right="1240"/>
        </w:sectPr>
      </w:pPr>
    </w:p>
    <w:p>
      <w:pPr>
        <w:pStyle w:val="ListParagraph"/>
        <w:numPr>
          <w:ilvl w:val="1"/>
          <w:numId w:val="4"/>
        </w:numPr>
        <w:tabs>
          <w:tab w:pos="526" w:val="left" w:leader="none"/>
        </w:tabs>
        <w:spacing w:line="244" w:lineRule="auto" w:before="110" w:after="0"/>
        <w:ind w:left="100" w:right="450" w:firstLine="0"/>
        <w:jc w:val="left"/>
        <w:rPr>
          <w:b/>
          <w:sz w:val="24"/>
        </w:rPr>
      </w:pPr>
      <w:r>
        <w:rPr>
          <w:b/>
          <w:color w:val="231F20"/>
          <w:sz w:val="24"/>
        </w:rPr>
        <w:t>La sentenza del 8 dicembre 2022, C-694/20, Ordine degli avvocati</w:t>
      </w:r>
      <w:r>
        <w:rPr>
          <w:b/>
          <w:color w:val="231F20"/>
          <w:spacing w:val="-6"/>
          <w:sz w:val="24"/>
        </w:rPr>
        <w:t> </w:t>
      </w:r>
      <w:r>
        <w:rPr>
          <w:b/>
          <w:color w:val="231F20"/>
          <w:sz w:val="24"/>
        </w:rPr>
        <w:t>di</w:t>
      </w:r>
      <w:r>
        <w:rPr>
          <w:b/>
          <w:color w:val="231F20"/>
          <w:spacing w:val="-6"/>
          <w:sz w:val="24"/>
        </w:rPr>
        <w:t> </w:t>
      </w:r>
      <w:r>
        <w:rPr>
          <w:b/>
          <w:color w:val="231F20"/>
          <w:sz w:val="24"/>
        </w:rPr>
        <w:t>Fiandra</w:t>
      </w:r>
      <w:r>
        <w:rPr>
          <w:b/>
          <w:color w:val="231F20"/>
          <w:spacing w:val="-7"/>
          <w:sz w:val="24"/>
        </w:rPr>
        <w:t> </w:t>
      </w:r>
      <w:r>
        <w:rPr>
          <w:b/>
          <w:color w:val="231F20"/>
          <w:sz w:val="24"/>
        </w:rPr>
        <w:t>contro</w:t>
      </w:r>
      <w:r>
        <w:rPr>
          <w:b/>
          <w:color w:val="231F20"/>
          <w:spacing w:val="-6"/>
          <w:sz w:val="24"/>
        </w:rPr>
        <w:t> </w:t>
      </w:r>
      <w:r>
        <w:rPr>
          <w:b/>
          <w:color w:val="231F20"/>
          <w:sz w:val="24"/>
        </w:rPr>
        <w:t>Governo</w:t>
      </w:r>
      <w:r>
        <w:rPr>
          <w:b/>
          <w:color w:val="231F20"/>
          <w:spacing w:val="-6"/>
          <w:sz w:val="24"/>
        </w:rPr>
        <w:t> </w:t>
      </w:r>
      <w:r>
        <w:rPr>
          <w:b/>
          <w:color w:val="231F20"/>
          <w:sz w:val="24"/>
        </w:rPr>
        <w:t>della</w:t>
      </w:r>
      <w:r>
        <w:rPr>
          <w:b/>
          <w:color w:val="231F20"/>
          <w:spacing w:val="-7"/>
          <w:sz w:val="24"/>
        </w:rPr>
        <w:t> </w:t>
      </w:r>
      <w:r>
        <w:rPr>
          <w:b/>
          <w:color w:val="231F20"/>
          <w:sz w:val="24"/>
        </w:rPr>
        <w:t>Fiandra:</w:t>
      </w:r>
      <w:r>
        <w:rPr>
          <w:b/>
          <w:color w:val="231F20"/>
          <w:spacing w:val="-6"/>
          <w:sz w:val="24"/>
        </w:rPr>
        <w:t> </w:t>
      </w:r>
      <w:r>
        <w:rPr>
          <w:b/>
          <w:color w:val="231F20"/>
          <w:sz w:val="24"/>
        </w:rPr>
        <w:t>la</w:t>
      </w:r>
      <w:r>
        <w:rPr>
          <w:b/>
          <w:color w:val="231F20"/>
          <w:spacing w:val="-6"/>
          <w:sz w:val="24"/>
        </w:rPr>
        <w:t> </w:t>
      </w:r>
      <w:r>
        <w:rPr>
          <w:b/>
          <w:color w:val="231F20"/>
          <w:sz w:val="24"/>
        </w:rPr>
        <w:t>tutela</w:t>
      </w:r>
      <w:r>
        <w:rPr>
          <w:b/>
          <w:color w:val="231F20"/>
          <w:spacing w:val="-7"/>
          <w:sz w:val="24"/>
        </w:rPr>
        <w:t> </w:t>
      </w:r>
      <w:r>
        <w:rPr>
          <w:b/>
          <w:color w:val="231F20"/>
          <w:sz w:val="24"/>
        </w:rPr>
        <w:t>del</w:t>
      </w:r>
      <w:r>
        <w:rPr>
          <w:b/>
          <w:color w:val="231F20"/>
          <w:spacing w:val="-6"/>
          <w:sz w:val="24"/>
        </w:rPr>
        <w:t> </w:t>
      </w:r>
      <w:r>
        <w:rPr>
          <w:b/>
          <w:color w:val="231F20"/>
          <w:sz w:val="24"/>
        </w:rPr>
        <w:t>segreto professionale degli avvocati tributaristi</w:t>
      </w:r>
    </w:p>
    <w:p>
      <w:pPr>
        <w:pStyle w:val="BodyText"/>
        <w:spacing w:line="225" w:lineRule="auto" w:before="264"/>
        <w:ind w:left="100" w:right="174"/>
        <w:jc w:val="both"/>
      </w:pPr>
      <w:r>
        <w:rPr>
          <w:color w:val="231F20"/>
        </w:rPr>
        <w:t>La quarta sentenza avente ad oggetto la direttiva 2011/16/UE sulla </w:t>
      </w:r>
      <w:r>
        <w:rPr>
          <w:color w:val="231F20"/>
        </w:rPr>
        <w:t>coo- perazione amministrativa nel settore tributario</w:t>
      </w:r>
      <w:r>
        <w:rPr>
          <w:color w:val="231F20"/>
          <w:position w:val="8"/>
          <w:sz w:val="14"/>
        </w:rPr>
        <w:t>108</w:t>
      </w:r>
      <w:r>
        <w:rPr>
          <w:color w:val="231F20"/>
          <w:spacing w:val="40"/>
          <w:position w:val="8"/>
          <w:sz w:val="14"/>
        </w:rPr>
        <w:t> </w:t>
      </w:r>
      <w:r>
        <w:rPr>
          <w:color w:val="231F20"/>
        </w:rPr>
        <w:t>si distingue nettamente dalle prime tre in quanto l’autorevole giudice di rinvio - la Corte costi- tuzionale del Belgio – ha posto alla Corte di giustizia non una questione interpretativa, ma una questione di validità di un’importante disposizione della direttiva stessa. Il processo </w:t>
      </w:r>
      <w:r>
        <w:rPr>
          <w:i/>
          <w:color w:val="231F20"/>
        </w:rPr>
        <w:t>a quo </w:t>
      </w:r>
      <w:r>
        <w:rPr>
          <w:color w:val="231F20"/>
        </w:rPr>
        <w:t>aveva avuto origine da un ricorso dell’Ordine</w:t>
      </w:r>
      <w:r>
        <w:rPr>
          <w:color w:val="231F20"/>
          <w:spacing w:val="-14"/>
        </w:rPr>
        <w:t> </w:t>
      </w:r>
      <w:r>
        <w:rPr>
          <w:color w:val="231F20"/>
        </w:rPr>
        <w:t>degli</w:t>
      </w:r>
      <w:r>
        <w:rPr>
          <w:color w:val="231F20"/>
          <w:spacing w:val="-14"/>
        </w:rPr>
        <w:t> </w:t>
      </w:r>
      <w:r>
        <w:rPr>
          <w:color w:val="231F20"/>
        </w:rPr>
        <w:t>avvocati</w:t>
      </w:r>
      <w:r>
        <w:rPr>
          <w:color w:val="231F20"/>
          <w:spacing w:val="-14"/>
        </w:rPr>
        <w:t> </w:t>
      </w:r>
      <w:r>
        <w:rPr>
          <w:color w:val="231F20"/>
        </w:rPr>
        <w:t>della</w:t>
      </w:r>
      <w:r>
        <w:rPr>
          <w:color w:val="231F20"/>
          <w:spacing w:val="-14"/>
        </w:rPr>
        <w:t> </w:t>
      </w:r>
      <w:r>
        <w:rPr>
          <w:color w:val="231F20"/>
        </w:rPr>
        <w:t>Regione</w:t>
      </w:r>
      <w:r>
        <w:rPr>
          <w:color w:val="231F20"/>
          <w:spacing w:val="-14"/>
        </w:rPr>
        <w:t> </w:t>
      </w:r>
      <w:r>
        <w:rPr>
          <w:color w:val="231F20"/>
        </w:rPr>
        <w:t>fiamminga</w:t>
      </w:r>
      <w:r>
        <w:rPr>
          <w:color w:val="231F20"/>
          <w:spacing w:val="-14"/>
        </w:rPr>
        <w:t> </w:t>
      </w:r>
      <w:r>
        <w:rPr>
          <w:color w:val="231F20"/>
        </w:rPr>
        <w:t>e</w:t>
      </w:r>
      <w:r>
        <w:rPr>
          <w:color w:val="231F20"/>
          <w:spacing w:val="-14"/>
        </w:rPr>
        <w:t> </w:t>
      </w:r>
      <w:r>
        <w:rPr>
          <w:color w:val="231F20"/>
        </w:rPr>
        <w:t>dell’Associazione</w:t>
      </w:r>
      <w:r>
        <w:rPr>
          <w:color w:val="231F20"/>
          <w:spacing w:val="-14"/>
        </w:rPr>
        <w:t> </w:t>
      </w:r>
      <w:r>
        <w:rPr>
          <w:color w:val="231F20"/>
        </w:rPr>
        <w:t>bel- ga</w:t>
      </w:r>
      <w:r>
        <w:rPr>
          <w:color w:val="231F20"/>
          <w:spacing w:val="-10"/>
        </w:rPr>
        <w:t> </w:t>
      </w:r>
      <w:r>
        <w:rPr>
          <w:color w:val="231F20"/>
        </w:rPr>
        <w:t>degli</w:t>
      </w:r>
      <w:r>
        <w:rPr>
          <w:color w:val="231F20"/>
          <w:spacing w:val="-10"/>
        </w:rPr>
        <w:t> </w:t>
      </w:r>
      <w:r>
        <w:rPr>
          <w:color w:val="231F20"/>
        </w:rPr>
        <w:t>avvocati</w:t>
      </w:r>
      <w:r>
        <w:rPr>
          <w:color w:val="231F20"/>
          <w:spacing w:val="-10"/>
        </w:rPr>
        <w:t> </w:t>
      </w:r>
      <w:r>
        <w:rPr>
          <w:color w:val="231F20"/>
        </w:rPr>
        <w:t>tributaristi</w:t>
      </w:r>
      <w:r>
        <w:rPr>
          <w:color w:val="231F20"/>
          <w:spacing w:val="-10"/>
        </w:rPr>
        <w:t> </w:t>
      </w:r>
      <w:r>
        <w:rPr>
          <w:color w:val="231F20"/>
        </w:rPr>
        <w:t>con</w:t>
      </w:r>
      <w:r>
        <w:rPr>
          <w:color w:val="231F20"/>
          <w:spacing w:val="-10"/>
        </w:rPr>
        <w:t> </w:t>
      </w:r>
      <w:r>
        <w:rPr>
          <w:color w:val="231F20"/>
        </w:rPr>
        <w:t>il</w:t>
      </w:r>
      <w:r>
        <w:rPr>
          <w:color w:val="231F20"/>
          <w:spacing w:val="-10"/>
        </w:rPr>
        <w:t> </w:t>
      </w:r>
      <w:r>
        <w:rPr>
          <w:color w:val="231F20"/>
        </w:rPr>
        <w:t>quale</w:t>
      </w:r>
      <w:r>
        <w:rPr>
          <w:color w:val="231F20"/>
          <w:spacing w:val="-10"/>
        </w:rPr>
        <w:t> </w:t>
      </w:r>
      <w:r>
        <w:rPr>
          <w:color w:val="231F20"/>
        </w:rPr>
        <w:t>le</w:t>
      </w:r>
      <w:r>
        <w:rPr>
          <w:color w:val="231F20"/>
          <w:spacing w:val="-10"/>
        </w:rPr>
        <w:t> </w:t>
      </w:r>
      <w:r>
        <w:rPr>
          <w:color w:val="231F20"/>
        </w:rPr>
        <w:t>due</w:t>
      </w:r>
      <w:r>
        <w:rPr>
          <w:color w:val="231F20"/>
          <w:spacing w:val="-10"/>
        </w:rPr>
        <w:t> </w:t>
      </w:r>
      <w:r>
        <w:rPr>
          <w:color w:val="231F20"/>
        </w:rPr>
        <w:t>associazioni</w:t>
      </w:r>
      <w:r>
        <w:rPr>
          <w:color w:val="231F20"/>
          <w:spacing w:val="-10"/>
        </w:rPr>
        <w:t> </w:t>
      </w:r>
      <w:r>
        <w:rPr>
          <w:color w:val="231F20"/>
        </w:rPr>
        <w:t>forensi</w:t>
      </w:r>
      <w:r>
        <w:rPr>
          <w:color w:val="231F20"/>
          <w:spacing w:val="-10"/>
        </w:rPr>
        <w:t> </w:t>
      </w:r>
      <w:r>
        <w:rPr>
          <w:color w:val="231F20"/>
        </w:rPr>
        <w:t>avevano chiesto</w:t>
      </w:r>
      <w:r>
        <w:rPr>
          <w:color w:val="231F20"/>
          <w:spacing w:val="-9"/>
        </w:rPr>
        <w:t> </w:t>
      </w:r>
      <w:r>
        <w:rPr>
          <w:color w:val="231F20"/>
        </w:rPr>
        <w:t>alla</w:t>
      </w:r>
      <w:r>
        <w:rPr>
          <w:color w:val="231F20"/>
          <w:spacing w:val="-9"/>
        </w:rPr>
        <w:t> </w:t>
      </w:r>
      <w:r>
        <w:rPr>
          <w:color w:val="231F20"/>
        </w:rPr>
        <w:t>Corte</w:t>
      </w:r>
      <w:r>
        <w:rPr>
          <w:color w:val="231F20"/>
          <w:spacing w:val="-9"/>
        </w:rPr>
        <w:t> </w:t>
      </w:r>
      <w:r>
        <w:rPr>
          <w:color w:val="231F20"/>
        </w:rPr>
        <w:t>costituzionale</w:t>
      </w:r>
      <w:r>
        <w:rPr>
          <w:color w:val="231F20"/>
          <w:spacing w:val="-9"/>
        </w:rPr>
        <w:t> </w:t>
      </w:r>
      <w:r>
        <w:rPr>
          <w:color w:val="231F20"/>
        </w:rPr>
        <w:t>del</w:t>
      </w:r>
      <w:r>
        <w:rPr>
          <w:color w:val="231F20"/>
          <w:spacing w:val="-9"/>
        </w:rPr>
        <w:t> </w:t>
      </w:r>
      <w:r>
        <w:rPr>
          <w:color w:val="231F20"/>
        </w:rPr>
        <w:t>Belgio</w:t>
      </w:r>
      <w:r>
        <w:rPr>
          <w:color w:val="231F20"/>
          <w:spacing w:val="-9"/>
        </w:rPr>
        <w:t> </w:t>
      </w:r>
      <w:r>
        <w:rPr>
          <w:color w:val="231F20"/>
        </w:rPr>
        <w:t>la</w:t>
      </w:r>
      <w:r>
        <w:rPr>
          <w:color w:val="231F20"/>
          <w:spacing w:val="-9"/>
        </w:rPr>
        <w:t> </w:t>
      </w:r>
      <w:r>
        <w:rPr>
          <w:color w:val="231F20"/>
        </w:rPr>
        <w:t>sospensione</w:t>
      </w:r>
      <w:r>
        <w:rPr>
          <w:color w:val="231F20"/>
          <w:spacing w:val="-9"/>
        </w:rPr>
        <w:t> </w:t>
      </w:r>
      <w:r>
        <w:rPr>
          <w:color w:val="231F20"/>
        </w:rPr>
        <w:t>del</w:t>
      </w:r>
      <w:r>
        <w:rPr>
          <w:color w:val="231F20"/>
          <w:spacing w:val="-9"/>
        </w:rPr>
        <w:t> </w:t>
      </w:r>
      <w:r>
        <w:rPr>
          <w:color w:val="231F20"/>
        </w:rPr>
        <w:t>decreto</w:t>
      </w:r>
      <w:r>
        <w:rPr>
          <w:color w:val="231F20"/>
          <w:spacing w:val="-9"/>
        </w:rPr>
        <w:t> </w:t>
      </w:r>
      <w:r>
        <w:rPr>
          <w:color w:val="231F20"/>
        </w:rPr>
        <w:t>adot- tato dalla suddetta Regione</w:t>
      </w:r>
      <w:r>
        <w:rPr>
          <w:color w:val="231F20"/>
          <w:spacing w:val="-1"/>
        </w:rPr>
        <w:t> </w:t>
      </w:r>
      <w:r>
        <w:rPr>
          <w:color w:val="231F20"/>
        </w:rPr>
        <w:t>al fine di dare attuazione sul</w:t>
      </w:r>
      <w:r>
        <w:rPr>
          <w:color w:val="231F20"/>
          <w:spacing w:val="-1"/>
        </w:rPr>
        <w:t> </w:t>
      </w:r>
      <w:r>
        <w:rPr>
          <w:color w:val="231F20"/>
        </w:rPr>
        <w:t>suo territorio</w:t>
      </w:r>
      <w:r>
        <w:rPr>
          <w:color w:val="231F20"/>
          <w:spacing w:val="-1"/>
        </w:rPr>
        <w:t> </w:t>
      </w:r>
      <w:r>
        <w:rPr>
          <w:color w:val="231F20"/>
        </w:rPr>
        <w:t>alla direttiva</w:t>
      </w:r>
      <w:r>
        <w:rPr>
          <w:color w:val="231F20"/>
          <w:spacing w:val="-10"/>
        </w:rPr>
        <w:t> </w:t>
      </w:r>
      <w:r>
        <w:rPr>
          <w:color w:val="231F20"/>
        </w:rPr>
        <w:t>2011/16/UE.</w:t>
      </w:r>
      <w:r>
        <w:rPr>
          <w:color w:val="231F20"/>
          <w:spacing w:val="-10"/>
        </w:rPr>
        <w:t> </w:t>
      </w:r>
      <w:r>
        <w:rPr>
          <w:color w:val="231F20"/>
        </w:rPr>
        <w:t>Le</w:t>
      </w:r>
      <w:r>
        <w:rPr>
          <w:color w:val="231F20"/>
          <w:spacing w:val="-10"/>
        </w:rPr>
        <w:t> </w:t>
      </w:r>
      <w:r>
        <w:rPr>
          <w:color w:val="231F20"/>
        </w:rPr>
        <w:t>parti</w:t>
      </w:r>
      <w:r>
        <w:rPr>
          <w:color w:val="231F20"/>
          <w:spacing w:val="-10"/>
        </w:rPr>
        <w:t> </w:t>
      </w:r>
      <w:r>
        <w:rPr>
          <w:color w:val="231F20"/>
        </w:rPr>
        <w:t>ricorrenti</w:t>
      </w:r>
      <w:r>
        <w:rPr>
          <w:color w:val="231F20"/>
          <w:spacing w:val="-10"/>
        </w:rPr>
        <w:t> </w:t>
      </w:r>
      <w:r>
        <w:rPr>
          <w:color w:val="231F20"/>
        </w:rPr>
        <w:t>contestavano</w:t>
      </w:r>
      <w:r>
        <w:rPr>
          <w:color w:val="231F20"/>
          <w:spacing w:val="-10"/>
        </w:rPr>
        <w:t> </w:t>
      </w:r>
      <w:r>
        <w:rPr>
          <w:color w:val="231F20"/>
        </w:rPr>
        <w:t>più</w:t>
      </w:r>
      <w:r>
        <w:rPr>
          <w:color w:val="231F20"/>
          <w:spacing w:val="-10"/>
        </w:rPr>
        <w:t> </w:t>
      </w:r>
      <w:r>
        <w:rPr>
          <w:color w:val="231F20"/>
        </w:rPr>
        <w:t>precisamente</w:t>
      </w:r>
      <w:r>
        <w:rPr>
          <w:color w:val="231F20"/>
          <w:spacing w:val="-10"/>
        </w:rPr>
        <w:t> </w:t>
      </w:r>
      <w:r>
        <w:rPr>
          <w:color w:val="231F20"/>
        </w:rPr>
        <w:t>la disposizione</w:t>
      </w:r>
      <w:r>
        <w:rPr>
          <w:color w:val="231F20"/>
          <w:spacing w:val="-8"/>
        </w:rPr>
        <w:t> </w:t>
      </w:r>
      <w:r>
        <w:rPr>
          <w:color w:val="231F20"/>
        </w:rPr>
        <w:t>del</w:t>
      </w:r>
      <w:r>
        <w:rPr>
          <w:color w:val="231F20"/>
          <w:spacing w:val="-8"/>
        </w:rPr>
        <w:t> </w:t>
      </w:r>
      <w:r>
        <w:rPr>
          <w:color w:val="231F20"/>
        </w:rPr>
        <w:t>decreto</w:t>
      </w:r>
      <w:r>
        <w:rPr>
          <w:color w:val="231F20"/>
          <w:spacing w:val="-8"/>
        </w:rPr>
        <w:t> </w:t>
      </w:r>
      <w:r>
        <w:rPr>
          <w:color w:val="231F20"/>
        </w:rPr>
        <w:t>della</w:t>
      </w:r>
      <w:r>
        <w:rPr>
          <w:color w:val="231F20"/>
          <w:spacing w:val="-8"/>
        </w:rPr>
        <w:t> </w:t>
      </w:r>
      <w:r>
        <w:rPr>
          <w:color w:val="231F20"/>
        </w:rPr>
        <w:t>Regione</w:t>
      </w:r>
      <w:r>
        <w:rPr>
          <w:color w:val="231F20"/>
          <w:spacing w:val="-8"/>
        </w:rPr>
        <w:t> </w:t>
      </w:r>
      <w:r>
        <w:rPr>
          <w:color w:val="231F20"/>
        </w:rPr>
        <w:t>fiamminga</w:t>
      </w:r>
      <w:r>
        <w:rPr>
          <w:color w:val="231F20"/>
          <w:spacing w:val="-8"/>
        </w:rPr>
        <w:t> </w:t>
      </w:r>
      <w:r>
        <w:rPr>
          <w:color w:val="231F20"/>
        </w:rPr>
        <w:t>che</w:t>
      </w:r>
      <w:r>
        <w:rPr>
          <w:color w:val="231F20"/>
          <w:spacing w:val="-8"/>
        </w:rPr>
        <w:t> </w:t>
      </w:r>
      <w:r>
        <w:rPr>
          <w:color w:val="231F20"/>
        </w:rPr>
        <w:t>trasponeva</w:t>
      </w:r>
      <w:r>
        <w:rPr>
          <w:color w:val="231F20"/>
          <w:spacing w:val="-8"/>
        </w:rPr>
        <w:t> </w:t>
      </w:r>
      <w:r>
        <w:rPr>
          <w:color w:val="231F20"/>
        </w:rPr>
        <w:t>in</w:t>
      </w:r>
      <w:r>
        <w:rPr>
          <w:color w:val="231F20"/>
          <w:spacing w:val="-8"/>
        </w:rPr>
        <w:t> </w:t>
      </w:r>
      <w:r>
        <w:rPr>
          <w:color w:val="231F20"/>
        </w:rPr>
        <w:t>diritto interno</w:t>
      </w:r>
      <w:r>
        <w:rPr>
          <w:color w:val="231F20"/>
          <w:spacing w:val="-2"/>
        </w:rPr>
        <w:t> </w:t>
      </w:r>
      <w:r>
        <w:rPr>
          <w:color w:val="231F20"/>
        </w:rPr>
        <w:t>l’art.</w:t>
      </w:r>
      <w:r>
        <w:rPr>
          <w:color w:val="231F20"/>
          <w:spacing w:val="-2"/>
        </w:rPr>
        <w:t> </w:t>
      </w:r>
      <w:r>
        <w:rPr>
          <w:color w:val="231F20"/>
        </w:rPr>
        <w:t>8</w:t>
      </w:r>
      <w:r>
        <w:rPr>
          <w:color w:val="231F20"/>
          <w:spacing w:val="-2"/>
        </w:rPr>
        <w:t> </w:t>
      </w:r>
      <w:r>
        <w:rPr>
          <w:color w:val="231F20"/>
        </w:rPr>
        <w:t>bis</w:t>
      </w:r>
      <w:r>
        <w:rPr>
          <w:color w:val="231F20"/>
          <w:spacing w:val="-2"/>
        </w:rPr>
        <w:t> </w:t>
      </w:r>
      <w:r>
        <w:rPr>
          <w:color w:val="231F20"/>
        </w:rPr>
        <w:t>ter,</w:t>
      </w:r>
      <w:r>
        <w:rPr>
          <w:color w:val="231F20"/>
          <w:spacing w:val="-2"/>
        </w:rPr>
        <w:t> </w:t>
      </w:r>
      <w:r>
        <w:rPr>
          <w:color w:val="231F20"/>
        </w:rPr>
        <w:t>par.</w:t>
      </w:r>
      <w:r>
        <w:rPr>
          <w:color w:val="231F20"/>
          <w:spacing w:val="-2"/>
        </w:rPr>
        <w:t> </w:t>
      </w:r>
      <w:r>
        <w:rPr>
          <w:color w:val="231F20"/>
        </w:rPr>
        <w:t>1,</w:t>
      </w:r>
      <w:r>
        <w:rPr>
          <w:color w:val="231F20"/>
          <w:spacing w:val="-2"/>
        </w:rPr>
        <w:t> </w:t>
      </w:r>
      <w:r>
        <w:rPr>
          <w:color w:val="231F20"/>
        </w:rPr>
        <w:t>della</w:t>
      </w:r>
      <w:r>
        <w:rPr>
          <w:color w:val="231F20"/>
          <w:spacing w:val="-2"/>
        </w:rPr>
        <w:t> </w:t>
      </w:r>
      <w:r>
        <w:rPr>
          <w:color w:val="231F20"/>
        </w:rPr>
        <w:t>direttiva</w:t>
      </w:r>
      <w:r>
        <w:rPr>
          <w:color w:val="231F20"/>
          <w:spacing w:val="-2"/>
        </w:rPr>
        <w:t> </w:t>
      </w:r>
      <w:r>
        <w:rPr>
          <w:color w:val="231F20"/>
        </w:rPr>
        <w:t>2011/16/UE,</w:t>
      </w:r>
      <w:r>
        <w:rPr>
          <w:color w:val="231F20"/>
          <w:spacing w:val="-2"/>
        </w:rPr>
        <w:t> </w:t>
      </w:r>
      <w:r>
        <w:rPr>
          <w:color w:val="231F20"/>
        </w:rPr>
        <w:t>inserito</w:t>
      </w:r>
      <w:r>
        <w:rPr>
          <w:color w:val="231F20"/>
          <w:spacing w:val="-2"/>
        </w:rPr>
        <w:t> </w:t>
      </w:r>
      <w:r>
        <w:rPr>
          <w:color w:val="231F20"/>
        </w:rPr>
        <w:t>dall’art. 1, par. 2, della direttiva 2018/822/UE (c.d. DAC 6).</w:t>
      </w:r>
      <w:r>
        <w:rPr>
          <w:color w:val="231F20"/>
          <w:spacing w:val="-7"/>
        </w:rPr>
        <w:t> </w:t>
      </w:r>
      <w:r>
        <w:rPr>
          <w:color w:val="231F20"/>
        </w:rPr>
        <w:t>Tale norma prevede che gli Stati membri impongano ai c.d. intermediari</w:t>
      </w:r>
      <w:r>
        <w:rPr>
          <w:color w:val="231F20"/>
          <w:position w:val="8"/>
          <w:sz w:val="14"/>
        </w:rPr>
        <w:t>109</w:t>
      </w:r>
      <w:r>
        <w:rPr>
          <w:color w:val="231F20"/>
          <w:spacing w:val="29"/>
          <w:position w:val="8"/>
          <w:sz w:val="14"/>
        </w:rPr>
        <w:t> </w:t>
      </w:r>
      <w:r>
        <w:rPr>
          <w:color w:val="231F20"/>
        </w:rPr>
        <w:t>di comunicare alle loro amministrazioni finanziarie i «meccanismi transfrontalieri di pianifi- cazione</w:t>
      </w:r>
      <w:r>
        <w:rPr>
          <w:color w:val="231F20"/>
          <w:spacing w:val="-15"/>
        </w:rPr>
        <w:t> </w:t>
      </w:r>
      <w:r>
        <w:rPr>
          <w:color w:val="231F20"/>
        </w:rPr>
        <w:t>fiscale</w:t>
      </w:r>
      <w:r>
        <w:rPr>
          <w:color w:val="231F20"/>
          <w:spacing w:val="-15"/>
        </w:rPr>
        <w:t> </w:t>
      </w:r>
      <w:r>
        <w:rPr>
          <w:color w:val="231F20"/>
        </w:rPr>
        <w:t>potenzialmente</w:t>
      </w:r>
      <w:r>
        <w:rPr>
          <w:color w:val="231F20"/>
          <w:spacing w:val="-15"/>
        </w:rPr>
        <w:t> </w:t>
      </w:r>
      <w:r>
        <w:rPr>
          <w:color w:val="231F20"/>
        </w:rPr>
        <w:t>aggressiva»</w:t>
      </w:r>
      <w:r>
        <w:rPr>
          <w:color w:val="231F20"/>
          <w:position w:val="8"/>
          <w:sz w:val="14"/>
        </w:rPr>
        <w:t>110</w:t>
      </w:r>
      <w:r>
        <w:rPr>
          <w:color w:val="231F20"/>
        </w:rPr>
        <w:t>.</w:t>
      </w:r>
      <w:r>
        <w:rPr>
          <w:color w:val="231F20"/>
          <w:spacing w:val="-15"/>
        </w:rPr>
        <w:t> </w:t>
      </w:r>
      <w:r>
        <w:rPr>
          <w:color w:val="231F20"/>
        </w:rPr>
        <w:t>Qualora</w:t>
      </w:r>
      <w:r>
        <w:rPr>
          <w:color w:val="231F20"/>
          <w:spacing w:val="-15"/>
        </w:rPr>
        <w:t> </w:t>
      </w:r>
      <w:r>
        <w:rPr>
          <w:color w:val="231F20"/>
        </w:rPr>
        <w:t>l’intermediario</w:t>
      </w:r>
      <w:r>
        <w:rPr>
          <w:color w:val="231F20"/>
          <w:spacing w:val="-15"/>
        </w:rPr>
        <w:t> </w:t>
      </w:r>
      <w:r>
        <w:rPr>
          <w:color w:val="231F20"/>
        </w:rPr>
        <w:t>tenu- to all’obbligo di comunicazione sia vincolato al segreto professionale sulla base</w:t>
      </w:r>
      <w:r>
        <w:rPr>
          <w:color w:val="231F20"/>
          <w:spacing w:val="-1"/>
        </w:rPr>
        <w:t> </w:t>
      </w:r>
      <w:r>
        <w:rPr>
          <w:color w:val="231F20"/>
        </w:rPr>
        <w:t>del</w:t>
      </w:r>
      <w:r>
        <w:rPr>
          <w:color w:val="231F20"/>
          <w:spacing w:val="-1"/>
        </w:rPr>
        <w:t> </w:t>
      </w:r>
      <w:r>
        <w:rPr>
          <w:color w:val="231F20"/>
        </w:rPr>
        <w:t>diritto</w:t>
      </w:r>
      <w:r>
        <w:rPr>
          <w:color w:val="231F20"/>
          <w:spacing w:val="-1"/>
        </w:rPr>
        <w:t> </w:t>
      </w:r>
      <w:r>
        <w:rPr>
          <w:color w:val="231F20"/>
        </w:rPr>
        <w:t>nazionale,</w:t>
      </w:r>
      <w:r>
        <w:rPr>
          <w:color w:val="231F20"/>
          <w:spacing w:val="-1"/>
        </w:rPr>
        <w:t> </w:t>
      </w:r>
      <w:r>
        <w:rPr>
          <w:color w:val="231F20"/>
        </w:rPr>
        <w:t>ciascuno</w:t>
      </w:r>
      <w:r>
        <w:rPr>
          <w:color w:val="231F20"/>
          <w:spacing w:val="-1"/>
        </w:rPr>
        <w:t> </w:t>
      </w:r>
      <w:r>
        <w:rPr>
          <w:color w:val="231F20"/>
        </w:rPr>
        <w:t>Stato</w:t>
      </w:r>
      <w:r>
        <w:rPr>
          <w:color w:val="231F20"/>
          <w:spacing w:val="-1"/>
        </w:rPr>
        <w:t> </w:t>
      </w:r>
      <w:r>
        <w:rPr>
          <w:color w:val="231F20"/>
        </w:rPr>
        <w:t>membro,</w:t>
      </w:r>
      <w:r>
        <w:rPr>
          <w:color w:val="231F20"/>
          <w:spacing w:val="-1"/>
        </w:rPr>
        <w:t> </w:t>
      </w:r>
      <w:r>
        <w:rPr>
          <w:color w:val="231F20"/>
        </w:rPr>
        <w:t>sulla</w:t>
      </w:r>
      <w:r>
        <w:rPr>
          <w:color w:val="231F20"/>
          <w:spacing w:val="-1"/>
        </w:rPr>
        <w:t> </w:t>
      </w:r>
      <w:r>
        <w:rPr>
          <w:color w:val="231F20"/>
        </w:rPr>
        <w:t>base</w:t>
      </w:r>
      <w:r>
        <w:rPr>
          <w:color w:val="231F20"/>
          <w:spacing w:val="-1"/>
        </w:rPr>
        <w:t> </w:t>
      </w:r>
      <w:r>
        <w:rPr>
          <w:color w:val="231F20"/>
        </w:rPr>
        <w:t>del</w:t>
      </w:r>
      <w:r>
        <w:rPr>
          <w:color w:val="231F20"/>
          <w:spacing w:val="-1"/>
        </w:rPr>
        <w:t> </w:t>
      </w:r>
      <w:r>
        <w:rPr>
          <w:color w:val="231F20"/>
        </w:rPr>
        <w:t>par.</w:t>
      </w:r>
      <w:r>
        <w:rPr>
          <w:color w:val="231F20"/>
          <w:spacing w:val="-1"/>
        </w:rPr>
        <w:t> </w:t>
      </w:r>
      <w:r>
        <w:rPr>
          <w:color w:val="231F20"/>
        </w:rPr>
        <w:t>5 </w:t>
      </w:r>
      <w:r>
        <w:rPr>
          <w:color w:val="231F20"/>
          <w:spacing w:val="-5"/>
        </w:rPr>
        <w:t>del</w:t>
      </w:r>
    </w:p>
    <w:p>
      <w:pPr>
        <w:pStyle w:val="BodyText"/>
        <w:spacing w:before="10"/>
        <w:rPr>
          <w:sz w:val="10"/>
        </w:rPr>
      </w:pPr>
      <w:r>
        <w:rPr/>
        <mc:AlternateContent>
          <mc:Choice Requires="wps">
            <w:drawing>
              <wp:anchor distT="0" distB="0" distL="0" distR="0" allowOverlap="1" layoutInCell="1" locked="0" behindDoc="1" simplePos="0" relativeHeight="487634432">
                <wp:simplePos x="0" y="0"/>
                <wp:positionH relativeFrom="page">
                  <wp:posOffset>864000</wp:posOffset>
                </wp:positionH>
                <wp:positionV relativeFrom="paragraph">
                  <wp:posOffset>102578</wp:posOffset>
                </wp:positionV>
                <wp:extent cx="792480" cy="1270"/>
                <wp:effectExtent l="0" t="0" r="0" b="0"/>
                <wp:wrapTopAndBottom/>
                <wp:docPr id="152" name="Graphic 152"/>
                <wp:cNvGraphicFramePr>
                  <a:graphicFrameLocks/>
                </wp:cNvGraphicFramePr>
                <a:graphic>
                  <a:graphicData uri="http://schemas.microsoft.com/office/word/2010/wordprocessingShape">
                    <wps:wsp>
                      <wps:cNvPr id="152" name="Graphic 152"/>
                      <wps:cNvSpPr/>
                      <wps:spPr>
                        <a:xfrm>
                          <a:off x="0" y="0"/>
                          <a:ext cx="792480" cy="1270"/>
                        </a:xfrm>
                        <a:custGeom>
                          <a:avLst/>
                          <a:gdLst/>
                          <a:ahLst/>
                          <a:cxnLst/>
                          <a:rect l="l" t="t" r="r" b="b"/>
                          <a:pathLst>
                            <a:path w="792480" h="0">
                              <a:moveTo>
                                <a:pt x="0" y="0"/>
                              </a:moveTo>
                              <a:lnTo>
                                <a:pt x="791997"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shape style="position:absolute;margin-left:68.031502pt;margin-top:8.07708pt;width:62.4pt;height:.1pt;mso-position-horizontal-relative:page;mso-position-vertical-relative:paragraph;z-index:-15682048;mso-wrap-distance-left:0;mso-wrap-distance-right:0" id="docshape126" coordorigin="1361,162" coordsize="1248,0" path="m1361,162l2608,162e" filled="false" stroked="true" strokeweight=".5pt" strokecolor="#231f20">
                <v:path arrowok="t"/>
                <v:stroke dashstyle="solid"/>
                <w10:wrap type="topAndBottom"/>
              </v:shape>
            </w:pict>
          </mc:Fallback>
        </mc:AlternateContent>
      </w:r>
    </w:p>
    <w:p>
      <w:pPr>
        <w:spacing w:line="225" w:lineRule="auto" w:before="201"/>
        <w:ind w:left="100" w:right="174" w:firstLine="0"/>
        <w:jc w:val="both"/>
        <w:rPr>
          <w:sz w:val="19"/>
        </w:rPr>
      </w:pPr>
      <w:r>
        <w:rPr>
          <w:color w:val="231F20"/>
          <w:position w:val="6"/>
          <w:sz w:val="11"/>
        </w:rPr>
        <w:t>108</w:t>
      </w:r>
      <w:r>
        <w:rPr>
          <w:color w:val="231F20"/>
          <w:spacing w:val="40"/>
          <w:position w:val="6"/>
          <w:sz w:val="11"/>
        </w:rPr>
        <w:t> </w:t>
      </w:r>
      <w:r>
        <w:rPr>
          <w:color w:val="231F20"/>
          <w:sz w:val="19"/>
        </w:rPr>
        <w:t>Corte giust. UE, sent. del 8 dicembre 2022, causa C-694/20, </w:t>
      </w:r>
      <w:r>
        <w:rPr>
          <w:i/>
          <w:color w:val="231F20"/>
          <w:sz w:val="19"/>
        </w:rPr>
        <w:t>Ordine degli avvocati di</w:t>
      </w:r>
      <w:r>
        <w:rPr>
          <w:i/>
          <w:color w:val="231F20"/>
          <w:sz w:val="19"/>
        </w:rPr>
        <w:t> Fiandra e Associazione belga degli avvocati tributaristi </w:t>
      </w:r>
      <w:r>
        <w:rPr>
          <w:color w:val="231F20"/>
          <w:sz w:val="19"/>
        </w:rPr>
        <w:t>contro </w:t>
      </w:r>
      <w:r>
        <w:rPr>
          <w:i/>
          <w:color w:val="231F20"/>
          <w:sz w:val="19"/>
        </w:rPr>
        <w:t>Governo della Fiandra. </w:t>
      </w:r>
      <w:r>
        <w:rPr>
          <w:color w:val="231F20"/>
          <w:sz w:val="19"/>
        </w:rPr>
        <w:t>Tale pronuncia della Corte di giustizia ha formato l’oggetto di vari commenti in varie lingue: E. Sturli - H.Thibault, </w:t>
      </w:r>
      <w:r>
        <w:rPr>
          <w:i/>
          <w:color w:val="231F20"/>
          <w:sz w:val="19"/>
        </w:rPr>
        <w:t>Extension of EU legal professional privilege: case C-694/20 – Orde van</w:t>
      </w:r>
      <w:r>
        <w:rPr>
          <w:i/>
          <w:color w:val="231F20"/>
          <w:sz w:val="19"/>
        </w:rPr>
        <w:t> Vlaamse Balies, </w:t>
      </w:r>
      <w:r>
        <w:rPr>
          <w:color w:val="231F20"/>
          <w:sz w:val="19"/>
        </w:rPr>
        <w:t>in </w:t>
      </w:r>
      <w:r>
        <w:rPr>
          <w:i/>
          <w:color w:val="231F20"/>
          <w:sz w:val="19"/>
        </w:rPr>
        <w:t>Journal of European Competition Law and Practice, </w:t>
      </w:r>
      <w:r>
        <w:rPr>
          <w:color w:val="231F20"/>
          <w:sz w:val="19"/>
        </w:rPr>
        <w:t>2023; E. Münster - D. Fehling, </w:t>
      </w:r>
      <w:r>
        <w:rPr>
          <w:i/>
          <w:color w:val="231F20"/>
          <w:sz w:val="19"/>
        </w:rPr>
        <w:t>Das Vorabentscheidungsersuchen EUGH Aktenzeichen C-694/20 und die </w:t>
      </w:r>
      <w:r>
        <w:rPr>
          <w:i/>
          <w:color w:val="231F20"/>
          <w:sz w:val="19"/>
        </w:rPr>
        <w:t>Bedeutung</w:t>
      </w:r>
      <w:r>
        <w:rPr>
          <w:i/>
          <w:color w:val="231F20"/>
          <w:spacing w:val="40"/>
          <w:sz w:val="19"/>
        </w:rPr>
        <w:t> </w:t>
      </w:r>
      <w:r>
        <w:rPr>
          <w:i/>
          <w:color w:val="231F20"/>
          <w:sz w:val="19"/>
        </w:rPr>
        <w:t>der</w:t>
      </w:r>
      <w:r>
        <w:rPr>
          <w:i/>
          <w:color w:val="231F20"/>
          <w:spacing w:val="-1"/>
          <w:sz w:val="19"/>
        </w:rPr>
        <w:t> </w:t>
      </w:r>
      <w:r>
        <w:rPr>
          <w:i/>
          <w:color w:val="231F20"/>
          <w:sz w:val="19"/>
        </w:rPr>
        <w:t>EU-Grundrechtecharte</w:t>
      </w:r>
      <w:r>
        <w:rPr>
          <w:i/>
          <w:color w:val="231F20"/>
          <w:spacing w:val="-1"/>
          <w:sz w:val="19"/>
        </w:rPr>
        <w:t> </w:t>
      </w:r>
      <w:r>
        <w:rPr>
          <w:i/>
          <w:color w:val="231F20"/>
          <w:sz w:val="19"/>
        </w:rPr>
        <w:t>für</w:t>
      </w:r>
      <w:r>
        <w:rPr>
          <w:i/>
          <w:color w:val="231F20"/>
          <w:spacing w:val="-1"/>
          <w:sz w:val="19"/>
        </w:rPr>
        <w:t> </w:t>
      </w:r>
      <w:r>
        <w:rPr>
          <w:i/>
          <w:color w:val="231F20"/>
          <w:sz w:val="19"/>
        </w:rPr>
        <w:t>die</w:t>
      </w:r>
      <w:r>
        <w:rPr>
          <w:i/>
          <w:color w:val="231F20"/>
          <w:spacing w:val="-1"/>
          <w:sz w:val="19"/>
        </w:rPr>
        <w:t> </w:t>
      </w:r>
      <w:r>
        <w:rPr>
          <w:i/>
          <w:color w:val="231F20"/>
          <w:sz w:val="19"/>
        </w:rPr>
        <w:t>direkte</w:t>
      </w:r>
      <w:r>
        <w:rPr>
          <w:i/>
          <w:color w:val="231F20"/>
          <w:spacing w:val="-1"/>
          <w:sz w:val="19"/>
        </w:rPr>
        <w:t> </w:t>
      </w:r>
      <w:r>
        <w:rPr>
          <w:i/>
          <w:color w:val="231F20"/>
          <w:sz w:val="19"/>
        </w:rPr>
        <w:t>Steuern</w:t>
      </w:r>
      <w:r>
        <w:rPr>
          <w:color w:val="231F20"/>
          <w:sz w:val="19"/>
        </w:rPr>
        <w:t>, in</w:t>
      </w:r>
      <w:r>
        <w:rPr>
          <w:color w:val="231F20"/>
          <w:spacing w:val="-1"/>
          <w:sz w:val="19"/>
        </w:rPr>
        <w:t> </w:t>
      </w:r>
      <w:r>
        <w:rPr>
          <w:i/>
          <w:color w:val="231F20"/>
          <w:sz w:val="19"/>
        </w:rPr>
        <w:t>Internationales</w:t>
      </w:r>
      <w:r>
        <w:rPr>
          <w:i/>
          <w:color w:val="231F20"/>
          <w:spacing w:val="-1"/>
          <w:sz w:val="19"/>
        </w:rPr>
        <w:t> </w:t>
      </w:r>
      <w:r>
        <w:rPr>
          <w:i/>
          <w:color w:val="231F20"/>
          <w:sz w:val="19"/>
        </w:rPr>
        <w:t>Steuerrecht</w:t>
      </w:r>
      <w:r>
        <w:rPr>
          <w:color w:val="231F20"/>
          <w:sz w:val="19"/>
        </w:rPr>
        <w:t>,</w:t>
      </w:r>
      <w:r>
        <w:rPr>
          <w:color w:val="231F20"/>
          <w:spacing w:val="-1"/>
          <w:sz w:val="19"/>
        </w:rPr>
        <w:t> </w:t>
      </w:r>
      <w:r>
        <w:rPr>
          <w:color w:val="231F20"/>
          <w:sz w:val="19"/>
        </w:rPr>
        <w:t>2021,</w:t>
      </w:r>
      <w:r>
        <w:rPr>
          <w:color w:val="231F20"/>
          <w:spacing w:val="-1"/>
          <w:sz w:val="19"/>
        </w:rPr>
        <w:t> </w:t>
      </w:r>
      <w:r>
        <w:rPr>
          <w:color w:val="231F20"/>
          <w:sz w:val="19"/>
        </w:rPr>
        <w:t>Heft </w:t>
      </w:r>
      <w:r>
        <w:rPr>
          <w:color w:val="231F20"/>
          <w:spacing w:val="-5"/>
          <w:sz w:val="19"/>
        </w:rPr>
        <w:t>16,</w:t>
      </w:r>
    </w:p>
    <w:p>
      <w:pPr>
        <w:spacing w:line="225" w:lineRule="auto" w:before="7"/>
        <w:ind w:left="100" w:right="175" w:firstLine="0"/>
        <w:jc w:val="both"/>
        <w:rPr>
          <w:sz w:val="19"/>
        </w:rPr>
      </w:pPr>
      <w:r>
        <w:rPr>
          <w:color w:val="231F20"/>
          <w:sz w:val="19"/>
        </w:rPr>
        <w:t>pp. 621-628; N. Cecconi, </w:t>
      </w:r>
      <w:r>
        <w:rPr>
          <w:i/>
          <w:color w:val="231F20"/>
          <w:sz w:val="19"/>
        </w:rPr>
        <w:t>Obbligo di notifica degli intermediari e tutela del segreto </w:t>
      </w:r>
      <w:r>
        <w:rPr>
          <w:i/>
          <w:color w:val="231F20"/>
          <w:sz w:val="19"/>
        </w:rPr>
        <w:t>professionale</w:t>
      </w:r>
      <w:r>
        <w:rPr>
          <w:i/>
          <w:color w:val="231F20"/>
          <w:sz w:val="19"/>
        </w:rPr>
        <w:t> dopo</w:t>
      </w:r>
      <w:r>
        <w:rPr>
          <w:i/>
          <w:color w:val="231F20"/>
          <w:spacing w:val="-2"/>
          <w:sz w:val="19"/>
        </w:rPr>
        <w:t> </w:t>
      </w:r>
      <w:r>
        <w:rPr>
          <w:i/>
          <w:color w:val="231F20"/>
          <w:sz w:val="19"/>
        </w:rPr>
        <w:t>la</w:t>
      </w:r>
      <w:r>
        <w:rPr>
          <w:i/>
          <w:color w:val="231F20"/>
          <w:spacing w:val="-2"/>
          <w:sz w:val="19"/>
        </w:rPr>
        <w:t> </w:t>
      </w:r>
      <w:r>
        <w:rPr>
          <w:i/>
          <w:color w:val="231F20"/>
          <w:sz w:val="19"/>
        </w:rPr>
        <w:t>pronuncia</w:t>
      </w:r>
      <w:r>
        <w:rPr>
          <w:i/>
          <w:color w:val="231F20"/>
          <w:spacing w:val="-2"/>
          <w:sz w:val="19"/>
        </w:rPr>
        <w:t> </w:t>
      </w:r>
      <w:r>
        <w:rPr>
          <w:i/>
          <w:color w:val="231F20"/>
          <w:sz w:val="19"/>
        </w:rPr>
        <w:t>CGUE</w:t>
      </w:r>
      <w:r>
        <w:rPr>
          <w:i/>
          <w:color w:val="231F20"/>
          <w:spacing w:val="-2"/>
          <w:sz w:val="19"/>
        </w:rPr>
        <w:t> </w:t>
      </w:r>
      <w:r>
        <w:rPr>
          <w:i/>
          <w:color w:val="231F20"/>
          <w:sz w:val="19"/>
        </w:rPr>
        <w:t>dell’8</w:t>
      </w:r>
      <w:r>
        <w:rPr>
          <w:i/>
          <w:color w:val="231F20"/>
          <w:spacing w:val="-2"/>
          <w:sz w:val="19"/>
        </w:rPr>
        <w:t> </w:t>
      </w:r>
      <w:r>
        <w:rPr>
          <w:i/>
          <w:color w:val="231F20"/>
          <w:sz w:val="19"/>
        </w:rPr>
        <w:t>dicembre</w:t>
      </w:r>
      <w:r>
        <w:rPr>
          <w:i/>
          <w:color w:val="231F20"/>
          <w:spacing w:val="-2"/>
          <w:sz w:val="19"/>
        </w:rPr>
        <w:t> </w:t>
      </w:r>
      <w:r>
        <w:rPr>
          <w:i/>
          <w:color w:val="231F20"/>
          <w:sz w:val="19"/>
        </w:rPr>
        <w:t>2023</w:t>
      </w:r>
      <w:r>
        <w:rPr>
          <w:color w:val="231F20"/>
          <w:sz w:val="19"/>
        </w:rPr>
        <w:t>,</w:t>
      </w:r>
      <w:r>
        <w:rPr>
          <w:color w:val="231F20"/>
          <w:spacing w:val="-2"/>
          <w:sz w:val="19"/>
        </w:rPr>
        <w:t> </w:t>
      </w:r>
      <w:r>
        <w:rPr>
          <w:color w:val="231F20"/>
          <w:sz w:val="19"/>
        </w:rPr>
        <w:t>in</w:t>
      </w:r>
      <w:r>
        <w:rPr>
          <w:color w:val="231F20"/>
          <w:spacing w:val="-2"/>
          <w:sz w:val="19"/>
        </w:rPr>
        <w:t> </w:t>
      </w:r>
      <w:r>
        <w:rPr>
          <w:color w:val="231F20"/>
          <w:sz w:val="19"/>
        </w:rPr>
        <w:t>Supplemento</w:t>
      </w:r>
      <w:r>
        <w:rPr>
          <w:color w:val="231F20"/>
          <w:spacing w:val="-2"/>
          <w:sz w:val="19"/>
        </w:rPr>
        <w:t> </w:t>
      </w:r>
      <w:r>
        <w:rPr>
          <w:i/>
          <w:color w:val="231F20"/>
          <w:sz w:val="19"/>
        </w:rPr>
        <w:t>online</w:t>
      </w:r>
      <w:r>
        <w:rPr>
          <w:i/>
          <w:color w:val="231F20"/>
          <w:spacing w:val="-2"/>
          <w:sz w:val="19"/>
        </w:rPr>
        <w:t> </w:t>
      </w:r>
      <w:r>
        <w:rPr>
          <w:color w:val="231F20"/>
          <w:sz w:val="19"/>
        </w:rPr>
        <w:t>alla</w:t>
      </w:r>
      <w:r>
        <w:rPr>
          <w:color w:val="231F20"/>
          <w:spacing w:val="-2"/>
          <w:sz w:val="19"/>
        </w:rPr>
        <w:t> </w:t>
      </w:r>
      <w:r>
        <w:rPr>
          <w:i/>
          <w:color w:val="231F20"/>
          <w:sz w:val="19"/>
        </w:rPr>
        <w:t>Riv.</w:t>
      </w:r>
      <w:r>
        <w:rPr>
          <w:i/>
          <w:color w:val="231F20"/>
          <w:spacing w:val="-2"/>
          <w:sz w:val="19"/>
        </w:rPr>
        <w:t> </w:t>
      </w:r>
      <w:r>
        <w:rPr>
          <w:i/>
          <w:color w:val="231F20"/>
          <w:sz w:val="19"/>
        </w:rPr>
        <w:t>trim.</w:t>
      </w:r>
      <w:r>
        <w:rPr>
          <w:i/>
          <w:color w:val="231F20"/>
          <w:spacing w:val="-2"/>
          <w:sz w:val="19"/>
        </w:rPr>
        <w:t> </w:t>
      </w:r>
      <w:r>
        <w:rPr>
          <w:i/>
          <w:color w:val="231F20"/>
          <w:sz w:val="19"/>
        </w:rPr>
        <w:t>dir.</w:t>
      </w:r>
      <w:r>
        <w:rPr>
          <w:i/>
          <w:color w:val="231F20"/>
          <w:spacing w:val="-2"/>
          <w:sz w:val="19"/>
        </w:rPr>
        <w:t> </w:t>
      </w:r>
      <w:r>
        <w:rPr>
          <w:i/>
          <w:color w:val="231F20"/>
          <w:sz w:val="19"/>
        </w:rPr>
        <w:t>trib.,</w:t>
      </w:r>
      <w:r>
        <w:rPr>
          <w:i/>
          <w:color w:val="231F20"/>
          <w:sz w:val="19"/>
        </w:rPr>
        <w:t> </w:t>
      </w:r>
      <w:r>
        <w:rPr>
          <w:color w:val="231F20"/>
          <w:spacing w:val="-2"/>
          <w:sz w:val="19"/>
        </w:rPr>
        <w:t>28/2/2023.</w:t>
      </w:r>
    </w:p>
    <w:p>
      <w:pPr>
        <w:spacing w:line="225" w:lineRule="auto" w:before="3"/>
        <w:ind w:left="100" w:right="174" w:firstLine="0"/>
        <w:jc w:val="both"/>
        <w:rPr>
          <w:sz w:val="19"/>
        </w:rPr>
      </w:pPr>
      <w:r>
        <w:rPr>
          <w:color w:val="231F20"/>
          <w:position w:val="6"/>
          <w:sz w:val="11"/>
        </w:rPr>
        <w:t>109</w:t>
      </w:r>
      <w:r>
        <w:rPr>
          <w:color w:val="231F20"/>
          <w:spacing w:val="40"/>
          <w:position w:val="6"/>
          <w:sz w:val="11"/>
        </w:rPr>
        <w:t> </w:t>
      </w:r>
      <w:r>
        <w:rPr>
          <w:color w:val="231F20"/>
          <w:sz w:val="19"/>
        </w:rPr>
        <w:t>Per «intermediario» si deve intendere, ai sensi dell’art. 3, n. 21), della direttiva 2011/16/ UE: «qualunque persona che elabori, commercializzi, organizzi o metta a disposizione a fini</w:t>
      </w:r>
      <w:r>
        <w:rPr>
          <w:color w:val="231F20"/>
          <w:spacing w:val="40"/>
          <w:sz w:val="19"/>
        </w:rPr>
        <w:t> </w:t>
      </w:r>
      <w:r>
        <w:rPr>
          <w:color w:val="231F20"/>
          <w:sz w:val="19"/>
        </w:rPr>
        <w:t>di attuazione o gestisca l’attuazione di un meccanismo transfrontaliero soggetto all’obbligo di </w:t>
      </w:r>
      <w:r>
        <w:rPr>
          <w:color w:val="231F20"/>
          <w:spacing w:val="-2"/>
          <w:sz w:val="19"/>
        </w:rPr>
        <w:t>notifica».</w:t>
      </w:r>
    </w:p>
    <w:p>
      <w:pPr>
        <w:spacing w:line="225" w:lineRule="auto" w:before="4"/>
        <w:ind w:left="100" w:right="174" w:firstLine="0"/>
        <w:jc w:val="both"/>
        <w:rPr>
          <w:i/>
          <w:sz w:val="19"/>
        </w:rPr>
      </w:pPr>
      <w:r>
        <w:rPr>
          <w:color w:val="231F20"/>
          <w:position w:val="6"/>
          <w:sz w:val="11"/>
        </w:rPr>
        <w:t>110</w:t>
      </w:r>
      <w:r>
        <w:rPr>
          <w:color w:val="231F20"/>
          <w:spacing w:val="80"/>
          <w:position w:val="6"/>
          <w:sz w:val="11"/>
        </w:rPr>
        <w:t> </w:t>
      </w:r>
      <w:r>
        <w:rPr>
          <w:color w:val="231F20"/>
          <w:sz w:val="19"/>
        </w:rPr>
        <w:t>Punti 4, 6 e 8 9 della motivazione della direttiva “DAC 6” 2018/822/UE, che richiama </w:t>
      </w:r>
      <w:r>
        <w:rPr>
          <w:color w:val="231F20"/>
          <w:sz w:val="19"/>
        </w:rPr>
        <w:t>i lavori</w:t>
      </w:r>
      <w:r>
        <w:rPr>
          <w:color w:val="231F20"/>
          <w:spacing w:val="-12"/>
          <w:sz w:val="19"/>
        </w:rPr>
        <w:t> </w:t>
      </w:r>
      <w:r>
        <w:rPr>
          <w:color w:val="231F20"/>
          <w:sz w:val="19"/>
        </w:rPr>
        <w:t>dell’OCSE</w:t>
      </w:r>
      <w:r>
        <w:rPr>
          <w:color w:val="231F20"/>
          <w:spacing w:val="-12"/>
          <w:sz w:val="19"/>
        </w:rPr>
        <w:t> </w:t>
      </w:r>
      <w:r>
        <w:rPr>
          <w:color w:val="231F20"/>
          <w:sz w:val="19"/>
        </w:rPr>
        <w:t>in</w:t>
      </w:r>
      <w:r>
        <w:rPr>
          <w:color w:val="231F20"/>
          <w:spacing w:val="-11"/>
          <w:sz w:val="19"/>
        </w:rPr>
        <w:t> </w:t>
      </w:r>
      <w:r>
        <w:rPr>
          <w:color w:val="231F20"/>
          <w:sz w:val="19"/>
        </w:rPr>
        <w:t>materia</w:t>
      </w:r>
      <w:r>
        <w:rPr>
          <w:color w:val="231F20"/>
          <w:spacing w:val="-12"/>
          <w:sz w:val="19"/>
        </w:rPr>
        <w:t> </w:t>
      </w:r>
      <w:r>
        <w:rPr>
          <w:color w:val="231F20"/>
          <w:sz w:val="19"/>
        </w:rPr>
        <w:t>di</w:t>
      </w:r>
      <w:r>
        <w:rPr>
          <w:color w:val="231F20"/>
          <w:spacing w:val="-12"/>
          <w:sz w:val="19"/>
        </w:rPr>
        <w:t> </w:t>
      </w:r>
      <w:r>
        <w:rPr>
          <w:color w:val="231F20"/>
          <w:sz w:val="19"/>
        </w:rPr>
        <w:t>lotta</w:t>
      </w:r>
      <w:r>
        <w:rPr>
          <w:color w:val="231F20"/>
          <w:spacing w:val="-11"/>
          <w:sz w:val="19"/>
        </w:rPr>
        <w:t> </w:t>
      </w:r>
      <w:r>
        <w:rPr>
          <w:color w:val="231F20"/>
          <w:sz w:val="19"/>
        </w:rPr>
        <w:t>contro</w:t>
      </w:r>
      <w:r>
        <w:rPr>
          <w:color w:val="231F20"/>
          <w:spacing w:val="-12"/>
          <w:sz w:val="19"/>
        </w:rPr>
        <w:t> </w:t>
      </w:r>
      <w:r>
        <w:rPr>
          <w:color w:val="231F20"/>
          <w:sz w:val="19"/>
        </w:rPr>
        <w:t>la</w:t>
      </w:r>
      <w:r>
        <w:rPr>
          <w:color w:val="231F20"/>
          <w:spacing w:val="-12"/>
          <w:sz w:val="19"/>
        </w:rPr>
        <w:t> </w:t>
      </w:r>
      <w:r>
        <w:rPr>
          <w:color w:val="231F20"/>
          <w:sz w:val="19"/>
        </w:rPr>
        <w:t>«pianificazione</w:t>
      </w:r>
      <w:r>
        <w:rPr>
          <w:color w:val="231F20"/>
          <w:spacing w:val="-11"/>
          <w:sz w:val="19"/>
        </w:rPr>
        <w:t> </w:t>
      </w:r>
      <w:r>
        <w:rPr>
          <w:color w:val="231F20"/>
          <w:sz w:val="19"/>
        </w:rPr>
        <w:t>fiscale</w:t>
      </w:r>
      <w:r>
        <w:rPr>
          <w:color w:val="231F20"/>
          <w:spacing w:val="-12"/>
          <w:sz w:val="19"/>
        </w:rPr>
        <w:t> </w:t>
      </w:r>
      <w:r>
        <w:rPr>
          <w:color w:val="231F20"/>
          <w:sz w:val="19"/>
        </w:rPr>
        <w:t>potenzialmente</w:t>
      </w:r>
      <w:r>
        <w:rPr>
          <w:color w:val="231F20"/>
          <w:spacing w:val="-12"/>
          <w:sz w:val="19"/>
        </w:rPr>
        <w:t> </w:t>
      </w:r>
      <w:r>
        <w:rPr>
          <w:color w:val="231F20"/>
          <w:sz w:val="19"/>
        </w:rPr>
        <w:t>aggressiva» (azioni c.d. BEPS). Sull’interazione fra lavori dell’OCSE e iniziative legislative dell’Unione europea, si rinvia nuovamente allo studio di G. Marino, </w:t>
      </w:r>
      <w:r>
        <w:rPr>
          <w:i/>
          <w:color w:val="231F20"/>
          <w:sz w:val="19"/>
        </w:rPr>
        <w:t>op. cit.</w:t>
      </w:r>
    </w:p>
    <w:p>
      <w:pPr>
        <w:spacing w:after="0" w:line="225" w:lineRule="auto"/>
        <w:jc w:val="both"/>
        <w:rPr>
          <w:sz w:val="19"/>
        </w:rPr>
        <w:sectPr>
          <w:pgSz w:w="9640" w:h="13610"/>
          <w:pgMar w:header="0" w:footer="625" w:top="1260" w:bottom="820" w:left="1260" w:right="1240"/>
        </w:sectPr>
      </w:pPr>
    </w:p>
    <w:p>
      <w:pPr>
        <w:pStyle w:val="BodyText"/>
        <w:spacing w:line="225" w:lineRule="auto" w:before="117"/>
        <w:ind w:left="157" w:right="117"/>
        <w:jc w:val="both"/>
      </w:pPr>
      <w:r>
        <w:rPr/>
        <mc:AlternateContent>
          <mc:Choice Requires="wps">
            <w:drawing>
              <wp:anchor distT="0" distB="0" distL="0" distR="0" allowOverlap="1" layoutInCell="1" locked="0" behindDoc="0" simplePos="0" relativeHeight="15775744">
                <wp:simplePos x="0" y="0"/>
                <wp:positionH relativeFrom="page">
                  <wp:posOffset>5608609</wp:posOffset>
                </wp:positionH>
                <wp:positionV relativeFrom="page">
                  <wp:posOffset>2376001</wp:posOffset>
                </wp:positionV>
                <wp:extent cx="511809" cy="2412365"/>
                <wp:effectExtent l="0" t="0" r="0" b="0"/>
                <wp:wrapNone/>
                <wp:docPr id="153" name="Group 153"/>
                <wp:cNvGraphicFramePr>
                  <a:graphicFrameLocks/>
                </wp:cNvGraphicFramePr>
                <a:graphic>
                  <a:graphicData uri="http://schemas.microsoft.com/office/word/2010/wordprocessingGroup">
                    <wpg:wgp>
                      <wpg:cNvPr id="153" name="Group 153"/>
                      <wpg:cNvGrpSpPr/>
                      <wpg:grpSpPr>
                        <a:xfrm>
                          <a:off x="0" y="0"/>
                          <a:ext cx="511809" cy="2412365"/>
                          <a:chExt cx="511809" cy="2412365"/>
                        </a:xfrm>
                      </wpg:grpSpPr>
                      <wps:wsp>
                        <wps:cNvPr id="154" name="Graphic 154"/>
                        <wps:cNvSpPr/>
                        <wps:spPr>
                          <a:xfrm>
                            <a:off x="7393" y="3"/>
                            <a:ext cx="504190" cy="360045"/>
                          </a:xfrm>
                          <a:custGeom>
                            <a:avLst/>
                            <a:gdLst/>
                            <a:ahLst/>
                            <a:cxnLst/>
                            <a:rect l="l" t="t" r="r" b="b"/>
                            <a:pathLst>
                              <a:path w="504190" h="360045">
                                <a:moveTo>
                                  <a:pt x="503999" y="0"/>
                                </a:moveTo>
                                <a:lnTo>
                                  <a:pt x="0" y="0"/>
                                </a:lnTo>
                                <a:lnTo>
                                  <a:pt x="0" y="359994"/>
                                </a:lnTo>
                                <a:lnTo>
                                  <a:pt x="503999" y="359994"/>
                                </a:lnTo>
                                <a:lnTo>
                                  <a:pt x="503999" y="0"/>
                                </a:lnTo>
                                <a:close/>
                              </a:path>
                            </a:pathLst>
                          </a:custGeom>
                          <a:solidFill>
                            <a:srgbClr val="939598"/>
                          </a:solidFill>
                        </wps:spPr>
                        <wps:bodyPr wrap="square" lIns="0" tIns="0" rIns="0" bIns="0" rtlCol="0">
                          <a:prstTxWarp prst="textNoShape">
                            <a:avLst/>
                          </a:prstTxWarp>
                          <a:noAutofit/>
                        </wps:bodyPr>
                      </wps:wsp>
                      <wps:wsp>
                        <wps:cNvPr id="155" name="Graphic 155"/>
                        <wps:cNvSpPr/>
                        <wps:spPr>
                          <a:xfrm>
                            <a:off x="6350" y="0"/>
                            <a:ext cx="1270" cy="2412365"/>
                          </a:xfrm>
                          <a:custGeom>
                            <a:avLst/>
                            <a:gdLst/>
                            <a:ahLst/>
                            <a:cxnLst/>
                            <a:rect l="l" t="t" r="r" b="b"/>
                            <a:pathLst>
                              <a:path w="0" h="2412365">
                                <a:moveTo>
                                  <a:pt x="0" y="0"/>
                                </a:moveTo>
                                <a:lnTo>
                                  <a:pt x="0" y="2411996"/>
                                </a:lnTo>
                              </a:path>
                            </a:pathLst>
                          </a:custGeom>
                          <a:ln w="12700">
                            <a:solidFill>
                              <a:srgbClr val="939598"/>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441.622803pt;margin-top:187.0867pt;width:40.3pt;height:189.95pt;mso-position-horizontal-relative:page;mso-position-vertical-relative:page;z-index:15775744" id="docshapegroup127" coordorigin="8832,3742" coordsize="806,3799">
                <v:rect style="position:absolute;left:8844;top:3741;width:794;height:567" id="docshape128" filled="true" fillcolor="#939598" stroked="false">
                  <v:fill type="solid"/>
                </v:rect>
                <v:line style="position:absolute" from="8842,3742" to="8842,7540" stroked="true" strokeweight="1pt" strokecolor="#939598">
                  <v:stroke dashstyle="solid"/>
                </v:line>
                <w10:wrap type="none"/>
              </v:group>
            </w:pict>
          </mc:Fallback>
        </mc:AlternateContent>
      </w:r>
      <w:r>
        <w:rPr/>
        <mc:AlternateContent>
          <mc:Choice Requires="wps">
            <w:drawing>
              <wp:anchor distT="0" distB="0" distL="0" distR="0" allowOverlap="1" layoutInCell="1" locked="0" behindDoc="0" simplePos="0" relativeHeight="15776256">
                <wp:simplePos x="0" y="0"/>
                <wp:positionH relativeFrom="page">
                  <wp:posOffset>5635147</wp:posOffset>
                </wp:positionH>
                <wp:positionV relativeFrom="page">
                  <wp:posOffset>2795300</wp:posOffset>
                </wp:positionV>
                <wp:extent cx="299720" cy="1995805"/>
                <wp:effectExtent l="0" t="0" r="0" b="0"/>
                <wp:wrapNone/>
                <wp:docPr id="156" name="Textbox 156"/>
                <wp:cNvGraphicFramePr>
                  <a:graphicFrameLocks/>
                </wp:cNvGraphicFramePr>
                <a:graphic>
                  <a:graphicData uri="http://schemas.microsoft.com/office/word/2010/wordprocessingShape">
                    <wps:wsp>
                      <wps:cNvPr id="156" name="Textbox 156"/>
                      <wps:cNvSpPr txBox="1"/>
                      <wps:spPr>
                        <a:xfrm>
                          <a:off x="0" y="0"/>
                          <a:ext cx="299720" cy="1995805"/>
                        </a:xfrm>
                        <a:prstGeom prst="rect">
                          <a:avLst/>
                        </a:prstGeom>
                      </wps:spPr>
                      <wps:txbx>
                        <w:txbxContent>
                          <w:p>
                            <w:pPr>
                              <w:spacing w:before="20"/>
                              <w:ind w:left="20" w:right="0" w:firstLine="0"/>
                              <w:jc w:val="left"/>
                              <w:rPr>
                                <w:rFonts w:ascii="Minion Pro"/>
                                <w:sz w:val="32"/>
                              </w:rPr>
                            </w:pPr>
                            <w:r>
                              <w:rPr>
                                <w:rFonts w:ascii="Minion Pro"/>
                                <w:color w:val="231F20"/>
                                <w:sz w:val="32"/>
                              </w:rPr>
                              <w:t>Commented</w:t>
                            </w:r>
                            <w:r>
                              <w:rPr>
                                <w:rFonts w:ascii="Minion Pro"/>
                                <w:color w:val="231F20"/>
                                <w:spacing w:val="-10"/>
                                <w:sz w:val="32"/>
                              </w:rPr>
                              <w:t> </w:t>
                            </w:r>
                            <w:r>
                              <w:rPr>
                                <w:rFonts w:ascii="Minion Pro"/>
                                <w:color w:val="231F20"/>
                                <w:spacing w:val="-2"/>
                                <w:sz w:val="32"/>
                              </w:rPr>
                              <w:t>documents</w:t>
                            </w:r>
                          </w:p>
                        </w:txbxContent>
                      </wps:txbx>
                      <wps:bodyPr wrap="square" lIns="0" tIns="0" rIns="0" bIns="0" rtlCol="0" vert="vert">
                        <a:noAutofit/>
                      </wps:bodyPr>
                    </wps:wsp>
                  </a:graphicData>
                </a:graphic>
              </wp:anchor>
            </w:drawing>
          </mc:Choice>
          <mc:Fallback>
            <w:pict>
              <v:shape style="position:absolute;margin-left:443.712402pt;margin-top:220.102402pt;width:23.6pt;height:157.15pt;mso-position-horizontal-relative:page;mso-position-vertical-relative:page;z-index:15776256" type="#_x0000_t202" id="docshape129" filled="false" stroked="false">
                <v:textbox inset="0,0,0,0" style="layout-flow:vertical">
                  <w:txbxContent>
                    <w:p>
                      <w:pPr>
                        <w:spacing w:before="20"/>
                        <w:ind w:left="20" w:right="0" w:firstLine="0"/>
                        <w:jc w:val="left"/>
                        <w:rPr>
                          <w:rFonts w:ascii="Minion Pro"/>
                          <w:sz w:val="32"/>
                        </w:rPr>
                      </w:pPr>
                      <w:r>
                        <w:rPr>
                          <w:rFonts w:ascii="Minion Pro"/>
                          <w:color w:val="231F20"/>
                          <w:sz w:val="32"/>
                        </w:rPr>
                        <w:t>Commented</w:t>
                      </w:r>
                      <w:r>
                        <w:rPr>
                          <w:rFonts w:ascii="Minion Pro"/>
                          <w:color w:val="231F20"/>
                          <w:spacing w:val="-10"/>
                          <w:sz w:val="32"/>
                        </w:rPr>
                        <w:t> </w:t>
                      </w:r>
                      <w:r>
                        <w:rPr>
                          <w:rFonts w:ascii="Minion Pro"/>
                          <w:color w:val="231F20"/>
                          <w:spacing w:val="-2"/>
                          <w:sz w:val="32"/>
                        </w:rPr>
                        <w:t>documents</w:t>
                      </w:r>
                    </w:p>
                  </w:txbxContent>
                </v:textbox>
                <w10:wrap type="none"/>
              </v:shape>
            </w:pict>
          </mc:Fallback>
        </mc:AlternateContent>
      </w:r>
      <w:r>
        <w:rPr>
          <w:color w:val="231F20"/>
        </w:rPr>
        <w:t>medesimo art. 8 </w:t>
      </w:r>
      <w:r>
        <w:rPr>
          <w:i/>
          <w:color w:val="231F20"/>
        </w:rPr>
        <w:t>bis ter</w:t>
      </w:r>
      <w:r>
        <w:rPr>
          <w:color w:val="231F20"/>
        </w:rPr>
        <w:t>, può esentare tale intermediario dall’obbligo di co- municazione all’amministrazione finanziaria delle informazioni relative al meccanismo</w:t>
      </w:r>
      <w:r>
        <w:rPr>
          <w:color w:val="231F20"/>
          <w:spacing w:val="-9"/>
        </w:rPr>
        <w:t> </w:t>
      </w:r>
      <w:r>
        <w:rPr>
          <w:color w:val="231F20"/>
        </w:rPr>
        <w:t>transfrontaliero.</w:t>
      </w:r>
      <w:r>
        <w:rPr>
          <w:color w:val="231F20"/>
          <w:spacing w:val="-9"/>
        </w:rPr>
        <w:t> </w:t>
      </w:r>
      <w:r>
        <w:rPr>
          <w:color w:val="231F20"/>
        </w:rPr>
        <w:t>In</w:t>
      </w:r>
      <w:r>
        <w:rPr>
          <w:color w:val="231F20"/>
          <w:spacing w:val="-9"/>
        </w:rPr>
        <w:t> </w:t>
      </w:r>
      <w:r>
        <w:rPr>
          <w:color w:val="231F20"/>
        </w:rPr>
        <w:t>tal</w:t>
      </w:r>
      <w:r>
        <w:rPr>
          <w:color w:val="231F20"/>
          <w:spacing w:val="-9"/>
        </w:rPr>
        <w:t> </w:t>
      </w:r>
      <w:r>
        <w:rPr>
          <w:color w:val="231F20"/>
        </w:rPr>
        <w:t>caso,</w:t>
      </w:r>
      <w:r>
        <w:rPr>
          <w:color w:val="231F20"/>
          <w:spacing w:val="-9"/>
        </w:rPr>
        <w:t> </w:t>
      </w:r>
      <w:r>
        <w:rPr>
          <w:color w:val="231F20"/>
        </w:rPr>
        <w:t>prosegue</w:t>
      </w:r>
      <w:r>
        <w:rPr>
          <w:color w:val="231F20"/>
          <w:spacing w:val="-9"/>
        </w:rPr>
        <w:t> </w:t>
      </w:r>
      <w:r>
        <w:rPr>
          <w:color w:val="231F20"/>
        </w:rPr>
        <w:t>lo</w:t>
      </w:r>
      <w:r>
        <w:rPr>
          <w:color w:val="231F20"/>
          <w:spacing w:val="-9"/>
        </w:rPr>
        <w:t> </w:t>
      </w:r>
      <w:r>
        <w:rPr>
          <w:color w:val="231F20"/>
        </w:rPr>
        <w:t>stesso</w:t>
      </w:r>
      <w:r>
        <w:rPr>
          <w:color w:val="231F20"/>
          <w:spacing w:val="-9"/>
        </w:rPr>
        <w:t> </w:t>
      </w:r>
      <w:r>
        <w:rPr>
          <w:color w:val="231F20"/>
        </w:rPr>
        <w:t>par.</w:t>
      </w:r>
      <w:r>
        <w:rPr>
          <w:color w:val="231F20"/>
          <w:spacing w:val="-9"/>
        </w:rPr>
        <w:t> </w:t>
      </w:r>
      <w:r>
        <w:rPr>
          <w:color w:val="231F20"/>
        </w:rPr>
        <w:t>5,</w:t>
      </w:r>
      <w:r>
        <w:rPr>
          <w:color w:val="231F20"/>
          <w:spacing w:val="-9"/>
        </w:rPr>
        <w:t> </w:t>
      </w:r>
      <w:r>
        <w:rPr>
          <w:color w:val="231F20"/>
        </w:rPr>
        <w:t>lo</w:t>
      </w:r>
      <w:r>
        <w:rPr>
          <w:color w:val="231F20"/>
          <w:spacing w:val="-9"/>
        </w:rPr>
        <w:t> </w:t>
      </w:r>
      <w:r>
        <w:rPr>
          <w:color w:val="231F20"/>
        </w:rPr>
        <w:t>stesso Stato</w:t>
      </w:r>
      <w:r>
        <w:rPr>
          <w:color w:val="231F20"/>
          <w:spacing w:val="-4"/>
        </w:rPr>
        <w:t> </w:t>
      </w:r>
      <w:r>
        <w:rPr>
          <w:color w:val="231F20"/>
        </w:rPr>
        <w:t>membro</w:t>
      </w:r>
      <w:r>
        <w:rPr>
          <w:color w:val="231F20"/>
          <w:spacing w:val="-4"/>
        </w:rPr>
        <w:t> </w:t>
      </w:r>
      <w:r>
        <w:rPr>
          <w:color w:val="231F20"/>
        </w:rPr>
        <w:t>è</w:t>
      </w:r>
      <w:r>
        <w:rPr>
          <w:color w:val="231F20"/>
          <w:spacing w:val="-4"/>
        </w:rPr>
        <w:t> </w:t>
      </w:r>
      <w:r>
        <w:rPr>
          <w:color w:val="231F20"/>
        </w:rPr>
        <w:t>tenuto</w:t>
      </w:r>
      <w:r>
        <w:rPr>
          <w:color w:val="231F20"/>
          <w:spacing w:val="-4"/>
        </w:rPr>
        <w:t> </w:t>
      </w:r>
      <w:r>
        <w:rPr>
          <w:color w:val="231F20"/>
        </w:rPr>
        <w:t>ad</w:t>
      </w:r>
      <w:r>
        <w:rPr>
          <w:color w:val="231F20"/>
          <w:spacing w:val="-4"/>
        </w:rPr>
        <w:t> </w:t>
      </w:r>
      <w:r>
        <w:rPr>
          <w:color w:val="231F20"/>
        </w:rPr>
        <w:t>introdurre</w:t>
      </w:r>
      <w:r>
        <w:rPr>
          <w:color w:val="231F20"/>
          <w:spacing w:val="-4"/>
        </w:rPr>
        <w:t> </w:t>
      </w:r>
      <w:r>
        <w:rPr>
          <w:color w:val="231F20"/>
        </w:rPr>
        <w:t>nella</w:t>
      </w:r>
      <w:r>
        <w:rPr>
          <w:color w:val="231F20"/>
          <w:spacing w:val="-4"/>
        </w:rPr>
        <w:t> </w:t>
      </w:r>
      <w:r>
        <w:rPr>
          <w:color w:val="231F20"/>
        </w:rPr>
        <w:t>propria</w:t>
      </w:r>
      <w:r>
        <w:rPr>
          <w:color w:val="231F20"/>
          <w:spacing w:val="-4"/>
        </w:rPr>
        <w:t> </w:t>
      </w:r>
      <w:r>
        <w:rPr>
          <w:color w:val="231F20"/>
        </w:rPr>
        <w:t>legislazione</w:t>
      </w:r>
      <w:r>
        <w:rPr>
          <w:color w:val="231F20"/>
          <w:spacing w:val="-4"/>
        </w:rPr>
        <w:t> </w:t>
      </w:r>
      <w:r>
        <w:rPr>
          <w:color w:val="231F20"/>
        </w:rPr>
        <w:t>una</w:t>
      </w:r>
      <w:r>
        <w:rPr>
          <w:color w:val="231F20"/>
          <w:spacing w:val="-4"/>
        </w:rPr>
        <w:t> </w:t>
      </w:r>
      <w:r>
        <w:rPr>
          <w:color w:val="231F20"/>
        </w:rPr>
        <w:t>norma volta</w:t>
      </w:r>
      <w:r>
        <w:rPr>
          <w:color w:val="231F20"/>
          <w:spacing w:val="-2"/>
        </w:rPr>
        <w:t> </w:t>
      </w:r>
      <w:r>
        <w:rPr>
          <w:color w:val="231F20"/>
        </w:rPr>
        <w:t>ad</w:t>
      </w:r>
      <w:r>
        <w:rPr>
          <w:color w:val="231F20"/>
          <w:spacing w:val="-2"/>
        </w:rPr>
        <w:t> </w:t>
      </w:r>
      <w:r>
        <w:rPr>
          <w:color w:val="231F20"/>
        </w:rPr>
        <w:t>«imporre</w:t>
      </w:r>
      <w:r>
        <w:rPr>
          <w:color w:val="231F20"/>
          <w:spacing w:val="-2"/>
        </w:rPr>
        <w:t> </w:t>
      </w:r>
      <w:r>
        <w:rPr>
          <w:color w:val="231F20"/>
        </w:rPr>
        <w:t>agli</w:t>
      </w:r>
      <w:r>
        <w:rPr>
          <w:color w:val="231F20"/>
          <w:spacing w:val="-2"/>
        </w:rPr>
        <w:t> </w:t>
      </w:r>
      <w:r>
        <w:rPr>
          <w:color w:val="231F20"/>
        </w:rPr>
        <w:t>intermediari,</w:t>
      </w:r>
      <w:r>
        <w:rPr>
          <w:color w:val="231F20"/>
          <w:spacing w:val="-2"/>
        </w:rPr>
        <w:t> </w:t>
      </w:r>
      <w:r>
        <w:rPr>
          <w:color w:val="231F20"/>
        </w:rPr>
        <w:t>senza</w:t>
      </w:r>
      <w:r>
        <w:rPr>
          <w:color w:val="231F20"/>
          <w:spacing w:val="-2"/>
        </w:rPr>
        <w:t> </w:t>
      </w:r>
      <w:r>
        <w:rPr>
          <w:color w:val="231F20"/>
        </w:rPr>
        <w:t>indugio,</w:t>
      </w:r>
      <w:r>
        <w:rPr>
          <w:color w:val="231F20"/>
          <w:spacing w:val="-2"/>
        </w:rPr>
        <w:t> </w:t>
      </w:r>
      <w:r>
        <w:rPr>
          <w:color w:val="231F20"/>
        </w:rPr>
        <w:t>la</w:t>
      </w:r>
      <w:r>
        <w:rPr>
          <w:color w:val="231F20"/>
          <w:spacing w:val="-2"/>
        </w:rPr>
        <w:t> </w:t>
      </w:r>
      <w:r>
        <w:rPr>
          <w:color w:val="231F20"/>
        </w:rPr>
        <w:t>notifica</w:t>
      </w:r>
      <w:r>
        <w:rPr>
          <w:color w:val="231F20"/>
          <w:spacing w:val="-2"/>
        </w:rPr>
        <w:t> </w:t>
      </w:r>
      <w:r>
        <w:rPr>
          <w:color w:val="231F20"/>
        </w:rPr>
        <w:t>dei</w:t>
      </w:r>
      <w:r>
        <w:rPr>
          <w:color w:val="231F20"/>
          <w:spacing w:val="-2"/>
        </w:rPr>
        <w:t> </w:t>
      </w:r>
      <w:r>
        <w:rPr>
          <w:color w:val="231F20"/>
        </w:rPr>
        <w:t>rispettivi obblighi</w:t>
      </w:r>
      <w:r>
        <w:rPr>
          <w:color w:val="231F20"/>
          <w:spacing w:val="-6"/>
        </w:rPr>
        <w:t> </w:t>
      </w:r>
      <w:r>
        <w:rPr>
          <w:color w:val="231F20"/>
        </w:rPr>
        <w:t>di</w:t>
      </w:r>
      <w:r>
        <w:rPr>
          <w:color w:val="231F20"/>
          <w:spacing w:val="-6"/>
        </w:rPr>
        <w:t> </w:t>
      </w:r>
      <w:r>
        <w:rPr>
          <w:color w:val="231F20"/>
        </w:rPr>
        <w:t>comunicazione….ad</w:t>
      </w:r>
      <w:r>
        <w:rPr>
          <w:color w:val="231F20"/>
          <w:spacing w:val="-6"/>
        </w:rPr>
        <w:t> </w:t>
      </w:r>
      <w:r>
        <w:rPr>
          <w:color w:val="231F20"/>
        </w:rPr>
        <w:t>un</w:t>
      </w:r>
      <w:r>
        <w:rPr>
          <w:color w:val="231F20"/>
          <w:spacing w:val="-6"/>
        </w:rPr>
        <w:t> </w:t>
      </w:r>
      <w:r>
        <w:rPr>
          <w:color w:val="231F20"/>
        </w:rPr>
        <w:t>eventuale</w:t>
      </w:r>
      <w:r>
        <w:rPr>
          <w:color w:val="231F20"/>
          <w:spacing w:val="-6"/>
        </w:rPr>
        <w:t> </w:t>
      </w:r>
      <w:r>
        <w:rPr>
          <w:color w:val="231F20"/>
        </w:rPr>
        <w:t>altro</w:t>
      </w:r>
      <w:r>
        <w:rPr>
          <w:color w:val="231F20"/>
          <w:spacing w:val="-6"/>
        </w:rPr>
        <w:t> </w:t>
      </w:r>
      <w:r>
        <w:rPr>
          <w:color w:val="231F20"/>
        </w:rPr>
        <w:t>intermediario</w:t>
      </w:r>
      <w:r>
        <w:rPr>
          <w:color w:val="231F20"/>
          <w:spacing w:val="-6"/>
        </w:rPr>
        <w:t> </w:t>
      </w:r>
      <w:r>
        <w:rPr>
          <w:color w:val="231F20"/>
        </w:rPr>
        <w:t>o,</w:t>
      </w:r>
      <w:r>
        <w:rPr>
          <w:color w:val="231F20"/>
          <w:spacing w:val="-6"/>
        </w:rPr>
        <w:t> </w:t>
      </w:r>
      <w:r>
        <w:rPr>
          <w:color w:val="231F20"/>
        </w:rPr>
        <w:t>in</w:t>
      </w:r>
      <w:r>
        <w:rPr>
          <w:color w:val="231F20"/>
          <w:spacing w:val="-6"/>
        </w:rPr>
        <w:t> </w:t>
      </w:r>
      <w:r>
        <w:rPr>
          <w:color w:val="231F20"/>
        </w:rPr>
        <w:t>sua assenza,</w:t>
      </w:r>
      <w:r>
        <w:rPr>
          <w:color w:val="231F20"/>
          <w:spacing w:val="-15"/>
        </w:rPr>
        <w:t> </w:t>
      </w:r>
      <w:r>
        <w:rPr>
          <w:color w:val="231F20"/>
        </w:rPr>
        <w:t>al</w:t>
      </w:r>
      <w:r>
        <w:rPr>
          <w:color w:val="231F20"/>
          <w:spacing w:val="-15"/>
        </w:rPr>
        <w:t> </w:t>
      </w:r>
      <w:r>
        <w:rPr>
          <w:color w:val="231F20"/>
        </w:rPr>
        <w:t>contribuente</w:t>
      </w:r>
      <w:r>
        <w:rPr>
          <w:color w:val="231F20"/>
          <w:spacing w:val="-15"/>
        </w:rPr>
        <w:t> </w:t>
      </w:r>
      <w:r>
        <w:rPr>
          <w:color w:val="231F20"/>
        </w:rPr>
        <w:t>pertinente».</w:t>
      </w:r>
      <w:r>
        <w:rPr>
          <w:color w:val="231F20"/>
          <w:spacing w:val="-15"/>
        </w:rPr>
        <w:t> </w:t>
      </w:r>
      <w:r>
        <w:rPr>
          <w:color w:val="231F20"/>
        </w:rPr>
        <w:t>Quando</w:t>
      </w:r>
      <w:r>
        <w:rPr>
          <w:color w:val="231F20"/>
          <w:spacing w:val="-15"/>
        </w:rPr>
        <w:t> </w:t>
      </w:r>
      <w:r>
        <w:rPr>
          <w:color w:val="231F20"/>
        </w:rPr>
        <w:t>l’intermediario</w:t>
      </w:r>
      <w:r>
        <w:rPr>
          <w:color w:val="231F20"/>
          <w:spacing w:val="-15"/>
        </w:rPr>
        <w:t> </w:t>
      </w:r>
      <w:r>
        <w:rPr>
          <w:color w:val="231F20"/>
        </w:rPr>
        <w:t>in</w:t>
      </w:r>
      <w:r>
        <w:rPr>
          <w:color w:val="231F20"/>
          <w:spacing w:val="-15"/>
        </w:rPr>
        <w:t> </w:t>
      </w:r>
      <w:r>
        <w:rPr>
          <w:color w:val="231F20"/>
        </w:rPr>
        <w:t>questione</w:t>
      </w:r>
      <w:r>
        <w:rPr>
          <w:color w:val="231F20"/>
          <w:spacing w:val="-15"/>
        </w:rPr>
        <w:t> </w:t>
      </w:r>
      <w:r>
        <w:rPr>
          <w:color w:val="231F20"/>
        </w:rPr>
        <w:t>è un</w:t>
      </w:r>
      <w:r>
        <w:rPr>
          <w:color w:val="231F20"/>
          <w:spacing w:val="-14"/>
        </w:rPr>
        <w:t> </w:t>
      </w:r>
      <w:r>
        <w:rPr>
          <w:color w:val="231F20"/>
        </w:rPr>
        <w:t>avvocato,</w:t>
      </w:r>
      <w:r>
        <w:rPr>
          <w:color w:val="231F20"/>
          <w:spacing w:val="-14"/>
        </w:rPr>
        <w:t> </w:t>
      </w:r>
      <w:r>
        <w:rPr>
          <w:color w:val="231F20"/>
        </w:rPr>
        <w:t>è</w:t>
      </w:r>
      <w:r>
        <w:rPr>
          <w:color w:val="231F20"/>
          <w:spacing w:val="-14"/>
        </w:rPr>
        <w:t> </w:t>
      </w:r>
      <w:r>
        <w:rPr>
          <w:color w:val="231F20"/>
        </w:rPr>
        <w:t>frequente</w:t>
      </w:r>
      <w:r>
        <w:rPr>
          <w:color w:val="231F20"/>
          <w:spacing w:val="-14"/>
        </w:rPr>
        <w:t> </w:t>
      </w:r>
      <w:r>
        <w:rPr>
          <w:color w:val="231F20"/>
        </w:rPr>
        <w:t>il</w:t>
      </w:r>
      <w:r>
        <w:rPr>
          <w:color w:val="231F20"/>
          <w:spacing w:val="-14"/>
        </w:rPr>
        <w:t> </w:t>
      </w:r>
      <w:r>
        <w:rPr>
          <w:color w:val="231F20"/>
        </w:rPr>
        <w:t>caso</w:t>
      </w:r>
      <w:r>
        <w:rPr>
          <w:color w:val="231F20"/>
          <w:spacing w:val="-14"/>
        </w:rPr>
        <w:t> </w:t>
      </w:r>
      <w:r>
        <w:rPr>
          <w:color w:val="231F20"/>
        </w:rPr>
        <w:t>di</w:t>
      </w:r>
      <w:r>
        <w:rPr>
          <w:color w:val="231F20"/>
          <w:spacing w:val="-14"/>
        </w:rPr>
        <w:t> </w:t>
      </w:r>
      <w:r>
        <w:rPr>
          <w:color w:val="231F20"/>
        </w:rPr>
        <w:t>una</w:t>
      </w:r>
      <w:r>
        <w:rPr>
          <w:color w:val="231F20"/>
          <w:spacing w:val="-14"/>
        </w:rPr>
        <w:t> </w:t>
      </w:r>
      <w:r>
        <w:rPr>
          <w:color w:val="231F20"/>
        </w:rPr>
        <w:t>legislazione</w:t>
      </w:r>
      <w:r>
        <w:rPr>
          <w:color w:val="231F20"/>
          <w:spacing w:val="-14"/>
        </w:rPr>
        <w:t> </w:t>
      </w:r>
      <w:r>
        <w:rPr>
          <w:color w:val="231F20"/>
        </w:rPr>
        <w:t>nazionale</w:t>
      </w:r>
      <w:r>
        <w:rPr>
          <w:color w:val="231F20"/>
          <w:spacing w:val="-14"/>
        </w:rPr>
        <w:t> </w:t>
      </w:r>
      <w:r>
        <w:rPr>
          <w:color w:val="231F20"/>
        </w:rPr>
        <w:t>–</w:t>
      </w:r>
      <w:r>
        <w:rPr>
          <w:color w:val="231F20"/>
          <w:spacing w:val="-14"/>
        </w:rPr>
        <w:t> </w:t>
      </w:r>
      <w:r>
        <w:rPr>
          <w:color w:val="231F20"/>
        </w:rPr>
        <w:t>e</w:t>
      </w:r>
      <w:r>
        <w:rPr>
          <w:color w:val="231F20"/>
          <w:spacing w:val="-14"/>
        </w:rPr>
        <w:t> </w:t>
      </w:r>
      <w:r>
        <w:rPr>
          <w:color w:val="231F20"/>
        </w:rPr>
        <w:t>certamente questo era il caso della legislazione belga – che impone a tale categoria di professionisti un obbligo di segreto professionale relativamente ai rapporti intrattenuti</w:t>
      </w:r>
      <w:r>
        <w:rPr>
          <w:color w:val="231F20"/>
          <w:spacing w:val="-7"/>
        </w:rPr>
        <w:t> </w:t>
      </w:r>
      <w:r>
        <w:rPr>
          <w:color w:val="231F20"/>
        </w:rPr>
        <w:t>con</w:t>
      </w:r>
      <w:r>
        <w:rPr>
          <w:color w:val="231F20"/>
          <w:spacing w:val="-7"/>
        </w:rPr>
        <w:t> </w:t>
      </w:r>
      <w:r>
        <w:rPr>
          <w:color w:val="231F20"/>
        </w:rPr>
        <w:t>i</w:t>
      </w:r>
      <w:r>
        <w:rPr>
          <w:color w:val="231F20"/>
          <w:spacing w:val="-7"/>
        </w:rPr>
        <w:t> </w:t>
      </w:r>
      <w:r>
        <w:rPr>
          <w:color w:val="231F20"/>
        </w:rPr>
        <w:t>propri</w:t>
      </w:r>
      <w:r>
        <w:rPr>
          <w:color w:val="231F20"/>
          <w:spacing w:val="-7"/>
        </w:rPr>
        <w:t> </w:t>
      </w:r>
      <w:r>
        <w:rPr>
          <w:color w:val="231F20"/>
        </w:rPr>
        <w:t>clienti.</w:t>
      </w:r>
      <w:r>
        <w:rPr>
          <w:color w:val="231F20"/>
          <w:spacing w:val="-7"/>
        </w:rPr>
        <w:t> </w:t>
      </w:r>
      <w:r>
        <w:rPr>
          <w:color w:val="231F20"/>
        </w:rPr>
        <w:t>Al</w:t>
      </w:r>
      <w:r>
        <w:rPr>
          <w:color w:val="231F20"/>
          <w:spacing w:val="-7"/>
        </w:rPr>
        <w:t> </w:t>
      </w:r>
      <w:r>
        <w:rPr>
          <w:color w:val="231F20"/>
        </w:rPr>
        <w:t>riguardo,</w:t>
      </w:r>
      <w:r>
        <w:rPr>
          <w:color w:val="231F20"/>
          <w:spacing w:val="-7"/>
        </w:rPr>
        <w:t> </w:t>
      </w:r>
      <w:r>
        <w:rPr>
          <w:color w:val="231F20"/>
        </w:rPr>
        <w:t>le</w:t>
      </w:r>
      <w:r>
        <w:rPr>
          <w:color w:val="231F20"/>
          <w:spacing w:val="-7"/>
        </w:rPr>
        <w:t> </w:t>
      </w:r>
      <w:r>
        <w:rPr>
          <w:color w:val="231F20"/>
        </w:rPr>
        <w:t>due</w:t>
      </w:r>
      <w:r>
        <w:rPr>
          <w:color w:val="231F20"/>
          <w:spacing w:val="-7"/>
        </w:rPr>
        <w:t> </w:t>
      </w:r>
      <w:r>
        <w:rPr>
          <w:color w:val="231F20"/>
        </w:rPr>
        <w:t>associazioni</w:t>
      </w:r>
      <w:r>
        <w:rPr>
          <w:color w:val="231F20"/>
          <w:spacing w:val="-7"/>
        </w:rPr>
        <w:t> </w:t>
      </w:r>
      <w:r>
        <w:rPr>
          <w:color w:val="231F20"/>
        </w:rPr>
        <w:t>di</w:t>
      </w:r>
      <w:r>
        <w:rPr>
          <w:color w:val="231F20"/>
          <w:spacing w:val="-7"/>
        </w:rPr>
        <w:t> </w:t>
      </w:r>
      <w:r>
        <w:rPr>
          <w:color w:val="231F20"/>
        </w:rPr>
        <w:t>avvocati nel processo a </w:t>
      </w:r>
      <w:r>
        <w:rPr>
          <w:i/>
          <w:color w:val="231F20"/>
        </w:rPr>
        <w:t>quo </w:t>
      </w:r>
      <w:r>
        <w:rPr>
          <w:color w:val="231F20"/>
        </w:rPr>
        <w:t>hanno sostenuto nei loro ricorsi che era impossibile adempiere all’obbligo di informare un altro intermediario dell’esistenza di un</w:t>
      </w:r>
      <w:r>
        <w:rPr>
          <w:color w:val="231F20"/>
          <w:spacing w:val="-9"/>
        </w:rPr>
        <w:t> </w:t>
      </w:r>
      <w:r>
        <w:rPr>
          <w:color w:val="231F20"/>
        </w:rPr>
        <w:t>meccanismo</w:t>
      </w:r>
      <w:r>
        <w:rPr>
          <w:color w:val="231F20"/>
          <w:spacing w:val="-9"/>
        </w:rPr>
        <w:t> </w:t>
      </w:r>
      <w:r>
        <w:rPr>
          <w:color w:val="231F20"/>
        </w:rPr>
        <w:t>transfrontaliero</w:t>
      </w:r>
      <w:r>
        <w:rPr>
          <w:color w:val="231F20"/>
          <w:spacing w:val="-9"/>
        </w:rPr>
        <w:t> </w:t>
      </w:r>
      <w:r>
        <w:rPr>
          <w:color w:val="231F20"/>
        </w:rPr>
        <w:t>che</w:t>
      </w:r>
      <w:r>
        <w:rPr>
          <w:color w:val="231F20"/>
          <w:spacing w:val="-9"/>
        </w:rPr>
        <w:t> </w:t>
      </w:r>
      <w:r>
        <w:rPr>
          <w:color w:val="231F20"/>
        </w:rPr>
        <w:t>doveva</w:t>
      </w:r>
      <w:r>
        <w:rPr>
          <w:color w:val="231F20"/>
          <w:spacing w:val="-9"/>
        </w:rPr>
        <w:t> </w:t>
      </w:r>
      <w:r>
        <w:rPr>
          <w:color w:val="231F20"/>
        </w:rPr>
        <w:t>essere</w:t>
      </w:r>
      <w:r>
        <w:rPr>
          <w:color w:val="231F20"/>
          <w:spacing w:val="-9"/>
        </w:rPr>
        <w:t> </w:t>
      </w:r>
      <w:r>
        <w:rPr>
          <w:color w:val="231F20"/>
        </w:rPr>
        <w:t>comunicato</w:t>
      </w:r>
      <w:r>
        <w:rPr>
          <w:color w:val="231F20"/>
          <w:spacing w:val="-9"/>
        </w:rPr>
        <w:t> </w:t>
      </w:r>
      <w:r>
        <w:rPr>
          <w:color w:val="231F20"/>
        </w:rPr>
        <w:t>all’ammini- strazione finanziaria, senza violare il segreto professionale cui erano tenuti gli</w:t>
      </w:r>
      <w:r>
        <w:rPr>
          <w:color w:val="231F20"/>
          <w:spacing w:val="-3"/>
        </w:rPr>
        <w:t> </w:t>
      </w:r>
      <w:r>
        <w:rPr>
          <w:color w:val="231F20"/>
        </w:rPr>
        <w:t>avvocati</w:t>
      </w:r>
      <w:r>
        <w:rPr>
          <w:color w:val="231F20"/>
          <w:spacing w:val="-3"/>
        </w:rPr>
        <w:t> </w:t>
      </w:r>
      <w:r>
        <w:rPr>
          <w:color w:val="231F20"/>
        </w:rPr>
        <w:t>belgi.</w:t>
      </w:r>
      <w:r>
        <w:rPr>
          <w:color w:val="231F20"/>
          <w:spacing w:val="-3"/>
        </w:rPr>
        <w:t> </w:t>
      </w:r>
      <w:r>
        <w:rPr>
          <w:color w:val="231F20"/>
        </w:rPr>
        <w:t>Da</w:t>
      </w:r>
      <w:r>
        <w:rPr>
          <w:color w:val="231F20"/>
          <w:spacing w:val="-3"/>
        </w:rPr>
        <w:t> </w:t>
      </w:r>
      <w:r>
        <w:rPr>
          <w:color w:val="231F20"/>
        </w:rPr>
        <w:t>questo</w:t>
      </w:r>
      <w:r>
        <w:rPr>
          <w:color w:val="231F20"/>
          <w:spacing w:val="-3"/>
        </w:rPr>
        <w:t> </w:t>
      </w:r>
      <w:r>
        <w:rPr>
          <w:color w:val="231F20"/>
        </w:rPr>
        <w:t>motivo</w:t>
      </w:r>
      <w:r>
        <w:rPr>
          <w:color w:val="231F20"/>
          <w:spacing w:val="-3"/>
        </w:rPr>
        <w:t> </w:t>
      </w:r>
      <w:r>
        <w:rPr>
          <w:color w:val="231F20"/>
        </w:rPr>
        <w:t>di</w:t>
      </w:r>
      <w:r>
        <w:rPr>
          <w:color w:val="231F20"/>
          <w:spacing w:val="-3"/>
        </w:rPr>
        <w:t> </w:t>
      </w:r>
      <w:r>
        <w:rPr>
          <w:color w:val="231F20"/>
        </w:rPr>
        <w:t>ricorso</w:t>
      </w:r>
      <w:r>
        <w:rPr>
          <w:color w:val="231F20"/>
          <w:spacing w:val="-3"/>
        </w:rPr>
        <w:t> </w:t>
      </w:r>
      <w:r>
        <w:rPr>
          <w:color w:val="231F20"/>
        </w:rPr>
        <w:t>nel</w:t>
      </w:r>
      <w:r>
        <w:rPr>
          <w:color w:val="231F20"/>
          <w:spacing w:val="-3"/>
        </w:rPr>
        <w:t> </w:t>
      </w:r>
      <w:r>
        <w:rPr>
          <w:color w:val="231F20"/>
        </w:rPr>
        <w:t>processo</w:t>
      </w:r>
      <w:r>
        <w:rPr>
          <w:color w:val="231F20"/>
          <w:spacing w:val="-3"/>
        </w:rPr>
        <w:t> </w:t>
      </w:r>
      <w:r>
        <w:rPr>
          <w:i/>
          <w:color w:val="231F20"/>
        </w:rPr>
        <w:t>a</w:t>
      </w:r>
      <w:r>
        <w:rPr>
          <w:i/>
          <w:color w:val="231F20"/>
          <w:spacing w:val="-3"/>
        </w:rPr>
        <w:t> </w:t>
      </w:r>
      <w:r>
        <w:rPr>
          <w:i/>
          <w:color w:val="231F20"/>
        </w:rPr>
        <w:t>quo</w:t>
      </w:r>
      <w:r>
        <w:rPr>
          <w:i/>
          <w:color w:val="231F20"/>
          <w:spacing w:val="-3"/>
        </w:rPr>
        <w:t> </w:t>
      </w:r>
      <w:r>
        <w:rPr>
          <w:color w:val="231F20"/>
        </w:rPr>
        <w:t>ha</w:t>
      </w:r>
      <w:r>
        <w:rPr>
          <w:color w:val="231F20"/>
          <w:spacing w:val="-3"/>
        </w:rPr>
        <w:t> </w:t>
      </w:r>
      <w:r>
        <w:rPr>
          <w:color w:val="231F20"/>
        </w:rPr>
        <w:t>tratto origine</w:t>
      </w:r>
      <w:r>
        <w:rPr>
          <w:color w:val="231F20"/>
          <w:spacing w:val="-12"/>
        </w:rPr>
        <w:t> </w:t>
      </w:r>
      <w:r>
        <w:rPr>
          <w:color w:val="231F20"/>
        </w:rPr>
        <w:t>la</w:t>
      </w:r>
      <w:r>
        <w:rPr>
          <w:color w:val="231F20"/>
          <w:spacing w:val="-11"/>
        </w:rPr>
        <w:t> </w:t>
      </w:r>
      <w:r>
        <w:rPr>
          <w:color w:val="231F20"/>
        </w:rPr>
        <w:t>questione</w:t>
      </w:r>
      <w:r>
        <w:rPr>
          <w:color w:val="231F20"/>
          <w:spacing w:val="-11"/>
        </w:rPr>
        <w:t> </w:t>
      </w:r>
      <w:r>
        <w:rPr>
          <w:color w:val="231F20"/>
        </w:rPr>
        <w:t>di</w:t>
      </w:r>
      <w:r>
        <w:rPr>
          <w:color w:val="231F20"/>
          <w:spacing w:val="-12"/>
        </w:rPr>
        <w:t> </w:t>
      </w:r>
      <w:r>
        <w:rPr>
          <w:color w:val="231F20"/>
        </w:rPr>
        <w:t>validità</w:t>
      </w:r>
      <w:r>
        <w:rPr>
          <w:color w:val="231F20"/>
          <w:spacing w:val="-11"/>
        </w:rPr>
        <w:t> </w:t>
      </w:r>
      <w:r>
        <w:rPr>
          <w:color w:val="231F20"/>
        </w:rPr>
        <w:t>dell’art.</w:t>
      </w:r>
      <w:r>
        <w:rPr>
          <w:color w:val="231F20"/>
          <w:spacing w:val="-11"/>
        </w:rPr>
        <w:t> </w:t>
      </w:r>
      <w:r>
        <w:rPr>
          <w:color w:val="231F20"/>
        </w:rPr>
        <w:t>8</w:t>
      </w:r>
      <w:r>
        <w:rPr>
          <w:color w:val="231F20"/>
          <w:spacing w:val="-12"/>
        </w:rPr>
        <w:t> </w:t>
      </w:r>
      <w:r>
        <w:rPr>
          <w:i/>
          <w:color w:val="231F20"/>
        </w:rPr>
        <w:t>bis</w:t>
      </w:r>
      <w:r>
        <w:rPr>
          <w:i/>
          <w:color w:val="231F20"/>
          <w:spacing w:val="-12"/>
        </w:rPr>
        <w:t> </w:t>
      </w:r>
      <w:r>
        <w:rPr>
          <w:i/>
          <w:color w:val="231F20"/>
        </w:rPr>
        <w:t>ter</w:t>
      </w:r>
      <w:r>
        <w:rPr>
          <w:color w:val="231F20"/>
        </w:rPr>
        <w:t>,</w:t>
      </w:r>
      <w:r>
        <w:rPr>
          <w:color w:val="231F20"/>
          <w:spacing w:val="-11"/>
        </w:rPr>
        <w:t> </w:t>
      </w:r>
      <w:r>
        <w:rPr>
          <w:color w:val="231F20"/>
        </w:rPr>
        <w:t>par.</w:t>
      </w:r>
      <w:r>
        <w:rPr>
          <w:color w:val="231F20"/>
          <w:spacing w:val="-11"/>
        </w:rPr>
        <w:t> </w:t>
      </w:r>
      <w:r>
        <w:rPr>
          <w:color w:val="231F20"/>
        </w:rPr>
        <w:t>5,</w:t>
      </w:r>
      <w:r>
        <w:rPr>
          <w:color w:val="231F20"/>
          <w:spacing w:val="-11"/>
        </w:rPr>
        <w:t> </w:t>
      </w:r>
      <w:r>
        <w:rPr>
          <w:color w:val="231F20"/>
        </w:rPr>
        <w:t>della</w:t>
      </w:r>
      <w:r>
        <w:rPr>
          <w:color w:val="231F20"/>
          <w:spacing w:val="-12"/>
        </w:rPr>
        <w:t> </w:t>
      </w:r>
      <w:r>
        <w:rPr>
          <w:color w:val="231F20"/>
        </w:rPr>
        <w:t>direttiva,</w:t>
      </w:r>
      <w:r>
        <w:rPr>
          <w:color w:val="231F20"/>
          <w:spacing w:val="-11"/>
        </w:rPr>
        <w:t> </w:t>
      </w:r>
      <w:r>
        <w:rPr>
          <w:color w:val="231F20"/>
        </w:rPr>
        <w:t>solle- vata</w:t>
      </w:r>
      <w:r>
        <w:rPr>
          <w:color w:val="231F20"/>
          <w:spacing w:val="-14"/>
        </w:rPr>
        <w:t> </w:t>
      </w:r>
      <w:r>
        <w:rPr>
          <w:color w:val="231F20"/>
        </w:rPr>
        <w:t>dalla</w:t>
      </w:r>
      <w:r>
        <w:rPr>
          <w:color w:val="231F20"/>
          <w:spacing w:val="-14"/>
        </w:rPr>
        <w:t> </w:t>
      </w:r>
      <w:r>
        <w:rPr>
          <w:color w:val="231F20"/>
        </w:rPr>
        <w:t>Corte</w:t>
      </w:r>
      <w:r>
        <w:rPr>
          <w:color w:val="231F20"/>
          <w:spacing w:val="-14"/>
        </w:rPr>
        <w:t> </w:t>
      </w:r>
      <w:r>
        <w:rPr>
          <w:color w:val="231F20"/>
        </w:rPr>
        <w:t>costituzionale</w:t>
      </w:r>
      <w:r>
        <w:rPr>
          <w:color w:val="231F20"/>
          <w:spacing w:val="-14"/>
        </w:rPr>
        <w:t> </w:t>
      </w:r>
      <w:r>
        <w:rPr>
          <w:color w:val="231F20"/>
        </w:rPr>
        <w:t>belga</w:t>
      </w:r>
      <w:r>
        <w:rPr>
          <w:color w:val="231F20"/>
          <w:spacing w:val="-14"/>
        </w:rPr>
        <w:t> </w:t>
      </w:r>
      <w:r>
        <w:rPr>
          <w:color w:val="231F20"/>
        </w:rPr>
        <w:t>in</w:t>
      </w:r>
      <w:r>
        <w:rPr>
          <w:color w:val="231F20"/>
          <w:spacing w:val="-14"/>
        </w:rPr>
        <w:t> </w:t>
      </w:r>
      <w:r>
        <w:rPr>
          <w:color w:val="231F20"/>
        </w:rPr>
        <w:t>relazione</w:t>
      </w:r>
      <w:r>
        <w:rPr>
          <w:color w:val="231F20"/>
          <w:spacing w:val="-14"/>
        </w:rPr>
        <w:t> </w:t>
      </w:r>
      <w:r>
        <w:rPr>
          <w:color w:val="231F20"/>
        </w:rPr>
        <w:t>all’art.</w:t>
      </w:r>
      <w:r>
        <w:rPr>
          <w:color w:val="231F20"/>
          <w:spacing w:val="-14"/>
        </w:rPr>
        <w:t> </w:t>
      </w:r>
      <w:r>
        <w:rPr>
          <w:color w:val="231F20"/>
        </w:rPr>
        <w:t>7</w:t>
      </w:r>
      <w:r>
        <w:rPr>
          <w:color w:val="231F20"/>
          <w:spacing w:val="-14"/>
        </w:rPr>
        <w:t> </w:t>
      </w:r>
      <w:r>
        <w:rPr>
          <w:color w:val="231F20"/>
        </w:rPr>
        <w:t>(diritto</w:t>
      </w:r>
      <w:r>
        <w:rPr>
          <w:color w:val="231F20"/>
          <w:spacing w:val="-14"/>
        </w:rPr>
        <w:t> </w:t>
      </w:r>
      <w:r>
        <w:rPr>
          <w:color w:val="231F20"/>
        </w:rPr>
        <w:t>al</w:t>
      </w:r>
      <w:r>
        <w:rPr>
          <w:color w:val="231F20"/>
          <w:spacing w:val="-14"/>
        </w:rPr>
        <w:t> </w:t>
      </w:r>
      <w:r>
        <w:rPr>
          <w:color w:val="231F20"/>
        </w:rPr>
        <w:t>rispetto della</w:t>
      </w:r>
      <w:r>
        <w:rPr>
          <w:color w:val="231F20"/>
          <w:spacing w:val="-2"/>
        </w:rPr>
        <w:t> </w:t>
      </w:r>
      <w:r>
        <w:rPr>
          <w:color w:val="231F20"/>
        </w:rPr>
        <w:t>vita</w:t>
      </w:r>
      <w:r>
        <w:rPr>
          <w:color w:val="231F20"/>
          <w:spacing w:val="-2"/>
        </w:rPr>
        <w:t> </w:t>
      </w:r>
      <w:r>
        <w:rPr>
          <w:color w:val="231F20"/>
        </w:rPr>
        <w:t>privata)</w:t>
      </w:r>
      <w:r>
        <w:rPr>
          <w:color w:val="231F20"/>
          <w:spacing w:val="-2"/>
        </w:rPr>
        <w:t> </w:t>
      </w:r>
      <w:r>
        <w:rPr>
          <w:color w:val="231F20"/>
        </w:rPr>
        <w:t>e</w:t>
      </w:r>
      <w:r>
        <w:rPr>
          <w:color w:val="231F20"/>
          <w:spacing w:val="-2"/>
        </w:rPr>
        <w:t> </w:t>
      </w:r>
      <w:r>
        <w:rPr>
          <w:color w:val="231F20"/>
        </w:rPr>
        <w:t>all’art.</w:t>
      </w:r>
      <w:r>
        <w:rPr>
          <w:color w:val="231F20"/>
          <w:spacing w:val="-2"/>
        </w:rPr>
        <w:t> </w:t>
      </w:r>
      <w:r>
        <w:rPr>
          <w:color w:val="231F20"/>
        </w:rPr>
        <w:t>47</w:t>
      </w:r>
      <w:r>
        <w:rPr>
          <w:color w:val="231F20"/>
          <w:spacing w:val="-2"/>
        </w:rPr>
        <w:t> </w:t>
      </w:r>
      <w:r>
        <w:rPr>
          <w:color w:val="231F20"/>
        </w:rPr>
        <w:t>(diritto</w:t>
      </w:r>
      <w:r>
        <w:rPr>
          <w:color w:val="231F20"/>
          <w:spacing w:val="-2"/>
        </w:rPr>
        <w:t> </w:t>
      </w:r>
      <w:r>
        <w:rPr>
          <w:color w:val="231F20"/>
        </w:rPr>
        <w:t>ad</w:t>
      </w:r>
      <w:r>
        <w:rPr>
          <w:color w:val="231F20"/>
          <w:spacing w:val="-2"/>
        </w:rPr>
        <w:t> </w:t>
      </w:r>
      <w:r>
        <w:rPr>
          <w:color w:val="231F20"/>
        </w:rPr>
        <w:t>un</w:t>
      </w:r>
      <w:r>
        <w:rPr>
          <w:color w:val="231F20"/>
          <w:spacing w:val="-2"/>
        </w:rPr>
        <w:t> </w:t>
      </w:r>
      <w:r>
        <w:rPr>
          <w:color w:val="231F20"/>
        </w:rPr>
        <w:t>equo</w:t>
      </w:r>
      <w:r>
        <w:rPr>
          <w:color w:val="231F20"/>
          <w:spacing w:val="-2"/>
        </w:rPr>
        <w:t> </w:t>
      </w:r>
      <w:r>
        <w:rPr>
          <w:color w:val="231F20"/>
        </w:rPr>
        <w:t>processo)</w:t>
      </w:r>
      <w:r>
        <w:rPr>
          <w:color w:val="231F20"/>
          <w:spacing w:val="-2"/>
        </w:rPr>
        <w:t> </w:t>
      </w:r>
      <w:r>
        <w:rPr>
          <w:color w:val="231F20"/>
        </w:rPr>
        <w:t>della</w:t>
      </w:r>
      <w:r>
        <w:rPr>
          <w:color w:val="231F20"/>
          <w:spacing w:val="-2"/>
        </w:rPr>
        <w:t> </w:t>
      </w:r>
      <w:r>
        <w:rPr>
          <w:color w:val="231F20"/>
        </w:rPr>
        <w:t>Carta</w:t>
      </w:r>
      <w:r>
        <w:rPr>
          <w:color w:val="231F20"/>
          <w:spacing w:val="-2"/>
        </w:rPr>
        <w:t> </w:t>
      </w:r>
      <w:r>
        <w:rPr>
          <w:color w:val="231F20"/>
        </w:rPr>
        <w:t>dei diritti fondamentali dell’Unione europea.</w:t>
      </w:r>
    </w:p>
    <w:p>
      <w:pPr>
        <w:pStyle w:val="BodyText"/>
        <w:spacing w:before="47"/>
      </w:pPr>
    </w:p>
    <w:p>
      <w:pPr>
        <w:pStyle w:val="ListParagraph"/>
        <w:numPr>
          <w:ilvl w:val="2"/>
          <w:numId w:val="4"/>
        </w:numPr>
        <w:tabs>
          <w:tab w:pos="757" w:val="left" w:leader="none"/>
        </w:tabs>
        <w:spacing w:line="295" w:lineRule="exact" w:before="0" w:after="0"/>
        <w:ind w:left="757" w:right="0" w:hanging="600"/>
        <w:jc w:val="left"/>
        <w:rPr>
          <w:i/>
          <w:sz w:val="24"/>
        </w:rPr>
      </w:pPr>
      <w:r>
        <w:rPr>
          <w:i/>
          <w:color w:val="231F20"/>
          <w:sz w:val="24"/>
        </w:rPr>
        <w:t>Invalidità</w:t>
      </w:r>
      <w:r>
        <w:rPr>
          <w:i/>
          <w:color w:val="231F20"/>
          <w:spacing w:val="-4"/>
          <w:sz w:val="24"/>
        </w:rPr>
        <w:t> </w:t>
      </w:r>
      <w:r>
        <w:rPr>
          <w:i/>
          <w:color w:val="231F20"/>
          <w:sz w:val="24"/>
        </w:rPr>
        <w:t>della</w:t>
      </w:r>
      <w:r>
        <w:rPr>
          <w:i/>
          <w:color w:val="231F20"/>
          <w:spacing w:val="-2"/>
          <w:sz w:val="24"/>
        </w:rPr>
        <w:t> </w:t>
      </w:r>
      <w:r>
        <w:rPr>
          <w:i/>
          <w:color w:val="231F20"/>
          <w:sz w:val="24"/>
        </w:rPr>
        <w:t>norma</w:t>
      </w:r>
      <w:r>
        <w:rPr>
          <w:i/>
          <w:color w:val="231F20"/>
          <w:spacing w:val="-2"/>
          <w:sz w:val="24"/>
        </w:rPr>
        <w:t> </w:t>
      </w:r>
      <w:r>
        <w:rPr>
          <w:i/>
          <w:color w:val="231F20"/>
          <w:sz w:val="24"/>
        </w:rPr>
        <w:t>della</w:t>
      </w:r>
      <w:r>
        <w:rPr>
          <w:i/>
          <w:color w:val="231F20"/>
          <w:spacing w:val="-2"/>
          <w:sz w:val="24"/>
        </w:rPr>
        <w:t> </w:t>
      </w:r>
      <w:r>
        <w:rPr>
          <w:i/>
          <w:color w:val="231F20"/>
          <w:sz w:val="24"/>
        </w:rPr>
        <w:t>direttiva</w:t>
      </w:r>
      <w:r>
        <w:rPr>
          <w:i/>
          <w:color w:val="231F20"/>
          <w:spacing w:val="-2"/>
          <w:sz w:val="24"/>
        </w:rPr>
        <w:t> </w:t>
      </w:r>
      <w:r>
        <w:rPr>
          <w:i/>
          <w:color w:val="231F20"/>
          <w:sz w:val="24"/>
        </w:rPr>
        <w:t>che</w:t>
      </w:r>
      <w:r>
        <w:rPr>
          <w:i/>
          <w:color w:val="231F20"/>
          <w:spacing w:val="-2"/>
          <w:sz w:val="24"/>
        </w:rPr>
        <w:t> </w:t>
      </w:r>
      <w:r>
        <w:rPr>
          <w:i/>
          <w:color w:val="231F20"/>
          <w:sz w:val="24"/>
        </w:rPr>
        <w:t>impone</w:t>
      </w:r>
      <w:r>
        <w:rPr>
          <w:i/>
          <w:color w:val="231F20"/>
          <w:spacing w:val="-2"/>
          <w:sz w:val="24"/>
        </w:rPr>
        <w:t> all’avvocato</w:t>
      </w:r>
    </w:p>
    <w:p>
      <w:pPr>
        <w:spacing w:line="230" w:lineRule="auto" w:before="3"/>
        <w:ind w:left="157" w:right="284" w:firstLine="0"/>
        <w:jc w:val="left"/>
        <w:rPr>
          <w:i/>
          <w:sz w:val="24"/>
        </w:rPr>
      </w:pPr>
      <w:r>
        <w:rPr>
          <w:i/>
          <w:color w:val="231F20"/>
          <w:sz w:val="24"/>
        </w:rPr>
        <w:t>di</w:t>
      </w:r>
      <w:r>
        <w:rPr>
          <w:i/>
          <w:color w:val="231F20"/>
          <w:spacing w:val="-5"/>
          <w:sz w:val="24"/>
        </w:rPr>
        <w:t> </w:t>
      </w:r>
      <w:r>
        <w:rPr>
          <w:i/>
          <w:color w:val="231F20"/>
          <w:sz w:val="24"/>
        </w:rPr>
        <w:t>notificare</w:t>
      </w:r>
      <w:r>
        <w:rPr>
          <w:i/>
          <w:color w:val="231F20"/>
          <w:spacing w:val="-5"/>
          <w:sz w:val="24"/>
        </w:rPr>
        <w:t> </w:t>
      </w:r>
      <w:r>
        <w:rPr>
          <w:i/>
          <w:color w:val="231F20"/>
          <w:sz w:val="24"/>
        </w:rPr>
        <w:t>ad</w:t>
      </w:r>
      <w:r>
        <w:rPr>
          <w:i/>
          <w:color w:val="231F20"/>
          <w:spacing w:val="-5"/>
          <w:sz w:val="24"/>
        </w:rPr>
        <w:t> </w:t>
      </w:r>
      <w:r>
        <w:rPr>
          <w:i/>
          <w:color w:val="231F20"/>
          <w:sz w:val="24"/>
        </w:rPr>
        <w:t>un</w:t>
      </w:r>
      <w:r>
        <w:rPr>
          <w:i/>
          <w:color w:val="231F20"/>
          <w:spacing w:val="-5"/>
          <w:sz w:val="24"/>
        </w:rPr>
        <w:t> </w:t>
      </w:r>
      <w:r>
        <w:rPr>
          <w:i/>
          <w:color w:val="231F20"/>
          <w:sz w:val="24"/>
        </w:rPr>
        <w:t>altro</w:t>
      </w:r>
      <w:r>
        <w:rPr>
          <w:i/>
          <w:color w:val="231F20"/>
          <w:spacing w:val="-5"/>
          <w:sz w:val="24"/>
        </w:rPr>
        <w:t> </w:t>
      </w:r>
      <w:r>
        <w:rPr>
          <w:i/>
          <w:color w:val="231F20"/>
          <w:sz w:val="24"/>
        </w:rPr>
        <w:t>intermediario</w:t>
      </w:r>
      <w:r>
        <w:rPr>
          <w:i/>
          <w:color w:val="231F20"/>
          <w:spacing w:val="-5"/>
          <w:sz w:val="24"/>
        </w:rPr>
        <w:t> </w:t>
      </w:r>
      <w:r>
        <w:rPr>
          <w:i/>
          <w:color w:val="231F20"/>
          <w:sz w:val="24"/>
        </w:rPr>
        <w:t>il</w:t>
      </w:r>
      <w:r>
        <w:rPr>
          <w:i/>
          <w:color w:val="231F20"/>
          <w:spacing w:val="-5"/>
          <w:sz w:val="24"/>
        </w:rPr>
        <w:t> </w:t>
      </w:r>
      <w:r>
        <w:rPr>
          <w:i/>
          <w:color w:val="231F20"/>
          <w:sz w:val="24"/>
        </w:rPr>
        <w:t>proprio</w:t>
      </w:r>
      <w:r>
        <w:rPr>
          <w:i/>
          <w:color w:val="231F20"/>
          <w:spacing w:val="-5"/>
          <w:sz w:val="24"/>
        </w:rPr>
        <w:t> </w:t>
      </w:r>
      <w:r>
        <w:rPr>
          <w:i/>
          <w:color w:val="231F20"/>
          <w:sz w:val="24"/>
        </w:rPr>
        <w:t>obbligo</w:t>
      </w:r>
      <w:r>
        <w:rPr>
          <w:i/>
          <w:color w:val="231F20"/>
          <w:spacing w:val="-5"/>
          <w:sz w:val="24"/>
        </w:rPr>
        <w:t> </w:t>
      </w:r>
      <w:r>
        <w:rPr>
          <w:i/>
          <w:color w:val="231F20"/>
          <w:sz w:val="24"/>
        </w:rPr>
        <w:t>di</w:t>
      </w:r>
      <w:r>
        <w:rPr>
          <w:i/>
          <w:color w:val="231F20"/>
          <w:spacing w:val="-5"/>
          <w:sz w:val="24"/>
        </w:rPr>
        <w:t> </w:t>
      </w:r>
      <w:r>
        <w:rPr>
          <w:i/>
          <w:color w:val="231F20"/>
          <w:sz w:val="24"/>
        </w:rPr>
        <w:t>comunicazione</w:t>
      </w:r>
      <w:r>
        <w:rPr>
          <w:i/>
          <w:color w:val="231F20"/>
          <w:sz w:val="24"/>
        </w:rPr>
        <w:t> dei meccanismi transfrontalieri di pianificazione fiscale</w:t>
      </w:r>
    </w:p>
    <w:p>
      <w:pPr>
        <w:pStyle w:val="BodyText"/>
        <w:spacing w:line="225" w:lineRule="auto" w:before="172"/>
        <w:ind w:left="157" w:right="117"/>
        <w:jc w:val="both"/>
      </w:pPr>
      <w:r>
        <w:rPr>
          <w:color w:val="231F20"/>
        </w:rPr>
        <w:t>Va innanzitutto precisato che la questione di validità sollevata dalla Corte costituzionale belga aveva ad oggetto l’art. 8 </w:t>
      </w:r>
      <w:r>
        <w:rPr>
          <w:i/>
          <w:color w:val="231F20"/>
        </w:rPr>
        <w:t>bis ter</w:t>
      </w:r>
      <w:r>
        <w:rPr>
          <w:color w:val="231F20"/>
        </w:rPr>
        <w:t>, par. 5, della direttiva 2011/16/UE unicamente nell’ipotesi in cui la comunicazione </w:t>
      </w:r>
      <w:r>
        <w:rPr>
          <w:color w:val="231F20"/>
        </w:rPr>
        <w:t>all’ammini- strazione</w:t>
      </w:r>
      <w:r>
        <w:rPr>
          <w:color w:val="231F20"/>
          <w:spacing w:val="-9"/>
        </w:rPr>
        <w:t> </w:t>
      </w:r>
      <w:r>
        <w:rPr>
          <w:color w:val="231F20"/>
        </w:rPr>
        <w:t>del</w:t>
      </w:r>
      <w:r>
        <w:rPr>
          <w:color w:val="231F20"/>
          <w:spacing w:val="-9"/>
        </w:rPr>
        <w:t> </w:t>
      </w:r>
      <w:r>
        <w:rPr>
          <w:color w:val="231F20"/>
        </w:rPr>
        <w:t>meccanismo</w:t>
      </w:r>
      <w:r>
        <w:rPr>
          <w:color w:val="231F20"/>
          <w:spacing w:val="-9"/>
        </w:rPr>
        <w:t> </w:t>
      </w:r>
      <w:r>
        <w:rPr>
          <w:color w:val="231F20"/>
        </w:rPr>
        <w:t>transfrontaliero</w:t>
      </w:r>
      <w:r>
        <w:rPr>
          <w:color w:val="231F20"/>
          <w:spacing w:val="-9"/>
        </w:rPr>
        <w:t> </w:t>
      </w:r>
      <w:r>
        <w:rPr>
          <w:color w:val="231F20"/>
        </w:rPr>
        <w:t>di</w:t>
      </w:r>
      <w:r>
        <w:rPr>
          <w:color w:val="231F20"/>
          <w:spacing w:val="-9"/>
        </w:rPr>
        <w:t> </w:t>
      </w:r>
      <w:r>
        <w:rPr>
          <w:color w:val="231F20"/>
        </w:rPr>
        <w:t>pianificazione</w:t>
      </w:r>
      <w:r>
        <w:rPr>
          <w:color w:val="231F20"/>
          <w:spacing w:val="-9"/>
        </w:rPr>
        <w:t> </w:t>
      </w:r>
      <w:r>
        <w:rPr>
          <w:color w:val="231F20"/>
        </w:rPr>
        <w:t>fiscale</w:t>
      </w:r>
      <w:r>
        <w:rPr>
          <w:color w:val="231F20"/>
          <w:spacing w:val="-9"/>
        </w:rPr>
        <w:t> </w:t>
      </w:r>
      <w:r>
        <w:rPr>
          <w:color w:val="231F20"/>
        </w:rPr>
        <w:t>aggressi- va doveva essere effettuata da un avvocato che agiva nella qualità di inter- mediario </w:t>
      </w:r>
      <w:r>
        <w:rPr>
          <w:i/>
          <w:color w:val="231F20"/>
        </w:rPr>
        <w:t>ex </w:t>
      </w:r>
      <w:r>
        <w:rPr>
          <w:color w:val="231F20"/>
        </w:rPr>
        <w:t>art. 3, par. 21, della direttiva stessa. Inoltre, sempre a norma del</w:t>
      </w:r>
      <w:r>
        <w:rPr>
          <w:color w:val="231F20"/>
          <w:spacing w:val="-8"/>
        </w:rPr>
        <w:t> </w:t>
      </w:r>
      <w:r>
        <w:rPr>
          <w:color w:val="231F20"/>
        </w:rPr>
        <w:t>par.</w:t>
      </w:r>
      <w:r>
        <w:rPr>
          <w:color w:val="231F20"/>
          <w:spacing w:val="-8"/>
        </w:rPr>
        <w:t> </w:t>
      </w:r>
      <w:r>
        <w:rPr>
          <w:color w:val="231F20"/>
        </w:rPr>
        <w:t>5</w:t>
      </w:r>
      <w:r>
        <w:rPr>
          <w:color w:val="231F20"/>
          <w:spacing w:val="-8"/>
        </w:rPr>
        <w:t> </w:t>
      </w:r>
      <w:r>
        <w:rPr>
          <w:color w:val="231F20"/>
        </w:rPr>
        <w:t>dell’art.</w:t>
      </w:r>
      <w:r>
        <w:rPr>
          <w:color w:val="231F20"/>
          <w:spacing w:val="-8"/>
        </w:rPr>
        <w:t> </w:t>
      </w:r>
      <w:r>
        <w:rPr>
          <w:color w:val="231F20"/>
        </w:rPr>
        <w:t>8</w:t>
      </w:r>
      <w:r>
        <w:rPr>
          <w:color w:val="231F20"/>
          <w:spacing w:val="-8"/>
        </w:rPr>
        <w:t> </w:t>
      </w:r>
      <w:r>
        <w:rPr>
          <w:i/>
          <w:color w:val="231F20"/>
        </w:rPr>
        <w:t>bis</w:t>
      </w:r>
      <w:r>
        <w:rPr>
          <w:i/>
          <w:color w:val="231F20"/>
          <w:spacing w:val="-8"/>
        </w:rPr>
        <w:t> </w:t>
      </w:r>
      <w:r>
        <w:rPr>
          <w:i/>
          <w:color w:val="231F20"/>
        </w:rPr>
        <w:t>ter</w:t>
      </w:r>
      <w:r>
        <w:rPr>
          <w:i/>
          <w:color w:val="231F20"/>
          <w:spacing w:val="-8"/>
        </w:rPr>
        <w:t> </w:t>
      </w:r>
      <w:r>
        <w:rPr>
          <w:color w:val="231F20"/>
        </w:rPr>
        <w:t>della</w:t>
      </w:r>
      <w:r>
        <w:rPr>
          <w:color w:val="231F20"/>
          <w:spacing w:val="-8"/>
        </w:rPr>
        <w:t> </w:t>
      </w:r>
      <w:r>
        <w:rPr>
          <w:color w:val="231F20"/>
        </w:rPr>
        <w:t>direttiva,</w:t>
      </w:r>
      <w:r>
        <w:rPr>
          <w:color w:val="231F20"/>
          <w:spacing w:val="-8"/>
        </w:rPr>
        <w:t> </w:t>
      </w:r>
      <w:r>
        <w:rPr>
          <w:color w:val="231F20"/>
        </w:rPr>
        <w:t>la</w:t>
      </w:r>
      <w:r>
        <w:rPr>
          <w:color w:val="231F20"/>
          <w:spacing w:val="-8"/>
        </w:rPr>
        <w:t> </w:t>
      </w:r>
      <w:r>
        <w:rPr>
          <w:color w:val="231F20"/>
        </w:rPr>
        <w:t>medesima</w:t>
      </w:r>
      <w:r>
        <w:rPr>
          <w:color w:val="231F20"/>
          <w:spacing w:val="-8"/>
        </w:rPr>
        <w:t> </w:t>
      </w:r>
      <w:r>
        <w:rPr>
          <w:color w:val="231F20"/>
        </w:rPr>
        <w:t>questione</w:t>
      </w:r>
      <w:r>
        <w:rPr>
          <w:color w:val="231F20"/>
          <w:spacing w:val="-8"/>
        </w:rPr>
        <w:t> </w:t>
      </w:r>
      <w:r>
        <w:rPr>
          <w:color w:val="231F20"/>
        </w:rPr>
        <w:t>di</w:t>
      </w:r>
      <w:r>
        <w:rPr>
          <w:color w:val="231F20"/>
          <w:spacing w:val="-8"/>
        </w:rPr>
        <w:t> </w:t>
      </w:r>
      <w:r>
        <w:rPr>
          <w:color w:val="231F20"/>
        </w:rPr>
        <w:t>validità si poneva soltanto negli Stati membri che si erano avvalsi della facoltà di esentare,</w:t>
      </w:r>
      <w:r>
        <w:rPr>
          <w:color w:val="231F20"/>
          <w:spacing w:val="-3"/>
        </w:rPr>
        <w:t> </w:t>
      </w:r>
      <w:r>
        <w:rPr>
          <w:color w:val="231F20"/>
        </w:rPr>
        <w:t>nella</w:t>
      </w:r>
      <w:r>
        <w:rPr>
          <w:color w:val="231F20"/>
          <w:spacing w:val="-3"/>
        </w:rPr>
        <w:t> </w:t>
      </w:r>
      <w:r>
        <w:rPr>
          <w:color w:val="231F20"/>
        </w:rPr>
        <w:t>loro</w:t>
      </w:r>
      <w:r>
        <w:rPr>
          <w:color w:val="231F20"/>
          <w:spacing w:val="-3"/>
        </w:rPr>
        <w:t> </w:t>
      </w:r>
      <w:r>
        <w:rPr>
          <w:color w:val="231F20"/>
        </w:rPr>
        <w:t>legislazione,</w:t>
      </w:r>
      <w:r>
        <w:rPr>
          <w:color w:val="231F20"/>
          <w:spacing w:val="-3"/>
        </w:rPr>
        <w:t> </w:t>
      </w:r>
      <w:r>
        <w:rPr>
          <w:color w:val="231F20"/>
        </w:rPr>
        <w:t>gli</w:t>
      </w:r>
      <w:r>
        <w:rPr>
          <w:color w:val="231F20"/>
          <w:spacing w:val="-3"/>
        </w:rPr>
        <w:t> </w:t>
      </w:r>
      <w:r>
        <w:rPr>
          <w:color w:val="231F20"/>
        </w:rPr>
        <w:t>avvocati</w:t>
      </w:r>
      <w:r>
        <w:rPr>
          <w:color w:val="231F20"/>
          <w:spacing w:val="-3"/>
        </w:rPr>
        <w:t> </w:t>
      </w:r>
      <w:r>
        <w:rPr>
          <w:color w:val="231F20"/>
        </w:rPr>
        <w:t>dall’obbligo</w:t>
      </w:r>
      <w:r>
        <w:rPr>
          <w:color w:val="231F20"/>
          <w:spacing w:val="-3"/>
        </w:rPr>
        <w:t> </w:t>
      </w:r>
      <w:r>
        <w:rPr>
          <w:color w:val="231F20"/>
        </w:rPr>
        <w:t>di</w:t>
      </w:r>
      <w:r>
        <w:rPr>
          <w:color w:val="231F20"/>
          <w:spacing w:val="-3"/>
        </w:rPr>
        <w:t> </w:t>
      </w:r>
      <w:r>
        <w:rPr>
          <w:color w:val="231F20"/>
        </w:rPr>
        <w:t>comunicazione all’amministrazione previsto dal par. 1 dello stesso articolo, a causa e in conseguenza del segreto professionale al quale, egualmente sulla base della legislazione nazionale, erano vincolati tali medesimi avvocati. Era infatti soltanto</w:t>
      </w:r>
      <w:r>
        <w:rPr>
          <w:color w:val="231F20"/>
          <w:spacing w:val="24"/>
        </w:rPr>
        <w:t> </w:t>
      </w:r>
      <w:r>
        <w:rPr>
          <w:color w:val="231F20"/>
        </w:rPr>
        <w:t>in</w:t>
      </w:r>
      <w:r>
        <w:rPr>
          <w:color w:val="231F20"/>
          <w:spacing w:val="24"/>
        </w:rPr>
        <w:t> </w:t>
      </w:r>
      <w:r>
        <w:rPr>
          <w:color w:val="231F20"/>
        </w:rPr>
        <w:t>questo</w:t>
      </w:r>
      <w:r>
        <w:rPr>
          <w:color w:val="231F20"/>
          <w:spacing w:val="24"/>
        </w:rPr>
        <w:t> </w:t>
      </w:r>
      <w:r>
        <w:rPr>
          <w:color w:val="231F20"/>
        </w:rPr>
        <w:t>caso</w:t>
      </w:r>
      <w:r>
        <w:rPr>
          <w:color w:val="231F20"/>
          <w:spacing w:val="24"/>
        </w:rPr>
        <w:t> </w:t>
      </w:r>
      <w:r>
        <w:rPr>
          <w:color w:val="231F20"/>
        </w:rPr>
        <w:t>che</w:t>
      </w:r>
      <w:r>
        <w:rPr>
          <w:color w:val="231F20"/>
          <w:spacing w:val="25"/>
        </w:rPr>
        <w:t> </w:t>
      </w:r>
      <w:r>
        <w:rPr>
          <w:color w:val="231F20"/>
        </w:rPr>
        <w:t>scattava</w:t>
      </w:r>
      <w:r>
        <w:rPr>
          <w:color w:val="231F20"/>
          <w:spacing w:val="24"/>
        </w:rPr>
        <w:t> </w:t>
      </w:r>
      <w:r>
        <w:rPr>
          <w:color w:val="231F20"/>
        </w:rPr>
        <w:t>per</w:t>
      </w:r>
      <w:r>
        <w:rPr>
          <w:color w:val="231F20"/>
          <w:spacing w:val="24"/>
        </w:rPr>
        <w:t> </w:t>
      </w:r>
      <w:r>
        <w:rPr>
          <w:color w:val="231F20"/>
        </w:rPr>
        <w:t>l’avvocato</w:t>
      </w:r>
      <w:r>
        <w:rPr>
          <w:color w:val="231F20"/>
          <w:spacing w:val="24"/>
        </w:rPr>
        <w:t> </w:t>
      </w:r>
      <w:r>
        <w:rPr>
          <w:color w:val="231F20"/>
        </w:rPr>
        <w:t>intermediario</w:t>
      </w:r>
      <w:r>
        <w:rPr>
          <w:color w:val="231F20"/>
          <w:spacing w:val="25"/>
        </w:rPr>
        <w:t> </w:t>
      </w:r>
      <w:r>
        <w:rPr>
          <w:color w:val="231F20"/>
          <w:spacing w:val="-2"/>
        </w:rPr>
        <w:t>l’obbli-</w:t>
      </w:r>
    </w:p>
    <w:p>
      <w:pPr>
        <w:spacing w:after="0" w:line="225" w:lineRule="auto"/>
        <w:jc w:val="both"/>
        <w:sectPr>
          <w:pgSz w:w="9640" w:h="13610"/>
          <w:pgMar w:header="0" w:footer="625" w:top="1260" w:bottom="820" w:left="1260" w:right="1240"/>
        </w:sectPr>
      </w:pPr>
    </w:p>
    <w:p>
      <w:pPr>
        <w:pStyle w:val="BodyText"/>
        <w:spacing w:line="225" w:lineRule="auto" w:before="117"/>
        <w:ind w:left="100" w:right="174"/>
        <w:jc w:val="both"/>
      </w:pPr>
      <w:r>
        <w:rPr>
          <w:color w:val="231F20"/>
        </w:rPr>
        <w:t>go di notificare ad un altro intermediario – evidentemente non tenuto </w:t>
      </w:r>
      <w:r>
        <w:rPr>
          <w:color w:val="231F20"/>
        </w:rPr>
        <w:t>al segreto professionale – l’obbligo di comunicazione del meccanismo tran- sfrontaliero all’amministrazione finanziaria nazionale.</w:t>
      </w:r>
    </w:p>
    <w:p>
      <w:pPr>
        <w:pStyle w:val="BodyText"/>
        <w:spacing w:line="225" w:lineRule="auto" w:before="4"/>
        <w:ind w:left="100" w:right="174" w:firstLine="340"/>
        <w:jc w:val="both"/>
      </w:pPr>
      <w:r>
        <w:rPr>
          <w:color w:val="231F20"/>
        </w:rPr>
        <w:t>La</w:t>
      </w:r>
      <w:r>
        <w:rPr>
          <w:color w:val="231F20"/>
          <w:spacing w:val="-12"/>
        </w:rPr>
        <w:t> </w:t>
      </w:r>
      <w:r>
        <w:rPr>
          <w:color w:val="231F20"/>
        </w:rPr>
        <w:t>Corte</w:t>
      </w:r>
      <w:r>
        <w:rPr>
          <w:color w:val="231F20"/>
          <w:spacing w:val="-12"/>
        </w:rPr>
        <w:t> </w:t>
      </w:r>
      <w:r>
        <w:rPr>
          <w:color w:val="231F20"/>
        </w:rPr>
        <w:t>di</w:t>
      </w:r>
      <w:r>
        <w:rPr>
          <w:color w:val="231F20"/>
          <w:spacing w:val="-12"/>
        </w:rPr>
        <w:t> </w:t>
      </w:r>
      <w:r>
        <w:rPr>
          <w:color w:val="231F20"/>
        </w:rPr>
        <w:t>giustizia</w:t>
      </w:r>
      <w:r>
        <w:rPr>
          <w:color w:val="231F20"/>
          <w:spacing w:val="-12"/>
        </w:rPr>
        <w:t> </w:t>
      </w:r>
      <w:r>
        <w:rPr>
          <w:color w:val="231F20"/>
        </w:rPr>
        <w:t>ha</w:t>
      </w:r>
      <w:r>
        <w:rPr>
          <w:color w:val="231F20"/>
          <w:spacing w:val="-12"/>
        </w:rPr>
        <w:t> </w:t>
      </w:r>
      <w:r>
        <w:rPr>
          <w:color w:val="231F20"/>
        </w:rPr>
        <w:t>rilevato</w:t>
      </w:r>
      <w:r>
        <w:rPr>
          <w:color w:val="231F20"/>
          <w:spacing w:val="-12"/>
        </w:rPr>
        <w:t> </w:t>
      </w:r>
      <w:r>
        <w:rPr>
          <w:color w:val="231F20"/>
        </w:rPr>
        <w:t>in</w:t>
      </w:r>
      <w:r>
        <w:rPr>
          <w:color w:val="231F20"/>
          <w:spacing w:val="-12"/>
        </w:rPr>
        <w:t> </w:t>
      </w:r>
      <w:r>
        <w:rPr>
          <w:color w:val="231F20"/>
        </w:rPr>
        <w:t>primo</w:t>
      </w:r>
      <w:r>
        <w:rPr>
          <w:color w:val="231F20"/>
          <w:spacing w:val="-12"/>
        </w:rPr>
        <w:t> </w:t>
      </w:r>
      <w:r>
        <w:rPr>
          <w:color w:val="231F20"/>
        </w:rPr>
        <w:t>luogo</w:t>
      </w:r>
      <w:r>
        <w:rPr>
          <w:color w:val="231F20"/>
          <w:spacing w:val="-12"/>
        </w:rPr>
        <w:t> </w:t>
      </w:r>
      <w:r>
        <w:rPr>
          <w:color w:val="231F20"/>
        </w:rPr>
        <w:t>la</w:t>
      </w:r>
      <w:r>
        <w:rPr>
          <w:color w:val="231F20"/>
          <w:spacing w:val="-12"/>
        </w:rPr>
        <w:t> </w:t>
      </w:r>
      <w:r>
        <w:rPr>
          <w:color w:val="231F20"/>
        </w:rPr>
        <w:t>sostanziale</w:t>
      </w:r>
      <w:r>
        <w:rPr>
          <w:color w:val="231F20"/>
          <w:spacing w:val="-12"/>
        </w:rPr>
        <w:t> </w:t>
      </w:r>
      <w:r>
        <w:rPr>
          <w:color w:val="231F20"/>
        </w:rPr>
        <w:t>identità</w:t>
      </w:r>
      <w:r>
        <w:rPr>
          <w:color w:val="231F20"/>
          <w:spacing w:val="-12"/>
        </w:rPr>
        <w:t> </w:t>
      </w:r>
      <w:r>
        <w:rPr>
          <w:color w:val="231F20"/>
        </w:rPr>
        <w:t>di contenuto precettivo dell’art. 7 della Carta di diritti fondamentali dell’U- nione europea e dell’art. 8 della Convenzione europea per la salvaguardia dei diritti dell’uomo e delle libertà fondamentali (CEDU) in quanto en- trambe</w:t>
      </w:r>
      <w:r>
        <w:rPr>
          <w:color w:val="231F20"/>
          <w:spacing w:val="-12"/>
        </w:rPr>
        <w:t> </w:t>
      </w:r>
      <w:r>
        <w:rPr>
          <w:color w:val="231F20"/>
        </w:rPr>
        <w:t>tali</w:t>
      </w:r>
      <w:r>
        <w:rPr>
          <w:color w:val="231F20"/>
          <w:spacing w:val="-12"/>
        </w:rPr>
        <w:t> </w:t>
      </w:r>
      <w:r>
        <w:rPr>
          <w:color w:val="231F20"/>
        </w:rPr>
        <w:t>norme</w:t>
      </w:r>
      <w:r>
        <w:rPr>
          <w:color w:val="231F20"/>
          <w:spacing w:val="-12"/>
        </w:rPr>
        <w:t> </w:t>
      </w:r>
      <w:r>
        <w:rPr>
          <w:color w:val="231F20"/>
        </w:rPr>
        <w:t>tutelano</w:t>
      </w:r>
      <w:r>
        <w:rPr>
          <w:color w:val="231F20"/>
          <w:spacing w:val="-12"/>
        </w:rPr>
        <w:t> </w:t>
      </w:r>
      <w:r>
        <w:rPr>
          <w:color w:val="231F20"/>
        </w:rPr>
        <w:t>la</w:t>
      </w:r>
      <w:r>
        <w:rPr>
          <w:color w:val="231F20"/>
          <w:spacing w:val="-12"/>
        </w:rPr>
        <w:t> </w:t>
      </w:r>
      <w:r>
        <w:rPr>
          <w:color w:val="231F20"/>
        </w:rPr>
        <w:t>riservatezza</w:t>
      </w:r>
      <w:r>
        <w:rPr>
          <w:color w:val="231F20"/>
          <w:spacing w:val="-12"/>
        </w:rPr>
        <w:t> </w:t>
      </w:r>
      <w:r>
        <w:rPr>
          <w:color w:val="231F20"/>
        </w:rPr>
        <w:t>di</w:t>
      </w:r>
      <w:r>
        <w:rPr>
          <w:color w:val="231F20"/>
          <w:spacing w:val="-12"/>
        </w:rPr>
        <w:t> </w:t>
      </w:r>
      <w:r>
        <w:rPr>
          <w:color w:val="231F20"/>
        </w:rPr>
        <w:t>ogni</w:t>
      </w:r>
      <w:r>
        <w:rPr>
          <w:color w:val="231F20"/>
          <w:spacing w:val="-12"/>
        </w:rPr>
        <w:t> </w:t>
      </w:r>
      <w:r>
        <w:rPr>
          <w:color w:val="231F20"/>
        </w:rPr>
        <w:t>scambio</w:t>
      </w:r>
      <w:r>
        <w:rPr>
          <w:color w:val="231F20"/>
          <w:spacing w:val="-12"/>
        </w:rPr>
        <w:t> </w:t>
      </w:r>
      <w:r>
        <w:rPr>
          <w:color w:val="231F20"/>
        </w:rPr>
        <w:t>di</w:t>
      </w:r>
      <w:r>
        <w:rPr>
          <w:color w:val="231F20"/>
          <w:spacing w:val="-12"/>
        </w:rPr>
        <w:t> </w:t>
      </w:r>
      <w:r>
        <w:rPr>
          <w:color w:val="231F20"/>
        </w:rPr>
        <w:t>corrisponden- za</w:t>
      </w:r>
      <w:r>
        <w:rPr>
          <w:color w:val="231F20"/>
          <w:spacing w:val="-6"/>
        </w:rPr>
        <w:t> </w:t>
      </w:r>
      <w:r>
        <w:rPr>
          <w:color w:val="231F20"/>
        </w:rPr>
        <w:t>fra</w:t>
      </w:r>
      <w:r>
        <w:rPr>
          <w:color w:val="231F20"/>
          <w:spacing w:val="-6"/>
        </w:rPr>
        <w:t> </w:t>
      </w:r>
      <w:r>
        <w:rPr>
          <w:color w:val="231F20"/>
        </w:rPr>
        <w:t>individui</w:t>
      </w:r>
      <w:r>
        <w:rPr>
          <w:color w:val="231F20"/>
          <w:spacing w:val="-6"/>
        </w:rPr>
        <w:t> </w:t>
      </w:r>
      <w:r>
        <w:rPr>
          <w:color w:val="231F20"/>
        </w:rPr>
        <w:t>e</w:t>
      </w:r>
      <w:r>
        <w:rPr>
          <w:color w:val="231F20"/>
          <w:spacing w:val="-6"/>
        </w:rPr>
        <w:t> </w:t>
      </w:r>
      <w:r>
        <w:rPr>
          <w:color w:val="231F20"/>
        </w:rPr>
        <w:t>comportano</w:t>
      </w:r>
      <w:r>
        <w:rPr>
          <w:color w:val="231F20"/>
          <w:spacing w:val="-6"/>
        </w:rPr>
        <w:t> </w:t>
      </w:r>
      <w:r>
        <w:rPr>
          <w:color w:val="231F20"/>
        </w:rPr>
        <w:t>una</w:t>
      </w:r>
      <w:r>
        <w:rPr>
          <w:color w:val="231F20"/>
          <w:spacing w:val="-6"/>
        </w:rPr>
        <w:t> </w:t>
      </w:r>
      <w:r>
        <w:rPr>
          <w:color w:val="231F20"/>
        </w:rPr>
        <w:t>tutela</w:t>
      </w:r>
      <w:r>
        <w:rPr>
          <w:color w:val="231F20"/>
          <w:spacing w:val="-6"/>
        </w:rPr>
        <w:t> </w:t>
      </w:r>
      <w:r>
        <w:rPr>
          <w:color w:val="231F20"/>
        </w:rPr>
        <w:t>rafforzata</w:t>
      </w:r>
      <w:r>
        <w:rPr>
          <w:color w:val="231F20"/>
          <w:spacing w:val="-6"/>
        </w:rPr>
        <w:t> </w:t>
      </w:r>
      <w:r>
        <w:rPr>
          <w:color w:val="231F20"/>
        </w:rPr>
        <w:t>delle</w:t>
      </w:r>
      <w:r>
        <w:rPr>
          <w:color w:val="231F20"/>
          <w:spacing w:val="-6"/>
        </w:rPr>
        <w:t> </w:t>
      </w:r>
      <w:r>
        <w:rPr>
          <w:color w:val="231F20"/>
        </w:rPr>
        <w:t>comunicazioni</w:t>
      </w:r>
      <w:r>
        <w:rPr>
          <w:color w:val="231F20"/>
          <w:spacing w:val="-6"/>
        </w:rPr>
        <w:t> </w:t>
      </w:r>
      <w:r>
        <w:rPr>
          <w:color w:val="231F20"/>
        </w:rPr>
        <w:t>fra gli avvocati e i loro clienti</w:t>
      </w:r>
      <w:r>
        <w:rPr>
          <w:color w:val="231F20"/>
          <w:position w:val="8"/>
          <w:sz w:val="14"/>
        </w:rPr>
        <w:t>111</w:t>
      </w:r>
      <w:r>
        <w:rPr>
          <w:color w:val="231F20"/>
        </w:rPr>
        <w:t>. Riferendosi alla giurisprudenza della Corte EDU,</w:t>
      </w:r>
      <w:r>
        <w:rPr>
          <w:color w:val="231F20"/>
          <w:spacing w:val="-1"/>
        </w:rPr>
        <w:t> </w:t>
      </w:r>
      <w:r>
        <w:rPr>
          <w:color w:val="231F20"/>
        </w:rPr>
        <w:t>la</w:t>
      </w:r>
      <w:r>
        <w:rPr>
          <w:color w:val="231F20"/>
          <w:spacing w:val="-1"/>
        </w:rPr>
        <w:t> </w:t>
      </w:r>
      <w:r>
        <w:rPr>
          <w:color w:val="231F20"/>
        </w:rPr>
        <w:t>Corte</w:t>
      </w:r>
      <w:r>
        <w:rPr>
          <w:color w:val="231F20"/>
          <w:spacing w:val="-1"/>
        </w:rPr>
        <w:t> </w:t>
      </w:r>
      <w:r>
        <w:rPr>
          <w:color w:val="231F20"/>
        </w:rPr>
        <w:t>di</w:t>
      </w:r>
      <w:r>
        <w:rPr>
          <w:color w:val="231F20"/>
          <w:spacing w:val="-1"/>
        </w:rPr>
        <w:t> </w:t>
      </w:r>
      <w:r>
        <w:rPr>
          <w:color w:val="231F20"/>
        </w:rPr>
        <w:t>giustizia</w:t>
      </w:r>
      <w:r>
        <w:rPr>
          <w:color w:val="231F20"/>
          <w:spacing w:val="-1"/>
        </w:rPr>
        <w:t> </w:t>
      </w:r>
      <w:r>
        <w:rPr>
          <w:color w:val="231F20"/>
        </w:rPr>
        <w:t>ha</w:t>
      </w:r>
      <w:r>
        <w:rPr>
          <w:color w:val="231F20"/>
          <w:spacing w:val="-1"/>
        </w:rPr>
        <w:t> </w:t>
      </w:r>
      <w:r>
        <w:rPr>
          <w:color w:val="231F20"/>
        </w:rPr>
        <w:t>precisato,</w:t>
      </w:r>
      <w:r>
        <w:rPr>
          <w:color w:val="231F20"/>
          <w:spacing w:val="-1"/>
        </w:rPr>
        <w:t> </w:t>
      </w:r>
      <w:r>
        <w:rPr>
          <w:color w:val="231F20"/>
        </w:rPr>
        <w:t>in</w:t>
      </w:r>
      <w:r>
        <w:rPr>
          <w:color w:val="231F20"/>
          <w:spacing w:val="-1"/>
        </w:rPr>
        <w:t> </w:t>
      </w:r>
      <w:r>
        <w:rPr>
          <w:color w:val="231F20"/>
        </w:rPr>
        <w:t>secondo</w:t>
      </w:r>
      <w:r>
        <w:rPr>
          <w:color w:val="231F20"/>
          <w:spacing w:val="-1"/>
        </w:rPr>
        <w:t> </w:t>
      </w:r>
      <w:r>
        <w:rPr>
          <w:color w:val="231F20"/>
        </w:rPr>
        <w:t>luogo,</w:t>
      </w:r>
      <w:r>
        <w:rPr>
          <w:color w:val="231F20"/>
          <w:spacing w:val="-1"/>
        </w:rPr>
        <w:t> </w:t>
      </w:r>
      <w:r>
        <w:rPr>
          <w:color w:val="231F20"/>
        </w:rPr>
        <w:t>che</w:t>
      </w:r>
      <w:r>
        <w:rPr>
          <w:color w:val="231F20"/>
          <w:spacing w:val="-1"/>
        </w:rPr>
        <w:t> </w:t>
      </w:r>
      <w:r>
        <w:rPr>
          <w:color w:val="231F20"/>
        </w:rPr>
        <w:t>la</w:t>
      </w:r>
      <w:r>
        <w:rPr>
          <w:color w:val="231F20"/>
          <w:spacing w:val="-1"/>
        </w:rPr>
        <w:t> </w:t>
      </w:r>
      <w:r>
        <w:rPr>
          <w:color w:val="231F20"/>
        </w:rPr>
        <w:t>protezio- ne della riservatezza delle comunicazioni assicurata dall’art. 7 della Carta copre non soltanto l’attività degli avvocati relativa alla difesa in giudizio dei loro clienti, ma anche la loro attività di consulenza legale «e ciò, tanto riguardo</w:t>
      </w:r>
      <w:r>
        <w:rPr>
          <w:color w:val="231F20"/>
          <w:spacing w:val="-8"/>
        </w:rPr>
        <w:t> </w:t>
      </w:r>
      <w:r>
        <w:rPr>
          <w:color w:val="231F20"/>
        </w:rPr>
        <w:t>al</w:t>
      </w:r>
      <w:r>
        <w:rPr>
          <w:color w:val="231F20"/>
          <w:spacing w:val="-8"/>
        </w:rPr>
        <w:t> </w:t>
      </w:r>
      <w:r>
        <w:rPr>
          <w:color w:val="231F20"/>
        </w:rPr>
        <w:t>suo</w:t>
      </w:r>
      <w:r>
        <w:rPr>
          <w:color w:val="231F20"/>
          <w:spacing w:val="-8"/>
        </w:rPr>
        <w:t> </w:t>
      </w:r>
      <w:r>
        <w:rPr>
          <w:color w:val="231F20"/>
        </w:rPr>
        <w:t>contenuto</w:t>
      </w:r>
      <w:r>
        <w:rPr>
          <w:color w:val="231F20"/>
          <w:spacing w:val="-8"/>
        </w:rPr>
        <w:t> </w:t>
      </w:r>
      <w:r>
        <w:rPr>
          <w:color w:val="231F20"/>
        </w:rPr>
        <w:t>quanto</w:t>
      </w:r>
      <w:r>
        <w:rPr>
          <w:color w:val="231F20"/>
          <w:spacing w:val="-8"/>
        </w:rPr>
        <w:t> </w:t>
      </w:r>
      <w:r>
        <w:rPr>
          <w:color w:val="231F20"/>
        </w:rPr>
        <w:t>alla</w:t>
      </w:r>
      <w:r>
        <w:rPr>
          <w:color w:val="231F20"/>
          <w:spacing w:val="-8"/>
        </w:rPr>
        <w:t> </w:t>
      </w:r>
      <w:r>
        <w:rPr>
          <w:color w:val="231F20"/>
        </w:rPr>
        <w:t>sua</w:t>
      </w:r>
      <w:r>
        <w:rPr>
          <w:color w:val="231F20"/>
          <w:spacing w:val="-8"/>
        </w:rPr>
        <w:t> </w:t>
      </w:r>
      <w:r>
        <w:rPr>
          <w:color w:val="231F20"/>
        </w:rPr>
        <w:t>esistenza».</w:t>
      </w:r>
      <w:r>
        <w:rPr>
          <w:color w:val="231F20"/>
          <w:spacing w:val="40"/>
        </w:rPr>
        <w:t> </w:t>
      </w:r>
      <w:r>
        <w:rPr>
          <w:color w:val="231F20"/>
        </w:rPr>
        <w:t>Ne</w:t>
      </w:r>
      <w:r>
        <w:rPr>
          <w:color w:val="231F20"/>
          <w:spacing w:val="-8"/>
        </w:rPr>
        <w:t> </w:t>
      </w:r>
      <w:r>
        <w:rPr>
          <w:color w:val="231F20"/>
        </w:rPr>
        <w:t>consegue,</w:t>
      </w:r>
      <w:r>
        <w:rPr>
          <w:color w:val="231F20"/>
          <w:spacing w:val="-8"/>
        </w:rPr>
        <w:t> </w:t>
      </w:r>
      <w:r>
        <w:rPr>
          <w:color w:val="231F20"/>
        </w:rPr>
        <w:t>sempre secondo</w:t>
      </w:r>
      <w:r>
        <w:rPr>
          <w:color w:val="231F20"/>
          <w:spacing w:val="-3"/>
        </w:rPr>
        <w:t> </w:t>
      </w:r>
      <w:r>
        <w:rPr>
          <w:color w:val="231F20"/>
        </w:rPr>
        <w:t>i</w:t>
      </w:r>
      <w:r>
        <w:rPr>
          <w:color w:val="231F20"/>
          <w:spacing w:val="-3"/>
        </w:rPr>
        <w:t> </w:t>
      </w:r>
      <w:r>
        <w:rPr>
          <w:color w:val="231F20"/>
        </w:rPr>
        <w:t>giudici</w:t>
      </w:r>
      <w:r>
        <w:rPr>
          <w:color w:val="231F20"/>
          <w:spacing w:val="-3"/>
        </w:rPr>
        <w:t> </w:t>
      </w:r>
      <w:r>
        <w:rPr>
          <w:color w:val="231F20"/>
        </w:rPr>
        <w:t>dell’Unione,</w:t>
      </w:r>
      <w:r>
        <w:rPr>
          <w:color w:val="231F20"/>
          <w:spacing w:val="-3"/>
        </w:rPr>
        <w:t> </w:t>
      </w:r>
      <w:r>
        <w:rPr>
          <w:color w:val="231F20"/>
        </w:rPr>
        <w:t>che</w:t>
      </w:r>
      <w:r>
        <w:rPr>
          <w:color w:val="231F20"/>
          <w:spacing w:val="-3"/>
        </w:rPr>
        <w:t> </w:t>
      </w:r>
      <w:r>
        <w:rPr>
          <w:color w:val="231F20"/>
        </w:rPr>
        <w:t>l’obbligo</w:t>
      </w:r>
      <w:r>
        <w:rPr>
          <w:color w:val="231F20"/>
          <w:spacing w:val="-3"/>
        </w:rPr>
        <w:t> </w:t>
      </w:r>
      <w:r>
        <w:rPr>
          <w:color w:val="231F20"/>
        </w:rPr>
        <w:t>imposto</w:t>
      </w:r>
      <w:r>
        <w:rPr>
          <w:color w:val="231F20"/>
          <w:spacing w:val="-3"/>
        </w:rPr>
        <w:t> </w:t>
      </w:r>
      <w:r>
        <w:rPr>
          <w:color w:val="231F20"/>
        </w:rPr>
        <w:t>all’avvocato</w:t>
      </w:r>
      <w:r>
        <w:rPr>
          <w:color w:val="231F20"/>
          <w:spacing w:val="-3"/>
        </w:rPr>
        <w:t> </w:t>
      </w:r>
      <w:r>
        <w:rPr>
          <w:color w:val="231F20"/>
        </w:rPr>
        <w:t>interme- diario dall’art. 8 </w:t>
      </w:r>
      <w:r>
        <w:rPr>
          <w:i/>
          <w:color w:val="231F20"/>
        </w:rPr>
        <w:t>ter bis</w:t>
      </w:r>
      <w:r>
        <w:rPr>
          <w:color w:val="231F20"/>
        </w:rPr>
        <w:t>, par. 5, della direttiva, di notificare ad un altro in- termediario i propri obblighi di comunicazione riguardanti i meccanismi transfrontalieri consigliati al proprio cliente, comporta come inevitabile conseguenza</w:t>
      </w:r>
      <w:r>
        <w:rPr>
          <w:color w:val="231F20"/>
          <w:spacing w:val="-17"/>
        </w:rPr>
        <w:t> </w:t>
      </w:r>
      <w:r>
        <w:rPr>
          <w:color w:val="231F20"/>
        </w:rPr>
        <w:t>che</w:t>
      </w:r>
      <w:r>
        <w:rPr>
          <w:color w:val="231F20"/>
          <w:spacing w:val="-15"/>
        </w:rPr>
        <w:t> </w:t>
      </w:r>
      <w:r>
        <w:rPr>
          <w:color w:val="231F20"/>
        </w:rPr>
        <w:t>quest’altro</w:t>
      </w:r>
      <w:r>
        <w:rPr>
          <w:color w:val="231F20"/>
          <w:spacing w:val="-15"/>
        </w:rPr>
        <w:t> </w:t>
      </w:r>
      <w:r>
        <w:rPr>
          <w:color w:val="231F20"/>
        </w:rPr>
        <w:t>intermediario</w:t>
      </w:r>
      <w:r>
        <w:rPr>
          <w:color w:val="231F20"/>
          <w:spacing w:val="-15"/>
        </w:rPr>
        <w:t> </w:t>
      </w:r>
      <w:r>
        <w:rPr>
          <w:color w:val="231F20"/>
        </w:rPr>
        <w:t>non</w:t>
      </w:r>
      <w:r>
        <w:rPr>
          <w:color w:val="231F20"/>
          <w:spacing w:val="-15"/>
        </w:rPr>
        <w:t> </w:t>
      </w:r>
      <w:r>
        <w:rPr>
          <w:color w:val="231F20"/>
        </w:rPr>
        <w:t>vincolato</w:t>
      </w:r>
      <w:r>
        <w:rPr>
          <w:color w:val="231F20"/>
          <w:spacing w:val="-15"/>
        </w:rPr>
        <w:t> </w:t>
      </w:r>
      <w:r>
        <w:rPr>
          <w:color w:val="231F20"/>
        </w:rPr>
        <w:t>dal</w:t>
      </w:r>
      <w:r>
        <w:rPr>
          <w:color w:val="231F20"/>
          <w:spacing w:val="-15"/>
        </w:rPr>
        <w:t> </w:t>
      </w:r>
      <w:r>
        <w:rPr>
          <w:color w:val="231F20"/>
        </w:rPr>
        <w:t>segreto</w:t>
      </w:r>
      <w:r>
        <w:rPr>
          <w:color w:val="231F20"/>
          <w:spacing w:val="-15"/>
        </w:rPr>
        <w:t> </w:t>
      </w:r>
      <w:r>
        <w:rPr>
          <w:color w:val="231F20"/>
        </w:rPr>
        <w:t>profes- sionale - quale ad esempio un consulente tributario – venga a conoscenza, sia dell’identità dell’avvocato intermediario, sia del fatto che questi è stato consultato da quel determinato cliente/contribuente</w:t>
      </w:r>
      <w:r>
        <w:rPr>
          <w:color w:val="231F20"/>
          <w:position w:val="8"/>
          <w:sz w:val="14"/>
        </w:rPr>
        <w:t>112</w:t>
      </w:r>
      <w:r>
        <w:rPr>
          <w:color w:val="231F20"/>
        </w:rPr>
        <w:t>.</w:t>
      </w:r>
    </w:p>
    <w:p>
      <w:pPr>
        <w:pStyle w:val="BodyText"/>
        <w:spacing w:line="225" w:lineRule="auto" w:before="25"/>
        <w:ind w:left="100" w:right="174" w:firstLine="340"/>
        <w:jc w:val="both"/>
      </w:pPr>
      <w:r>
        <w:rPr>
          <w:color w:val="231F20"/>
          <w:spacing w:val="-2"/>
        </w:rPr>
        <w:t>Tale</w:t>
      </w:r>
      <w:r>
        <w:rPr>
          <w:color w:val="231F20"/>
          <w:spacing w:val="-7"/>
        </w:rPr>
        <w:t> </w:t>
      </w:r>
      <w:r>
        <w:rPr>
          <w:color w:val="231F20"/>
          <w:spacing w:val="-2"/>
        </w:rPr>
        <w:t>obbligo</w:t>
      </w:r>
      <w:r>
        <w:rPr>
          <w:color w:val="231F20"/>
          <w:spacing w:val="-7"/>
        </w:rPr>
        <w:t> </w:t>
      </w:r>
      <w:r>
        <w:rPr>
          <w:color w:val="231F20"/>
          <w:spacing w:val="-2"/>
        </w:rPr>
        <w:t>di</w:t>
      </w:r>
      <w:r>
        <w:rPr>
          <w:color w:val="231F20"/>
          <w:spacing w:val="-7"/>
        </w:rPr>
        <w:t> </w:t>
      </w:r>
      <w:r>
        <w:rPr>
          <w:color w:val="231F20"/>
          <w:spacing w:val="-2"/>
        </w:rPr>
        <w:t>notifica</w:t>
      </w:r>
      <w:r>
        <w:rPr>
          <w:color w:val="231F20"/>
          <w:spacing w:val="-7"/>
        </w:rPr>
        <w:t> </w:t>
      </w:r>
      <w:r>
        <w:rPr>
          <w:color w:val="231F20"/>
          <w:spacing w:val="-2"/>
        </w:rPr>
        <w:t>dall’avvocato</w:t>
      </w:r>
      <w:r>
        <w:rPr>
          <w:color w:val="231F20"/>
          <w:spacing w:val="-7"/>
        </w:rPr>
        <w:t> </w:t>
      </w:r>
      <w:r>
        <w:rPr>
          <w:color w:val="231F20"/>
          <w:spacing w:val="-2"/>
        </w:rPr>
        <w:t>intermediario</w:t>
      </w:r>
      <w:r>
        <w:rPr>
          <w:color w:val="231F20"/>
          <w:spacing w:val="-7"/>
        </w:rPr>
        <w:t> </w:t>
      </w:r>
      <w:r>
        <w:rPr>
          <w:color w:val="231F20"/>
          <w:spacing w:val="-2"/>
        </w:rPr>
        <w:t>ad</w:t>
      </w:r>
      <w:r>
        <w:rPr>
          <w:color w:val="231F20"/>
          <w:spacing w:val="-7"/>
        </w:rPr>
        <w:t> </w:t>
      </w:r>
      <w:r>
        <w:rPr>
          <w:color w:val="231F20"/>
          <w:spacing w:val="-2"/>
        </w:rPr>
        <w:t>altri</w:t>
      </w:r>
      <w:r>
        <w:rPr>
          <w:color w:val="231F20"/>
          <w:spacing w:val="-7"/>
        </w:rPr>
        <w:t> </w:t>
      </w:r>
      <w:r>
        <w:rPr>
          <w:color w:val="231F20"/>
          <w:spacing w:val="-2"/>
        </w:rPr>
        <w:t>intermediari </w:t>
      </w:r>
      <w:r>
        <w:rPr>
          <w:color w:val="231F20"/>
        </w:rPr>
        <w:t>costituisce</w:t>
      </w:r>
      <w:r>
        <w:rPr>
          <w:color w:val="231F20"/>
          <w:spacing w:val="-13"/>
        </w:rPr>
        <w:t> </w:t>
      </w:r>
      <w:r>
        <w:rPr>
          <w:color w:val="231F20"/>
        </w:rPr>
        <w:t>pertanto</w:t>
      </w:r>
      <w:r>
        <w:rPr>
          <w:color w:val="231F20"/>
          <w:spacing w:val="-13"/>
        </w:rPr>
        <w:t> </w:t>
      </w:r>
      <w:r>
        <w:rPr>
          <w:color w:val="231F20"/>
        </w:rPr>
        <w:t>una</w:t>
      </w:r>
      <w:r>
        <w:rPr>
          <w:color w:val="231F20"/>
          <w:spacing w:val="-13"/>
        </w:rPr>
        <w:t> </w:t>
      </w:r>
      <w:r>
        <w:rPr>
          <w:color w:val="231F20"/>
        </w:rPr>
        <w:t>prima</w:t>
      </w:r>
      <w:r>
        <w:rPr>
          <w:color w:val="231F20"/>
          <w:spacing w:val="-13"/>
        </w:rPr>
        <w:t> </w:t>
      </w:r>
      <w:r>
        <w:rPr>
          <w:color w:val="231F20"/>
        </w:rPr>
        <w:t>grave</w:t>
      </w:r>
      <w:r>
        <w:rPr>
          <w:color w:val="231F20"/>
          <w:spacing w:val="-13"/>
        </w:rPr>
        <w:t> </w:t>
      </w:r>
      <w:r>
        <w:rPr>
          <w:color w:val="231F20"/>
        </w:rPr>
        <w:t>«ingerenza»</w:t>
      </w:r>
      <w:r>
        <w:rPr>
          <w:color w:val="231F20"/>
          <w:spacing w:val="-13"/>
        </w:rPr>
        <w:t> </w:t>
      </w:r>
      <w:r>
        <w:rPr>
          <w:color w:val="231F20"/>
        </w:rPr>
        <w:t>nel</w:t>
      </w:r>
      <w:r>
        <w:rPr>
          <w:color w:val="231F20"/>
          <w:spacing w:val="-13"/>
        </w:rPr>
        <w:t> </w:t>
      </w:r>
      <w:r>
        <w:rPr>
          <w:color w:val="231F20"/>
        </w:rPr>
        <w:t>diritto</w:t>
      </w:r>
      <w:r>
        <w:rPr>
          <w:color w:val="231F20"/>
          <w:spacing w:val="-13"/>
        </w:rPr>
        <w:t> </w:t>
      </w:r>
      <w:r>
        <w:rPr>
          <w:color w:val="231F20"/>
        </w:rPr>
        <w:t>alla</w:t>
      </w:r>
      <w:r>
        <w:rPr>
          <w:color w:val="231F20"/>
          <w:spacing w:val="-13"/>
        </w:rPr>
        <w:t> </w:t>
      </w:r>
      <w:r>
        <w:rPr>
          <w:color w:val="231F20"/>
        </w:rPr>
        <w:t>riservatezza delle comunicazioni fra avvocati e i loro clienti garantito dall’art. 7 della Carta. A questa prima ingerenza, per la Corte di giustizia se ne aggiunge poi</w:t>
      </w:r>
      <w:r>
        <w:rPr>
          <w:color w:val="231F20"/>
          <w:spacing w:val="-9"/>
        </w:rPr>
        <w:t> </w:t>
      </w:r>
      <w:r>
        <w:rPr>
          <w:color w:val="231F20"/>
        </w:rPr>
        <w:t>una</w:t>
      </w:r>
      <w:r>
        <w:rPr>
          <w:color w:val="231F20"/>
          <w:spacing w:val="-9"/>
        </w:rPr>
        <w:t> </w:t>
      </w:r>
      <w:r>
        <w:rPr>
          <w:color w:val="231F20"/>
        </w:rPr>
        <w:t>seconda</w:t>
      </w:r>
      <w:r>
        <w:rPr>
          <w:color w:val="231F20"/>
          <w:spacing w:val="-9"/>
        </w:rPr>
        <w:t> </w:t>
      </w:r>
      <w:r>
        <w:rPr>
          <w:color w:val="231F20"/>
        </w:rPr>
        <w:t>ancora</w:t>
      </w:r>
      <w:r>
        <w:rPr>
          <w:color w:val="231F20"/>
          <w:spacing w:val="-9"/>
        </w:rPr>
        <w:t> </w:t>
      </w:r>
      <w:r>
        <w:rPr>
          <w:color w:val="231F20"/>
        </w:rPr>
        <w:t>più</w:t>
      </w:r>
      <w:r>
        <w:rPr>
          <w:color w:val="231F20"/>
          <w:spacing w:val="-9"/>
        </w:rPr>
        <w:t> </w:t>
      </w:r>
      <w:r>
        <w:rPr>
          <w:color w:val="231F20"/>
        </w:rPr>
        <w:t>grave,</w:t>
      </w:r>
      <w:r>
        <w:rPr>
          <w:color w:val="231F20"/>
          <w:spacing w:val="-9"/>
        </w:rPr>
        <w:t> </w:t>
      </w:r>
      <w:r>
        <w:rPr>
          <w:color w:val="231F20"/>
        </w:rPr>
        <w:t>derivante</w:t>
      </w:r>
      <w:r>
        <w:rPr>
          <w:color w:val="231F20"/>
          <w:spacing w:val="-9"/>
        </w:rPr>
        <w:t> </w:t>
      </w:r>
      <w:r>
        <w:rPr>
          <w:color w:val="231F20"/>
        </w:rPr>
        <w:t>dall’obbligo</w:t>
      </w:r>
      <w:r>
        <w:rPr>
          <w:color w:val="231F20"/>
          <w:spacing w:val="-9"/>
        </w:rPr>
        <w:t> </w:t>
      </w:r>
      <w:r>
        <w:rPr>
          <w:color w:val="231F20"/>
        </w:rPr>
        <w:t>di</w:t>
      </w:r>
      <w:r>
        <w:rPr>
          <w:color w:val="231F20"/>
          <w:spacing w:val="-9"/>
        </w:rPr>
        <w:t> </w:t>
      </w:r>
      <w:r>
        <w:rPr>
          <w:color w:val="231F20"/>
        </w:rPr>
        <w:t>comunicazione all’amministrazione</w:t>
      </w:r>
      <w:r>
        <w:rPr>
          <w:color w:val="231F20"/>
          <w:spacing w:val="8"/>
        </w:rPr>
        <w:t> </w:t>
      </w:r>
      <w:r>
        <w:rPr>
          <w:color w:val="231F20"/>
        </w:rPr>
        <w:t>finanziaria,</w:t>
      </w:r>
      <w:r>
        <w:rPr>
          <w:color w:val="231F20"/>
          <w:spacing w:val="9"/>
        </w:rPr>
        <w:t> </w:t>
      </w:r>
      <w:r>
        <w:rPr>
          <w:color w:val="231F20"/>
        </w:rPr>
        <w:t>da</w:t>
      </w:r>
      <w:r>
        <w:rPr>
          <w:color w:val="231F20"/>
          <w:spacing w:val="8"/>
        </w:rPr>
        <w:t> </w:t>
      </w:r>
      <w:r>
        <w:rPr>
          <w:color w:val="231F20"/>
        </w:rPr>
        <w:t>parte</w:t>
      </w:r>
      <w:r>
        <w:rPr>
          <w:color w:val="231F20"/>
          <w:spacing w:val="9"/>
        </w:rPr>
        <w:t> </w:t>
      </w:r>
      <w:r>
        <w:rPr>
          <w:color w:val="231F20"/>
        </w:rPr>
        <w:t>dei</w:t>
      </w:r>
      <w:r>
        <w:rPr>
          <w:color w:val="231F20"/>
          <w:spacing w:val="8"/>
        </w:rPr>
        <w:t> </w:t>
      </w:r>
      <w:r>
        <w:rPr>
          <w:color w:val="231F20"/>
        </w:rPr>
        <w:t>terzi</w:t>
      </w:r>
      <w:r>
        <w:rPr>
          <w:color w:val="231F20"/>
          <w:spacing w:val="9"/>
        </w:rPr>
        <w:t> </w:t>
      </w:r>
      <w:r>
        <w:rPr>
          <w:color w:val="231F20"/>
        </w:rPr>
        <w:t>intermediari</w:t>
      </w:r>
      <w:r>
        <w:rPr>
          <w:color w:val="231F20"/>
          <w:spacing w:val="9"/>
        </w:rPr>
        <w:t> </w:t>
      </w:r>
      <w:r>
        <w:rPr>
          <w:color w:val="231F20"/>
        </w:rPr>
        <w:t>non</w:t>
      </w:r>
      <w:r>
        <w:rPr>
          <w:color w:val="231F20"/>
          <w:spacing w:val="8"/>
        </w:rPr>
        <w:t> </w:t>
      </w:r>
      <w:r>
        <w:rPr>
          <w:color w:val="231F20"/>
          <w:spacing w:val="-2"/>
        </w:rPr>
        <w:t>vinco-</w:t>
      </w:r>
    </w:p>
    <w:p>
      <w:pPr>
        <w:pStyle w:val="BodyText"/>
        <w:spacing w:before="7"/>
        <w:rPr>
          <w:sz w:val="14"/>
        </w:rPr>
      </w:pPr>
      <w:r>
        <w:rPr/>
        <mc:AlternateContent>
          <mc:Choice Requires="wps">
            <w:drawing>
              <wp:anchor distT="0" distB="0" distL="0" distR="0" allowOverlap="1" layoutInCell="1" locked="0" behindDoc="1" simplePos="0" relativeHeight="487635968">
                <wp:simplePos x="0" y="0"/>
                <wp:positionH relativeFrom="page">
                  <wp:posOffset>864000</wp:posOffset>
                </wp:positionH>
                <wp:positionV relativeFrom="paragraph">
                  <wp:posOffset>132773</wp:posOffset>
                </wp:positionV>
                <wp:extent cx="792480" cy="1270"/>
                <wp:effectExtent l="0" t="0" r="0" b="0"/>
                <wp:wrapTopAndBottom/>
                <wp:docPr id="157" name="Graphic 157"/>
                <wp:cNvGraphicFramePr>
                  <a:graphicFrameLocks/>
                </wp:cNvGraphicFramePr>
                <a:graphic>
                  <a:graphicData uri="http://schemas.microsoft.com/office/word/2010/wordprocessingShape">
                    <wps:wsp>
                      <wps:cNvPr id="157" name="Graphic 157"/>
                      <wps:cNvSpPr/>
                      <wps:spPr>
                        <a:xfrm>
                          <a:off x="0" y="0"/>
                          <a:ext cx="792480" cy="1270"/>
                        </a:xfrm>
                        <a:custGeom>
                          <a:avLst/>
                          <a:gdLst/>
                          <a:ahLst/>
                          <a:cxnLst/>
                          <a:rect l="l" t="t" r="r" b="b"/>
                          <a:pathLst>
                            <a:path w="792480" h="0">
                              <a:moveTo>
                                <a:pt x="0" y="0"/>
                              </a:moveTo>
                              <a:lnTo>
                                <a:pt x="791997"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shape style="position:absolute;margin-left:68.031502pt;margin-top:10.45458pt;width:62.4pt;height:.1pt;mso-position-horizontal-relative:page;mso-position-vertical-relative:paragraph;z-index:-15680512;mso-wrap-distance-left:0;mso-wrap-distance-right:0" id="docshape130" coordorigin="1361,209" coordsize="1248,0" path="m1361,209l2608,209e" filled="false" stroked="true" strokeweight=".5pt" strokecolor="#231f20">
                <v:path arrowok="t"/>
                <v:stroke dashstyle="solid"/>
                <w10:wrap type="topAndBottom"/>
              </v:shape>
            </w:pict>
          </mc:Fallback>
        </mc:AlternateContent>
      </w:r>
    </w:p>
    <w:p>
      <w:pPr>
        <w:spacing w:line="225" w:lineRule="auto" w:before="201"/>
        <w:ind w:left="100" w:right="174" w:hanging="1"/>
        <w:jc w:val="both"/>
        <w:rPr>
          <w:i/>
          <w:sz w:val="19"/>
        </w:rPr>
      </w:pPr>
      <w:r>
        <w:rPr>
          <w:color w:val="231F20"/>
          <w:position w:val="6"/>
          <w:sz w:val="11"/>
        </w:rPr>
        <w:t>111</w:t>
      </w:r>
      <w:r>
        <w:rPr>
          <w:color w:val="231F20"/>
          <w:spacing w:val="40"/>
          <w:position w:val="6"/>
          <w:sz w:val="11"/>
        </w:rPr>
        <w:t> </w:t>
      </w:r>
      <w:r>
        <w:rPr>
          <w:color w:val="231F20"/>
          <w:sz w:val="19"/>
        </w:rPr>
        <w:t>Corte giust. UE, sent. del 8 dicembre 2022, causa C-694/20, </w:t>
      </w:r>
      <w:r>
        <w:rPr>
          <w:i/>
          <w:color w:val="231F20"/>
          <w:sz w:val="19"/>
        </w:rPr>
        <w:t>Ordine degli avvocati</w:t>
      </w:r>
      <w:r>
        <w:rPr>
          <w:i/>
          <w:color w:val="231F20"/>
          <w:sz w:val="19"/>
        </w:rPr>
        <w:t> fiamminghi</w:t>
      </w:r>
      <w:r>
        <w:rPr>
          <w:color w:val="231F20"/>
          <w:sz w:val="19"/>
        </w:rPr>
        <w:t>, punti 25, 26 e 27. Tale identità sostanziale di contenuto fra le norme delle due Carte dei diritti fondamentali ha giustificato il riferimento della Corte di giustizia UE </w:t>
      </w:r>
      <w:r>
        <w:rPr>
          <w:color w:val="231F20"/>
          <w:sz w:val="19"/>
        </w:rPr>
        <w:t>alle sentenza</w:t>
      </w:r>
      <w:r>
        <w:rPr>
          <w:color w:val="231F20"/>
          <w:spacing w:val="19"/>
          <w:sz w:val="19"/>
        </w:rPr>
        <w:t> </w:t>
      </w:r>
      <w:r>
        <w:rPr>
          <w:color w:val="231F20"/>
          <w:sz w:val="19"/>
        </w:rPr>
        <w:t>della</w:t>
      </w:r>
      <w:r>
        <w:rPr>
          <w:color w:val="231F20"/>
          <w:spacing w:val="21"/>
          <w:sz w:val="19"/>
        </w:rPr>
        <w:t> </w:t>
      </w:r>
      <w:r>
        <w:rPr>
          <w:color w:val="231F20"/>
          <w:sz w:val="19"/>
        </w:rPr>
        <w:t>Corte</w:t>
      </w:r>
      <w:r>
        <w:rPr>
          <w:color w:val="231F20"/>
          <w:spacing w:val="21"/>
          <w:sz w:val="19"/>
        </w:rPr>
        <w:t> </w:t>
      </w:r>
      <w:r>
        <w:rPr>
          <w:color w:val="231F20"/>
          <w:sz w:val="19"/>
        </w:rPr>
        <w:t>EDU</w:t>
      </w:r>
      <w:r>
        <w:rPr>
          <w:color w:val="231F20"/>
          <w:spacing w:val="21"/>
          <w:sz w:val="19"/>
        </w:rPr>
        <w:t> </w:t>
      </w:r>
      <w:r>
        <w:rPr>
          <w:color w:val="231F20"/>
          <w:sz w:val="19"/>
        </w:rPr>
        <w:t>del</w:t>
      </w:r>
      <w:r>
        <w:rPr>
          <w:color w:val="231F20"/>
          <w:spacing w:val="21"/>
          <w:sz w:val="19"/>
        </w:rPr>
        <w:t> </w:t>
      </w:r>
      <w:r>
        <w:rPr>
          <w:color w:val="231F20"/>
          <w:sz w:val="19"/>
        </w:rPr>
        <w:t>6</w:t>
      </w:r>
      <w:r>
        <w:rPr>
          <w:color w:val="231F20"/>
          <w:spacing w:val="21"/>
          <w:sz w:val="19"/>
        </w:rPr>
        <w:t> </w:t>
      </w:r>
      <w:r>
        <w:rPr>
          <w:color w:val="231F20"/>
          <w:sz w:val="19"/>
        </w:rPr>
        <w:t>dicembre</w:t>
      </w:r>
      <w:r>
        <w:rPr>
          <w:color w:val="231F20"/>
          <w:spacing w:val="21"/>
          <w:sz w:val="19"/>
        </w:rPr>
        <w:t> </w:t>
      </w:r>
      <w:r>
        <w:rPr>
          <w:color w:val="231F20"/>
          <w:sz w:val="19"/>
        </w:rPr>
        <w:t>2012</w:t>
      </w:r>
      <w:r>
        <w:rPr>
          <w:color w:val="231F20"/>
          <w:spacing w:val="21"/>
          <w:sz w:val="19"/>
        </w:rPr>
        <w:t> </w:t>
      </w:r>
      <w:r>
        <w:rPr>
          <w:i/>
          <w:color w:val="231F20"/>
          <w:sz w:val="19"/>
        </w:rPr>
        <w:t>Michaud</w:t>
      </w:r>
      <w:r>
        <w:rPr>
          <w:i/>
          <w:color w:val="231F20"/>
          <w:spacing w:val="21"/>
          <w:sz w:val="19"/>
        </w:rPr>
        <w:t> </w:t>
      </w:r>
      <w:r>
        <w:rPr>
          <w:i/>
          <w:color w:val="231F20"/>
          <w:sz w:val="19"/>
        </w:rPr>
        <w:t>c.</w:t>
      </w:r>
      <w:r>
        <w:rPr>
          <w:i/>
          <w:color w:val="231F20"/>
          <w:spacing w:val="21"/>
          <w:sz w:val="19"/>
        </w:rPr>
        <w:t> </w:t>
      </w:r>
      <w:r>
        <w:rPr>
          <w:i/>
          <w:color w:val="231F20"/>
          <w:sz w:val="19"/>
        </w:rPr>
        <w:t>Francia</w:t>
      </w:r>
      <w:r>
        <w:rPr>
          <w:i/>
          <w:color w:val="231F20"/>
          <w:spacing w:val="21"/>
          <w:sz w:val="19"/>
        </w:rPr>
        <w:t> </w:t>
      </w:r>
      <w:r>
        <w:rPr>
          <w:color w:val="231F20"/>
          <w:sz w:val="19"/>
        </w:rPr>
        <w:t>e</w:t>
      </w:r>
      <w:r>
        <w:rPr>
          <w:color w:val="231F20"/>
          <w:spacing w:val="21"/>
          <w:sz w:val="19"/>
        </w:rPr>
        <w:t> </w:t>
      </w:r>
      <w:r>
        <w:rPr>
          <w:color w:val="231F20"/>
          <w:sz w:val="19"/>
        </w:rPr>
        <w:t>9</w:t>
      </w:r>
      <w:r>
        <w:rPr>
          <w:color w:val="231F20"/>
          <w:spacing w:val="21"/>
          <w:sz w:val="19"/>
        </w:rPr>
        <w:t> </w:t>
      </w:r>
      <w:r>
        <w:rPr>
          <w:color w:val="231F20"/>
          <w:sz w:val="19"/>
        </w:rPr>
        <w:t>aprile</w:t>
      </w:r>
      <w:r>
        <w:rPr>
          <w:color w:val="231F20"/>
          <w:spacing w:val="21"/>
          <w:sz w:val="19"/>
        </w:rPr>
        <w:t> </w:t>
      </w:r>
      <w:r>
        <w:rPr>
          <w:color w:val="231F20"/>
          <w:sz w:val="19"/>
        </w:rPr>
        <w:t>2019,</w:t>
      </w:r>
      <w:r>
        <w:rPr>
          <w:color w:val="231F20"/>
          <w:spacing w:val="21"/>
          <w:sz w:val="19"/>
        </w:rPr>
        <w:t> </w:t>
      </w:r>
      <w:r>
        <w:rPr>
          <w:i/>
          <w:color w:val="231F20"/>
          <w:spacing w:val="-2"/>
          <w:sz w:val="19"/>
        </w:rPr>
        <w:t>Altay</w:t>
      </w:r>
    </w:p>
    <w:p>
      <w:pPr>
        <w:spacing w:line="225" w:lineRule="auto" w:before="4"/>
        <w:ind w:left="100" w:right="174" w:firstLine="0"/>
        <w:jc w:val="both"/>
        <w:rPr>
          <w:sz w:val="19"/>
        </w:rPr>
      </w:pPr>
      <w:r>
        <w:rPr>
          <w:i/>
          <w:color w:val="231F20"/>
          <w:sz w:val="19"/>
        </w:rPr>
        <w:t>c. Turchia</w:t>
      </w:r>
      <w:r>
        <w:rPr>
          <w:color w:val="231F20"/>
          <w:sz w:val="19"/>
        </w:rPr>
        <w:t>, riguardanti il segreto professionale che deve essere garantito agli avvocati, in applicazione dell’art. 52, par. 3, della Carta dei diritti fondamentali UE in forza del quale, qualora</w:t>
      </w:r>
      <w:r>
        <w:rPr>
          <w:color w:val="231F20"/>
          <w:spacing w:val="-12"/>
          <w:sz w:val="19"/>
        </w:rPr>
        <w:t> </w:t>
      </w:r>
      <w:r>
        <w:rPr>
          <w:color w:val="231F20"/>
          <w:sz w:val="19"/>
        </w:rPr>
        <w:t>quest’ultima</w:t>
      </w:r>
      <w:r>
        <w:rPr>
          <w:color w:val="231F20"/>
          <w:spacing w:val="-12"/>
          <w:sz w:val="19"/>
        </w:rPr>
        <w:t> </w:t>
      </w:r>
      <w:r>
        <w:rPr>
          <w:color w:val="231F20"/>
          <w:sz w:val="19"/>
        </w:rPr>
        <w:t>preveda</w:t>
      </w:r>
      <w:r>
        <w:rPr>
          <w:color w:val="231F20"/>
          <w:spacing w:val="-12"/>
          <w:sz w:val="19"/>
        </w:rPr>
        <w:t> </w:t>
      </w:r>
      <w:r>
        <w:rPr>
          <w:color w:val="231F20"/>
          <w:sz w:val="19"/>
        </w:rPr>
        <w:t>diritti</w:t>
      </w:r>
      <w:r>
        <w:rPr>
          <w:color w:val="231F20"/>
          <w:spacing w:val="-12"/>
          <w:sz w:val="19"/>
        </w:rPr>
        <w:t> </w:t>
      </w:r>
      <w:r>
        <w:rPr>
          <w:color w:val="231F20"/>
          <w:sz w:val="19"/>
        </w:rPr>
        <w:t>corrispondenti</w:t>
      </w:r>
      <w:r>
        <w:rPr>
          <w:color w:val="231F20"/>
          <w:spacing w:val="-12"/>
          <w:sz w:val="19"/>
        </w:rPr>
        <w:t> </w:t>
      </w:r>
      <w:r>
        <w:rPr>
          <w:color w:val="231F20"/>
          <w:sz w:val="19"/>
        </w:rPr>
        <w:t>a</w:t>
      </w:r>
      <w:r>
        <w:rPr>
          <w:color w:val="231F20"/>
          <w:spacing w:val="-12"/>
          <w:sz w:val="19"/>
        </w:rPr>
        <w:t> </w:t>
      </w:r>
      <w:r>
        <w:rPr>
          <w:color w:val="231F20"/>
          <w:sz w:val="19"/>
        </w:rPr>
        <w:t>quelli</w:t>
      </w:r>
      <w:r>
        <w:rPr>
          <w:color w:val="231F20"/>
          <w:spacing w:val="-12"/>
          <w:sz w:val="19"/>
        </w:rPr>
        <w:t> </w:t>
      </w:r>
      <w:r>
        <w:rPr>
          <w:color w:val="231F20"/>
          <w:sz w:val="19"/>
        </w:rPr>
        <w:t>garantiti</w:t>
      </w:r>
      <w:r>
        <w:rPr>
          <w:color w:val="231F20"/>
          <w:spacing w:val="-11"/>
          <w:sz w:val="19"/>
        </w:rPr>
        <w:t> </w:t>
      </w:r>
      <w:r>
        <w:rPr>
          <w:color w:val="231F20"/>
          <w:sz w:val="19"/>
        </w:rPr>
        <w:t>dalla</w:t>
      </w:r>
      <w:r>
        <w:rPr>
          <w:color w:val="231F20"/>
          <w:spacing w:val="-12"/>
          <w:sz w:val="19"/>
        </w:rPr>
        <w:t> </w:t>
      </w:r>
      <w:r>
        <w:rPr>
          <w:color w:val="231F20"/>
          <w:sz w:val="19"/>
        </w:rPr>
        <w:t>CEDU,</w:t>
      </w:r>
      <w:r>
        <w:rPr>
          <w:color w:val="231F20"/>
          <w:spacing w:val="-12"/>
          <w:sz w:val="19"/>
        </w:rPr>
        <w:t> </w:t>
      </w:r>
      <w:r>
        <w:rPr>
          <w:color w:val="231F20"/>
          <w:sz w:val="19"/>
        </w:rPr>
        <w:t>«il</w:t>
      </w:r>
      <w:r>
        <w:rPr>
          <w:color w:val="231F20"/>
          <w:spacing w:val="-12"/>
          <w:sz w:val="19"/>
        </w:rPr>
        <w:t> </w:t>
      </w:r>
      <w:r>
        <w:rPr>
          <w:color w:val="231F20"/>
          <w:sz w:val="19"/>
        </w:rPr>
        <w:t>significato e la portata degli stessi sono uguali a quelli conferiti dalla suddetta Convenzione», così </w:t>
      </w:r>
      <w:r>
        <w:rPr>
          <w:color w:val="231F20"/>
          <w:sz w:val="19"/>
        </w:rPr>
        <w:t>come interpretati dalla Corte EDU (sentenza C-694/20, punto 26).</w:t>
      </w:r>
    </w:p>
    <w:p>
      <w:pPr>
        <w:spacing w:line="236" w:lineRule="exact" w:before="0"/>
        <w:ind w:left="100" w:right="0" w:firstLine="0"/>
        <w:jc w:val="both"/>
        <w:rPr>
          <w:sz w:val="19"/>
        </w:rPr>
      </w:pPr>
      <w:r>
        <w:rPr>
          <w:color w:val="231F20"/>
          <w:position w:val="6"/>
          <w:sz w:val="11"/>
        </w:rPr>
        <w:t>112</w:t>
      </w:r>
      <w:r>
        <w:rPr>
          <w:color w:val="231F20"/>
          <w:spacing w:val="79"/>
          <w:position w:val="6"/>
          <w:sz w:val="11"/>
        </w:rPr>
        <w:t> </w:t>
      </w:r>
      <w:r>
        <w:rPr>
          <w:color w:val="231F20"/>
          <w:sz w:val="19"/>
        </w:rPr>
        <w:t>Corte giust. UE, sent. del 8 dicembre 2022, causa C-694/20, cit., punti 28 e </w:t>
      </w:r>
      <w:r>
        <w:rPr>
          <w:color w:val="231F20"/>
          <w:spacing w:val="-5"/>
          <w:sz w:val="19"/>
        </w:rPr>
        <w:t>29.</w:t>
      </w:r>
    </w:p>
    <w:p>
      <w:pPr>
        <w:spacing w:after="0" w:line="236" w:lineRule="exact"/>
        <w:jc w:val="both"/>
        <w:rPr>
          <w:sz w:val="19"/>
        </w:rPr>
        <w:sectPr>
          <w:pgSz w:w="9640" w:h="13610"/>
          <w:pgMar w:header="0" w:footer="625" w:top="1260" w:bottom="820" w:left="1260" w:right="1240"/>
        </w:sectPr>
      </w:pPr>
    </w:p>
    <w:p>
      <w:pPr>
        <w:pStyle w:val="BodyText"/>
        <w:spacing w:line="225" w:lineRule="auto" w:before="117"/>
        <w:ind w:left="157" w:right="117"/>
        <w:jc w:val="both"/>
      </w:pPr>
      <w:r>
        <w:rPr/>
        <mc:AlternateContent>
          <mc:Choice Requires="wps">
            <w:drawing>
              <wp:anchor distT="0" distB="0" distL="0" distR="0" allowOverlap="1" layoutInCell="1" locked="0" behindDoc="0" simplePos="0" relativeHeight="15777792">
                <wp:simplePos x="0" y="0"/>
                <wp:positionH relativeFrom="page">
                  <wp:posOffset>5608609</wp:posOffset>
                </wp:positionH>
                <wp:positionV relativeFrom="page">
                  <wp:posOffset>2376001</wp:posOffset>
                </wp:positionV>
                <wp:extent cx="511809" cy="2412365"/>
                <wp:effectExtent l="0" t="0" r="0" b="0"/>
                <wp:wrapNone/>
                <wp:docPr id="158" name="Group 158"/>
                <wp:cNvGraphicFramePr>
                  <a:graphicFrameLocks/>
                </wp:cNvGraphicFramePr>
                <a:graphic>
                  <a:graphicData uri="http://schemas.microsoft.com/office/word/2010/wordprocessingGroup">
                    <wpg:wgp>
                      <wpg:cNvPr id="158" name="Group 158"/>
                      <wpg:cNvGrpSpPr/>
                      <wpg:grpSpPr>
                        <a:xfrm>
                          <a:off x="0" y="0"/>
                          <a:ext cx="511809" cy="2412365"/>
                          <a:chExt cx="511809" cy="2412365"/>
                        </a:xfrm>
                      </wpg:grpSpPr>
                      <wps:wsp>
                        <wps:cNvPr id="159" name="Graphic 159"/>
                        <wps:cNvSpPr/>
                        <wps:spPr>
                          <a:xfrm>
                            <a:off x="7393" y="3"/>
                            <a:ext cx="504190" cy="360045"/>
                          </a:xfrm>
                          <a:custGeom>
                            <a:avLst/>
                            <a:gdLst/>
                            <a:ahLst/>
                            <a:cxnLst/>
                            <a:rect l="l" t="t" r="r" b="b"/>
                            <a:pathLst>
                              <a:path w="504190" h="360045">
                                <a:moveTo>
                                  <a:pt x="503999" y="0"/>
                                </a:moveTo>
                                <a:lnTo>
                                  <a:pt x="0" y="0"/>
                                </a:lnTo>
                                <a:lnTo>
                                  <a:pt x="0" y="359994"/>
                                </a:lnTo>
                                <a:lnTo>
                                  <a:pt x="503999" y="359994"/>
                                </a:lnTo>
                                <a:lnTo>
                                  <a:pt x="503999" y="0"/>
                                </a:lnTo>
                                <a:close/>
                              </a:path>
                            </a:pathLst>
                          </a:custGeom>
                          <a:solidFill>
                            <a:srgbClr val="939598"/>
                          </a:solidFill>
                        </wps:spPr>
                        <wps:bodyPr wrap="square" lIns="0" tIns="0" rIns="0" bIns="0" rtlCol="0">
                          <a:prstTxWarp prst="textNoShape">
                            <a:avLst/>
                          </a:prstTxWarp>
                          <a:noAutofit/>
                        </wps:bodyPr>
                      </wps:wsp>
                      <wps:wsp>
                        <wps:cNvPr id="160" name="Graphic 160"/>
                        <wps:cNvSpPr/>
                        <wps:spPr>
                          <a:xfrm>
                            <a:off x="6350" y="0"/>
                            <a:ext cx="1270" cy="2412365"/>
                          </a:xfrm>
                          <a:custGeom>
                            <a:avLst/>
                            <a:gdLst/>
                            <a:ahLst/>
                            <a:cxnLst/>
                            <a:rect l="l" t="t" r="r" b="b"/>
                            <a:pathLst>
                              <a:path w="0" h="2412365">
                                <a:moveTo>
                                  <a:pt x="0" y="0"/>
                                </a:moveTo>
                                <a:lnTo>
                                  <a:pt x="0" y="2411996"/>
                                </a:lnTo>
                              </a:path>
                            </a:pathLst>
                          </a:custGeom>
                          <a:ln w="12700">
                            <a:solidFill>
                              <a:srgbClr val="939598"/>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441.622803pt;margin-top:187.0867pt;width:40.3pt;height:189.95pt;mso-position-horizontal-relative:page;mso-position-vertical-relative:page;z-index:15777792" id="docshapegroup131" coordorigin="8832,3742" coordsize="806,3799">
                <v:rect style="position:absolute;left:8844;top:3741;width:794;height:567" id="docshape132" filled="true" fillcolor="#939598" stroked="false">
                  <v:fill type="solid"/>
                </v:rect>
                <v:line style="position:absolute" from="8842,3742" to="8842,7540" stroked="true" strokeweight="1pt" strokecolor="#939598">
                  <v:stroke dashstyle="solid"/>
                </v:line>
                <w10:wrap type="none"/>
              </v:group>
            </w:pict>
          </mc:Fallback>
        </mc:AlternateContent>
      </w:r>
      <w:r>
        <w:rPr/>
        <mc:AlternateContent>
          <mc:Choice Requires="wps">
            <w:drawing>
              <wp:anchor distT="0" distB="0" distL="0" distR="0" allowOverlap="1" layoutInCell="1" locked="0" behindDoc="0" simplePos="0" relativeHeight="15778304">
                <wp:simplePos x="0" y="0"/>
                <wp:positionH relativeFrom="page">
                  <wp:posOffset>5635147</wp:posOffset>
                </wp:positionH>
                <wp:positionV relativeFrom="page">
                  <wp:posOffset>2795300</wp:posOffset>
                </wp:positionV>
                <wp:extent cx="299720" cy="1995805"/>
                <wp:effectExtent l="0" t="0" r="0" b="0"/>
                <wp:wrapNone/>
                <wp:docPr id="161" name="Textbox 161"/>
                <wp:cNvGraphicFramePr>
                  <a:graphicFrameLocks/>
                </wp:cNvGraphicFramePr>
                <a:graphic>
                  <a:graphicData uri="http://schemas.microsoft.com/office/word/2010/wordprocessingShape">
                    <wps:wsp>
                      <wps:cNvPr id="161" name="Textbox 161"/>
                      <wps:cNvSpPr txBox="1"/>
                      <wps:spPr>
                        <a:xfrm>
                          <a:off x="0" y="0"/>
                          <a:ext cx="299720" cy="1995805"/>
                        </a:xfrm>
                        <a:prstGeom prst="rect">
                          <a:avLst/>
                        </a:prstGeom>
                      </wps:spPr>
                      <wps:txbx>
                        <w:txbxContent>
                          <w:p>
                            <w:pPr>
                              <w:spacing w:before="20"/>
                              <w:ind w:left="20" w:right="0" w:firstLine="0"/>
                              <w:jc w:val="left"/>
                              <w:rPr>
                                <w:rFonts w:ascii="Minion Pro"/>
                                <w:sz w:val="32"/>
                              </w:rPr>
                            </w:pPr>
                            <w:r>
                              <w:rPr>
                                <w:rFonts w:ascii="Minion Pro"/>
                                <w:color w:val="231F20"/>
                                <w:sz w:val="32"/>
                              </w:rPr>
                              <w:t>Commented</w:t>
                            </w:r>
                            <w:r>
                              <w:rPr>
                                <w:rFonts w:ascii="Minion Pro"/>
                                <w:color w:val="231F20"/>
                                <w:spacing w:val="-10"/>
                                <w:sz w:val="32"/>
                              </w:rPr>
                              <w:t> </w:t>
                            </w:r>
                            <w:r>
                              <w:rPr>
                                <w:rFonts w:ascii="Minion Pro"/>
                                <w:color w:val="231F20"/>
                                <w:spacing w:val="-2"/>
                                <w:sz w:val="32"/>
                              </w:rPr>
                              <w:t>documents</w:t>
                            </w:r>
                          </w:p>
                        </w:txbxContent>
                      </wps:txbx>
                      <wps:bodyPr wrap="square" lIns="0" tIns="0" rIns="0" bIns="0" rtlCol="0" vert="vert">
                        <a:noAutofit/>
                      </wps:bodyPr>
                    </wps:wsp>
                  </a:graphicData>
                </a:graphic>
              </wp:anchor>
            </w:drawing>
          </mc:Choice>
          <mc:Fallback>
            <w:pict>
              <v:shape style="position:absolute;margin-left:443.712402pt;margin-top:220.102402pt;width:23.6pt;height:157.15pt;mso-position-horizontal-relative:page;mso-position-vertical-relative:page;z-index:15778304" type="#_x0000_t202" id="docshape133" filled="false" stroked="false">
                <v:textbox inset="0,0,0,0" style="layout-flow:vertical">
                  <w:txbxContent>
                    <w:p>
                      <w:pPr>
                        <w:spacing w:before="20"/>
                        <w:ind w:left="20" w:right="0" w:firstLine="0"/>
                        <w:jc w:val="left"/>
                        <w:rPr>
                          <w:rFonts w:ascii="Minion Pro"/>
                          <w:sz w:val="32"/>
                        </w:rPr>
                      </w:pPr>
                      <w:r>
                        <w:rPr>
                          <w:rFonts w:ascii="Minion Pro"/>
                          <w:color w:val="231F20"/>
                          <w:sz w:val="32"/>
                        </w:rPr>
                        <w:t>Commented</w:t>
                      </w:r>
                      <w:r>
                        <w:rPr>
                          <w:rFonts w:ascii="Minion Pro"/>
                          <w:color w:val="231F20"/>
                          <w:spacing w:val="-10"/>
                          <w:sz w:val="32"/>
                        </w:rPr>
                        <w:t> </w:t>
                      </w:r>
                      <w:r>
                        <w:rPr>
                          <w:rFonts w:ascii="Minion Pro"/>
                          <w:color w:val="231F20"/>
                          <w:spacing w:val="-2"/>
                          <w:sz w:val="32"/>
                        </w:rPr>
                        <w:t>documents</w:t>
                      </w:r>
                    </w:p>
                  </w:txbxContent>
                </v:textbox>
                <w10:wrap type="none"/>
              </v:shape>
            </w:pict>
          </mc:Fallback>
        </mc:AlternateContent>
      </w:r>
      <w:r>
        <w:rPr>
          <w:color w:val="231F20"/>
        </w:rPr>
        <w:t>lati al segreto professionale, non soltanto del contenuto del </w:t>
      </w:r>
      <w:r>
        <w:rPr>
          <w:color w:val="231F20"/>
        </w:rPr>
        <w:t>meccanismo transfrontaliero, ma anche dell’identità dell’avvocato intermediario e della sua consultazione da parte del proprio cliente/contribuente, in applicazio- ne dell’art. 8 </w:t>
      </w:r>
      <w:r>
        <w:rPr>
          <w:i/>
          <w:color w:val="231F20"/>
        </w:rPr>
        <w:t>bis ter</w:t>
      </w:r>
      <w:r>
        <w:rPr>
          <w:color w:val="231F20"/>
        </w:rPr>
        <w:t>, par. 14 della direttiva. Per di più questi stessi dati, </w:t>
      </w:r>
      <w:r>
        <w:rPr>
          <w:i/>
          <w:color w:val="231F20"/>
        </w:rPr>
        <w:t>ex</w:t>
      </w:r>
      <w:r>
        <w:rPr>
          <w:i/>
          <w:color w:val="231F20"/>
        </w:rPr>
        <w:t> </w:t>
      </w:r>
      <w:r>
        <w:rPr>
          <w:color w:val="231F20"/>
        </w:rPr>
        <w:t>par.</w:t>
      </w:r>
      <w:r>
        <w:rPr>
          <w:color w:val="231F20"/>
          <w:spacing w:val="-15"/>
        </w:rPr>
        <w:t> </w:t>
      </w:r>
      <w:r>
        <w:rPr>
          <w:color w:val="231F20"/>
        </w:rPr>
        <w:t>13</w:t>
      </w:r>
      <w:r>
        <w:rPr>
          <w:color w:val="231F20"/>
          <w:spacing w:val="-15"/>
        </w:rPr>
        <w:t> </w:t>
      </w:r>
      <w:r>
        <w:rPr>
          <w:color w:val="231F20"/>
        </w:rPr>
        <w:t>dello</w:t>
      </w:r>
      <w:r>
        <w:rPr>
          <w:color w:val="231F20"/>
          <w:spacing w:val="-15"/>
        </w:rPr>
        <w:t> </w:t>
      </w:r>
      <w:r>
        <w:rPr>
          <w:color w:val="231F20"/>
        </w:rPr>
        <w:t>stesso</w:t>
      </w:r>
      <w:r>
        <w:rPr>
          <w:color w:val="231F20"/>
          <w:spacing w:val="-15"/>
        </w:rPr>
        <w:t> </w:t>
      </w:r>
      <w:r>
        <w:rPr>
          <w:color w:val="231F20"/>
        </w:rPr>
        <w:t>articolo,</w:t>
      </w:r>
      <w:r>
        <w:rPr>
          <w:color w:val="231F20"/>
          <w:spacing w:val="-15"/>
        </w:rPr>
        <w:t> </w:t>
      </w:r>
      <w:r>
        <w:rPr>
          <w:color w:val="231F20"/>
        </w:rPr>
        <w:t>sono</w:t>
      </w:r>
      <w:r>
        <w:rPr>
          <w:color w:val="231F20"/>
          <w:spacing w:val="-15"/>
        </w:rPr>
        <w:t> </w:t>
      </w:r>
      <w:r>
        <w:rPr>
          <w:color w:val="231F20"/>
        </w:rPr>
        <w:t>destinati</w:t>
      </w:r>
      <w:r>
        <w:rPr>
          <w:color w:val="231F20"/>
          <w:spacing w:val="-15"/>
        </w:rPr>
        <w:t> </w:t>
      </w:r>
      <w:r>
        <w:rPr>
          <w:color w:val="231F20"/>
        </w:rPr>
        <w:t>ad</w:t>
      </w:r>
      <w:r>
        <w:rPr>
          <w:color w:val="231F20"/>
          <w:spacing w:val="-15"/>
        </w:rPr>
        <w:t> </w:t>
      </w:r>
      <w:r>
        <w:rPr>
          <w:color w:val="231F20"/>
        </w:rPr>
        <w:t>essere</w:t>
      </w:r>
      <w:r>
        <w:rPr>
          <w:color w:val="231F20"/>
          <w:spacing w:val="-15"/>
        </w:rPr>
        <w:t> </w:t>
      </w:r>
      <w:r>
        <w:rPr>
          <w:color w:val="231F20"/>
        </w:rPr>
        <w:t>oggetto</w:t>
      </w:r>
      <w:r>
        <w:rPr>
          <w:color w:val="231F20"/>
          <w:spacing w:val="-15"/>
        </w:rPr>
        <w:t> </w:t>
      </w:r>
      <w:r>
        <w:rPr>
          <w:color w:val="231F20"/>
        </w:rPr>
        <w:t>di</w:t>
      </w:r>
      <w:r>
        <w:rPr>
          <w:color w:val="231F20"/>
          <w:spacing w:val="-15"/>
        </w:rPr>
        <w:t> </w:t>
      </w:r>
      <w:r>
        <w:rPr>
          <w:color w:val="231F20"/>
        </w:rPr>
        <w:t>uno</w:t>
      </w:r>
      <w:r>
        <w:rPr>
          <w:color w:val="231F20"/>
          <w:spacing w:val="-15"/>
        </w:rPr>
        <w:t> </w:t>
      </w:r>
      <w:r>
        <w:rPr>
          <w:color w:val="231F20"/>
        </w:rPr>
        <w:t>scambio automatico</w:t>
      </w:r>
      <w:r>
        <w:rPr>
          <w:color w:val="231F20"/>
          <w:spacing w:val="-5"/>
        </w:rPr>
        <w:t> </w:t>
      </w:r>
      <w:r>
        <w:rPr>
          <w:color w:val="231F20"/>
        </w:rPr>
        <w:t>di</w:t>
      </w:r>
      <w:r>
        <w:rPr>
          <w:color w:val="231F20"/>
          <w:spacing w:val="-5"/>
        </w:rPr>
        <w:t> </w:t>
      </w:r>
      <w:r>
        <w:rPr>
          <w:color w:val="231F20"/>
        </w:rPr>
        <w:t>informazioni</w:t>
      </w:r>
      <w:r>
        <w:rPr>
          <w:color w:val="231F20"/>
          <w:spacing w:val="-5"/>
        </w:rPr>
        <w:t> </w:t>
      </w:r>
      <w:r>
        <w:rPr>
          <w:color w:val="231F20"/>
        </w:rPr>
        <w:t>con</w:t>
      </w:r>
      <w:r>
        <w:rPr>
          <w:color w:val="231F20"/>
          <w:spacing w:val="-5"/>
        </w:rPr>
        <w:t> </w:t>
      </w:r>
      <w:r>
        <w:rPr>
          <w:color w:val="231F20"/>
        </w:rPr>
        <w:t>le</w:t>
      </w:r>
      <w:r>
        <w:rPr>
          <w:color w:val="231F20"/>
          <w:spacing w:val="-5"/>
        </w:rPr>
        <w:t> </w:t>
      </w:r>
      <w:r>
        <w:rPr>
          <w:color w:val="231F20"/>
        </w:rPr>
        <w:t>«autorità</w:t>
      </w:r>
      <w:r>
        <w:rPr>
          <w:color w:val="231F20"/>
          <w:spacing w:val="-5"/>
        </w:rPr>
        <w:t> </w:t>
      </w:r>
      <w:r>
        <w:rPr>
          <w:color w:val="231F20"/>
        </w:rPr>
        <w:t>(fiscali)</w:t>
      </w:r>
      <w:r>
        <w:rPr>
          <w:color w:val="231F20"/>
          <w:spacing w:val="-5"/>
        </w:rPr>
        <w:t> </w:t>
      </w:r>
      <w:r>
        <w:rPr>
          <w:color w:val="231F20"/>
        </w:rPr>
        <w:t>competenti</w:t>
      </w:r>
      <w:r>
        <w:rPr>
          <w:color w:val="231F20"/>
          <w:spacing w:val="-5"/>
        </w:rPr>
        <w:t> </w:t>
      </w:r>
      <w:r>
        <w:rPr>
          <w:color w:val="231F20"/>
        </w:rPr>
        <w:t>di</w:t>
      </w:r>
      <w:r>
        <w:rPr>
          <w:color w:val="231F20"/>
          <w:spacing w:val="-5"/>
        </w:rPr>
        <w:t> </w:t>
      </w:r>
      <w:r>
        <w:rPr>
          <w:color w:val="231F20"/>
        </w:rPr>
        <w:t>tutti</w:t>
      </w:r>
      <w:r>
        <w:rPr>
          <w:color w:val="231F20"/>
          <w:spacing w:val="-5"/>
        </w:rPr>
        <w:t> </w:t>
      </w:r>
      <w:r>
        <w:rPr>
          <w:color w:val="231F20"/>
        </w:rPr>
        <w:t>gli Stati membri»</w:t>
      </w:r>
      <w:r>
        <w:rPr>
          <w:color w:val="231F20"/>
          <w:position w:val="8"/>
          <w:sz w:val="14"/>
        </w:rPr>
        <w:t>113</w:t>
      </w:r>
      <w:r>
        <w:rPr>
          <w:color w:val="231F20"/>
        </w:rPr>
        <w:t>.</w:t>
      </w:r>
    </w:p>
    <w:p>
      <w:pPr>
        <w:pStyle w:val="BodyText"/>
        <w:spacing w:line="225" w:lineRule="auto" w:before="9"/>
        <w:ind w:left="157" w:right="116" w:firstLine="340"/>
        <w:jc w:val="both"/>
      </w:pPr>
      <w:r>
        <w:rPr>
          <w:color w:val="231F20"/>
        </w:rPr>
        <w:t>Restava alla Corte da verificare, nella seconda parte della sentenza in esame, se la suddetta limitazione al diritto fondamentale alla riservatezza delle comunicazioni fra gli avvocati intermediari e i loro clienti, poteva essere giustificata sulla base di «finalità di interesse generale riconosciute dall’Unione» e nel rispetto dei principi previsti dall’art. 52, par. 1, della Carta</w:t>
      </w:r>
      <w:r>
        <w:rPr>
          <w:color w:val="231F20"/>
          <w:spacing w:val="32"/>
        </w:rPr>
        <w:t> </w:t>
      </w:r>
      <w:r>
        <w:rPr>
          <w:color w:val="231F20"/>
        </w:rPr>
        <w:t>dei</w:t>
      </w:r>
      <w:r>
        <w:rPr>
          <w:color w:val="231F20"/>
          <w:spacing w:val="32"/>
        </w:rPr>
        <w:t> </w:t>
      </w:r>
      <w:r>
        <w:rPr>
          <w:color w:val="231F20"/>
        </w:rPr>
        <w:t>diritti</w:t>
      </w:r>
      <w:r>
        <w:rPr>
          <w:color w:val="231F20"/>
          <w:spacing w:val="32"/>
        </w:rPr>
        <w:t> </w:t>
      </w:r>
      <w:r>
        <w:rPr>
          <w:color w:val="231F20"/>
        </w:rPr>
        <w:t>fondamentali,</w:t>
      </w:r>
      <w:r>
        <w:rPr>
          <w:color w:val="231F20"/>
          <w:spacing w:val="32"/>
        </w:rPr>
        <w:t> </w:t>
      </w:r>
      <w:r>
        <w:rPr>
          <w:i/>
          <w:color w:val="231F20"/>
        </w:rPr>
        <w:t>in</w:t>
      </w:r>
      <w:r>
        <w:rPr>
          <w:i/>
          <w:color w:val="231F20"/>
          <w:spacing w:val="32"/>
        </w:rPr>
        <w:t> </w:t>
      </w:r>
      <w:r>
        <w:rPr>
          <w:i/>
          <w:color w:val="231F20"/>
        </w:rPr>
        <w:t>primis</w:t>
      </w:r>
      <w:r>
        <w:rPr>
          <w:i/>
          <w:color w:val="231F20"/>
          <w:spacing w:val="32"/>
        </w:rPr>
        <w:t> </w:t>
      </w:r>
      <w:r>
        <w:rPr>
          <w:color w:val="231F20"/>
        </w:rPr>
        <w:t>il</w:t>
      </w:r>
      <w:r>
        <w:rPr>
          <w:color w:val="231F20"/>
          <w:spacing w:val="32"/>
        </w:rPr>
        <w:t> </w:t>
      </w:r>
      <w:r>
        <w:rPr>
          <w:color w:val="231F20"/>
        </w:rPr>
        <w:t>principio</w:t>
      </w:r>
      <w:r>
        <w:rPr>
          <w:color w:val="231F20"/>
          <w:spacing w:val="32"/>
        </w:rPr>
        <w:t> </w:t>
      </w:r>
      <w:r>
        <w:rPr>
          <w:color w:val="231F20"/>
        </w:rPr>
        <w:t>di</w:t>
      </w:r>
      <w:r>
        <w:rPr>
          <w:color w:val="231F20"/>
          <w:spacing w:val="32"/>
        </w:rPr>
        <w:t> </w:t>
      </w:r>
      <w:r>
        <w:rPr>
          <w:color w:val="231F20"/>
        </w:rPr>
        <w:t>proporzionalità. A questo riguardo, i giudici dell’Unione non hanno avuto difficoltà ad ammettere che «il contrasto alla pianificazione fiscale aggressiva e la pre- venzione del rischio di elusione fiscale rappresentano finalità di interesse generale riconosciute dall’Unione» le quali in linea di principio avrebbero potuto giustificare una limitazione del diritto alla riservatezza delle co- municazioni fra avvocati e i loro clienti</w:t>
      </w:r>
      <w:r>
        <w:rPr>
          <w:color w:val="231F20"/>
          <w:position w:val="8"/>
          <w:sz w:val="14"/>
        </w:rPr>
        <w:t>114</w:t>
      </w:r>
      <w:r>
        <w:rPr>
          <w:color w:val="231F20"/>
        </w:rPr>
        <w:t>. Quello che la Corte di giusti- zia non ha invece ammesso è il carattere «strettamente necessario» </w:t>
      </w:r>
      <w:r>
        <w:rPr>
          <w:i/>
          <w:color w:val="231F20"/>
        </w:rPr>
        <w:t>ex </w:t>
      </w:r>
      <w:r>
        <w:rPr>
          <w:color w:val="231F20"/>
        </w:rPr>
        <w:t>art. 52, par. 1 della Carta, rispetto alla suddetta finalità di interesse generale, dell’obbligo di comunicare ad un altro intermediario il meccanismo tran- sfrontaliero,</w:t>
      </w:r>
      <w:r>
        <w:rPr>
          <w:color w:val="231F20"/>
          <w:spacing w:val="-3"/>
        </w:rPr>
        <w:t> </w:t>
      </w:r>
      <w:r>
        <w:rPr>
          <w:color w:val="231F20"/>
        </w:rPr>
        <w:t>imposto</w:t>
      </w:r>
      <w:r>
        <w:rPr>
          <w:color w:val="231F20"/>
          <w:spacing w:val="-3"/>
        </w:rPr>
        <w:t> </w:t>
      </w:r>
      <w:r>
        <w:rPr>
          <w:color w:val="231F20"/>
        </w:rPr>
        <w:t>all’avvocato</w:t>
      </w:r>
      <w:r>
        <w:rPr>
          <w:color w:val="231F20"/>
          <w:spacing w:val="-3"/>
        </w:rPr>
        <w:t> </w:t>
      </w:r>
      <w:r>
        <w:rPr>
          <w:color w:val="231F20"/>
        </w:rPr>
        <w:t>tenuto</w:t>
      </w:r>
      <w:r>
        <w:rPr>
          <w:color w:val="231F20"/>
          <w:spacing w:val="-3"/>
        </w:rPr>
        <w:t> </w:t>
      </w:r>
      <w:r>
        <w:rPr>
          <w:color w:val="231F20"/>
        </w:rPr>
        <w:t>al</w:t>
      </w:r>
      <w:r>
        <w:rPr>
          <w:color w:val="231F20"/>
          <w:spacing w:val="-3"/>
        </w:rPr>
        <w:t> </w:t>
      </w:r>
      <w:r>
        <w:rPr>
          <w:color w:val="231F20"/>
        </w:rPr>
        <w:t>segreto</w:t>
      </w:r>
      <w:r>
        <w:rPr>
          <w:color w:val="231F20"/>
          <w:spacing w:val="-3"/>
        </w:rPr>
        <w:t> </w:t>
      </w:r>
      <w:r>
        <w:rPr>
          <w:color w:val="231F20"/>
        </w:rPr>
        <w:t>professionale.</w:t>
      </w:r>
      <w:r>
        <w:rPr>
          <w:color w:val="231F20"/>
          <w:spacing w:val="-3"/>
        </w:rPr>
        <w:t> </w:t>
      </w:r>
      <w:r>
        <w:rPr>
          <w:color w:val="231F20"/>
        </w:rPr>
        <w:t>La</w:t>
      </w:r>
      <w:r>
        <w:rPr>
          <w:color w:val="231F20"/>
          <w:spacing w:val="-3"/>
        </w:rPr>
        <w:t> </w:t>
      </w:r>
      <w:r>
        <w:rPr>
          <w:color w:val="231F20"/>
        </w:rPr>
        <w:t>Corte ha a questo riguardo osservato che il par. 9 dell’art. 8 </w:t>
      </w:r>
      <w:r>
        <w:rPr>
          <w:i/>
          <w:color w:val="231F20"/>
        </w:rPr>
        <w:t>bis ter </w:t>
      </w:r>
      <w:r>
        <w:rPr>
          <w:color w:val="231F20"/>
        </w:rPr>
        <w:t>della direttiva impone a tutti gli intermediari, qualora ve ne sia più di uno, di comuni- care all’amministrazione le informazioni sul meccanismo transfrontaliero di pianificazione fiscale. In mancanza di altri intermediari, l’obbligo grava direttamente sul contribuente beneficiario del meccanismo transfrontalie- ro</w:t>
      </w:r>
      <w:r>
        <w:rPr>
          <w:color w:val="231F20"/>
          <w:spacing w:val="-10"/>
        </w:rPr>
        <w:t> </w:t>
      </w:r>
      <w:r>
        <w:rPr>
          <w:color w:val="231F20"/>
        </w:rPr>
        <w:t>in</w:t>
      </w:r>
      <w:r>
        <w:rPr>
          <w:color w:val="231F20"/>
          <w:spacing w:val="-10"/>
        </w:rPr>
        <w:t> </w:t>
      </w:r>
      <w:r>
        <w:rPr>
          <w:color w:val="231F20"/>
        </w:rPr>
        <w:t>forza</w:t>
      </w:r>
      <w:r>
        <w:rPr>
          <w:color w:val="231F20"/>
          <w:spacing w:val="-10"/>
        </w:rPr>
        <w:t> </w:t>
      </w:r>
      <w:r>
        <w:rPr>
          <w:color w:val="231F20"/>
        </w:rPr>
        <w:t>del</w:t>
      </w:r>
      <w:r>
        <w:rPr>
          <w:color w:val="231F20"/>
          <w:spacing w:val="-10"/>
        </w:rPr>
        <w:t> </w:t>
      </w:r>
      <w:r>
        <w:rPr>
          <w:color w:val="231F20"/>
        </w:rPr>
        <w:t>par.</w:t>
      </w:r>
      <w:r>
        <w:rPr>
          <w:color w:val="231F20"/>
          <w:spacing w:val="-10"/>
        </w:rPr>
        <w:t> </w:t>
      </w:r>
      <w:r>
        <w:rPr>
          <w:color w:val="231F20"/>
        </w:rPr>
        <w:t>6</w:t>
      </w:r>
      <w:r>
        <w:rPr>
          <w:color w:val="231F20"/>
          <w:spacing w:val="-10"/>
        </w:rPr>
        <w:t> </w:t>
      </w:r>
      <w:r>
        <w:rPr>
          <w:color w:val="231F20"/>
        </w:rPr>
        <w:t>del</w:t>
      </w:r>
      <w:r>
        <w:rPr>
          <w:color w:val="231F20"/>
          <w:spacing w:val="-10"/>
        </w:rPr>
        <w:t> </w:t>
      </w:r>
      <w:r>
        <w:rPr>
          <w:color w:val="231F20"/>
        </w:rPr>
        <w:t>medesimo</w:t>
      </w:r>
      <w:r>
        <w:rPr>
          <w:color w:val="231F20"/>
          <w:spacing w:val="-10"/>
        </w:rPr>
        <w:t> </w:t>
      </w:r>
      <w:r>
        <w:rPr>
          <w:color w:val="231F20"/>
        </w:rPr>
        <w:t>art.</w:t>
      </w:r>
      <w:r>
        <w:rPr>
          <w:color w:val="231F20"/>
          <w:spacing w:val="-10"/>
        </w:rPr>
        <w:t> </w:t>
      </w:r>
      <w:r>
        <w:rPr>
          <w:color w:val="231F20"/>
        </w:rPr>
        <w:t>8</w:t>
      </w:r>
      <w:r>
        <w:rPr>
          <w:color w:val="231F20"/>
          <w:spacing w:val="-10"/>
        </w:rPr>
        <w:t> </w:t>
      </w:r>
      <w:r>
        <w:rPr>
          <w:i/>
          <w:color w:val="231F20"/>
        </w:rPr>
        <w:t>bis</w:t>
      </w:r>
      <w:r>
        <w:rPr>
          <w:i/>
          <w:color w:val="231F20"/>
          <w:spacing w:val="-10"/>
        </w:rPr>
        <w:t> </w:t>
      </w:r>
      <w:r>
        <w:rPr>
          <w:i/>
          <w:color w:val="231F20"/>
        </w:rPr>
        <w:t>ter</w:t>
      </w:r>
      <w:r>
        <w:rPr>
          <w:color w:val="231F20"/>
        </w:rPr>
        <w:t>,</w:t>
      </w:r>
      <w:r>
        <w:rPr>
          <w:color w:val="231F20"/>
          <w:spacing w:val="-10"/>
        </w:rPr>
        <w:t> </w:t>
      </w:r>
      <w:r>
        <w:rPr>
          <w:color w:val="231F20"/>
        </w:rPr>
        <w:t>di</w:t>
      </w:r>
      <w:r>
        <w:rPr>
          <w:color w:val="231F20"/>
          <w:spacing w:val="-10"/>
        </w:rPr>
        <w:t> </w:t>
      </w:r>
      <w:r>
        <w:rPr>
          <w:color w:val="231F20"/>
        </w:rPr>
        <w:t>modo</w:t>
      </w:r>
      <w:r>
        <w:rPr>
          <w:color w:val="231F20"/>
          <w:spacing w:val="-10"/>
        </w:rPr>
        <w:t> </w:t>
      </w:r>
      <w:r>
        <w:rPr>
          <w:color w:val="231F20"/>
        </w:rPr>
        <w:t>che</w:t>
      </w:r>
      <w:r>
        <w:rPr>
          <w:color w:val="231F20"/>
          <w:spacing w:val="-10"/>
        </w:rPr>
        <w:t> </w:t>
      </w:r>
      <w:r>
        <w:rPr>
          <w:color w:val="231F20"/>
        </w:rPr>
        <w:t>l’amministra- zione finanziaria sarà in ogni caso informata dell’esistenza e del contenuto dei</w:t>
      </w:r>
      <w:r>
        <w:rPr>
          <w:color w:val="231F20"/>
          <w:spacing w:val="-6"/>
        </w:rPr>
        <w:t> </w:t>
      </w:r>
      <w:r>
        <w:rPr>
          <w:color w:val="231F20"/>
        </w:rPr>
        <w:t>meccanismi</w:t>
      </w:r>
      <w:r>
        <w:rPr>
          <w:color w:val="231F20"/>
          <w:spacing w:val="-6"/>
        </w:rPr>
        <w:t> </w:t>
      </w:r>
      <w:r>
        <w:rPr>
          <w:color w:val="231F20"/>
        </w:rPr>
        <w:t>transfrontalieri</w:t>
      </w:r>
      <w:r>
        <w:rPr>
          <w:color w:val="231F20"/>
          <w:spacing w:val="-6"/>
        </w:rPr>
        <w:t> </w:t>
      </w:r>
      <w:r>
        <w:rPr>
          <w:color w:val="231F20"/>
        </w:rPr>
        <w:t>di</w:t>
      </w:r>
      <w:r>
        <w:rPr>
          <w:color w:val="231F20"/>
          <w:spacing w:val="-6"/>
        </w:rPr>
        <w:t> </w:t>
      </w:r>
      <w:r>
        <w:rPr>
          <w:color w:val="231F20"/>
        </w:rPr>
        <w:t>pianificazione</w:t>
      </w:r>
      <w:r>
        <w:rPr>
          <w:color w:val="231F20"/>
          <w:spacing w:val="-6"/>
        </w:rPr>
        <w:t> </w:t>
      </w:r>
      <w:r>
        <w:rPr>
          <w:color w:val="231F20"/>
        </w:rPr>
        <w:t>fiscale</w:t>
      </w:r>
      <w:r>
        <w:rPr>
          <w:color w:val="231F20"/>
          <w:spacing w:val="-6"/>
        </w:rPr>
        <w:t> </w:t>
      </w:r>
      <w:r>
        <w:rPr>
          <w:color w:val="231F20"/>
        </w:rPr>
        <w:t>soggetti</w:t>
      </w:r>
      <w:r>
        <w:rPr>
          <w:color w:val="231F20"/>
          <w:spacing w:val="-6"/>
        </w:rPr>
        <w:t> </w:t>
      </w:r>
      <w:r>
        <w:rPr>
          <w:color w:val="231F20"/>
        </w:rPr>
        <w:t>all’obbligo di comunicazione</w:t>
      </w:r>
      <w:r>
        <w:rPr>
          <w:color w:val="231F20"/>
          <w:position w:val="8"/>
          <w:sz w:val="14"/>
        </w:rPr>
        <w:t>115</w:t>
      </w:r>
      <w:r>
        <w:rPr>
          <w:color w:val="231F20"/>
        </w:rPr>
        <w:t>.</w:t>
      </w:r>
    </w:p>
    <w:p>
      <w:pPr>
        <w:pStyle w:val="BodyText"/>
        <w:spacing w:line="225" w:lineRule="auto" w:before="32"/>
        <w:ind w:left="157" w:right="117" w:firstLine="340"/>
        <w:jc w:val="both"/>
      </w:pPr>
      <w:r>
        <w:rPr>
          <w:color w:val="231F20"/>
        </w:rPr>
        <w:t>Dal complesso di tali argomentazioni, la Corte di giustizia ha tratto la conclusione</w:t>
      </w:r>
      <w:r>
        <w:rPr>
          <w:color w:val="231F20"/>
          <w:spacing w:val="-14"/>
        </w:rPr>
        <w:t> </w:t>
      </w:r>
      <w:r>
        <w:rPr>
          <w:color w:val="231F20"/>
        </w:rPr>
        <w:t>che</w:t>
      </w:r>
      <w:r>
        <w:rPr>
          <w:color w:val="231F20"/>
          <w:spacing w:val="-14"/>
        </w:rPr>
        <w:t> </w:t>
      </w:r>
      <w:r>
        <w:rPr>
          <w:color w:val="231F20"/>
        </w:rPr>
        <w:t>l’art.</w:t>
      </w:r>
      <w:r>
        <w:rPr>
          <w:color w:val="231F20"/>
          <w:spacing w:val="-14"/>
        </w:rPr>
        <w:t> </w:t>
      </w:r>
      <w:r>
        <w:rPr>
          <w:color w:val="231F20"/>
        </w:rPr>
        <w:t>8</w:t>
      </w:r>
      <w:r>
        <w:rPr>
          <w:color w:val="231F20"/>
          <w:spacing w:val="-14"/>
        </w:rPr>
        <w:t> </w:t>
      </w:r>
      <w:r>
        <w:rPr>
          <w:i/>
          <w:color w:val="231F20"/>
        </w:rPr>
        <w:t>bis</w:t>
      </w:r>
      <w:r>
        <w:rPr>
          <w:i/>
          <w:color w:val="231F20"/>
          <w:spacing w:val="-14"/>
        </w:rPr>
        <w:t> </w:t>
      </w:r>
      <w:r>
        <w:rPr>
          <w:i/>
          <w:color w:val="231F20"/>
        </w:rPr>
        <w:t>ter</w:t>
      </w:r>
      <w:r>
        <w:rPr>
          <w:color w:val="231F20"/>
        </w:rPr>
        <w:t>,</w:t>
      </w:r>
      <w:r>
        <w:rPr>
          <w:color w:val="231F20"/>
          <w:spacing w:val="-14"/>
        </w:rPr>
        <w:t> </w:t>
      </w:r>
      <w:r>
        <w:rPr>
          <w:color w:val="231F20"/>
        </w:rPr>
        <w:t>par.</w:t>
      </w:r>
      <w:r>
        <w:rPr>
          <w:color w:val="231F20"/>
          <w:spacing w:val="-14"/>
        </w:rPr>
        <w:t> </w:t>
      </w:r>
      <w:r>
        <w:rPr>
          <w:color w:val="231F20"/>
        </w:rPr>
        <w:t>5,</w:t>
      </w:r>
      <w:r>
        <w:rPr>
          <w:color w:val="231F20"/>
          <w:spacing w:val="-14"/>
        </w:rPr>
        <w:t> </w:t>
      </w:r>
      <w:r>
        <w:rPr>
          <w:color w:val="231F20"/>
        </w:rPr>
        <w:t>della</w:t>
      </w:r>
      <w:r>
        <w:rPr>
          <w:color w:val="231F20"/>
          <w:spacing w:val="-14"/>
        </w:rPr>
        <w:t> </w:t>
      </w:r>
      <w:r>
        <w:rPr>
          <w:color w:val="231F20"/>
        </w:rPr>
        <w:t>direttiva</w:t>
      </w:r>
      <w:r>
        <w:rPr>
          <w:color w:val="231F20"/>
          <w:spacing w:val="-14"/>
        </w:rPr>
        <w:t> </w:t>
      </w:r>
      <w:r>
        <w:rPr>
          <w:color w:val="231F20"/>
        </w:rPr>
        <w:t>2011/16/UE</w:t>
      </w:r>
      <w:r>
        <w:rPr>
          <w:color w:val="231F20"/>
          <w:spacing w:val="-14"/>
        </w:rPr>
        <w:t> </w:t>
      </w:r>
      <w:r>
        <w:rPr>
          <w:color w:val="231F20"/>
        </w:rPr>
        <w:t>è</w:t>
      </w:r>
      <w:r>
        <w:rPr>
          <w:color w:val="231F20"/>
          <w:spacing w:val="-14"/>
        </w:rPr>
        <w:t> </w:t>
      </w:r>
      <w:r>
        <w:rPr>
          <w:color w:val="231F20"/>
        </w:rPr>
        <w:t>invalido per</w:t>
      </w:r>
      <w:r>
        <w:rPr>
          <w:color w:val="231F20"/>
          <w:spacing w:val="-2"/>
        </w:rPr>
        <w:t> </w:t>
      </w:r>
      <w:r>
        <w:rPr>
          <w:color w:val="231F20"/>
        </w:rPr>
        <w:t>violazione</w:t>
      </w:r>
      <w:r>
        <w:rPr>
          <w:color w:val="231F20"/>
          <w:spacing w:val="-1"/>
        </w:rPr>
        <w:t> </w:t>
      </w:r>
      <w:r>
        <w:rPr>
          <w:color w:val="231F20"/>
        </w:rPr>
        <w:t>dell’art.</w:t>
      </w:r>
      <w:r>
        <w:rPr>
          <w:color w:val="231F20"/>
          <w:spacing w:val="-1"/>
        </w:rPr>
        <w:t> </w:t>
      </w:r>
      <w:r>
        <w:rPr>
          <w:color w:val="231F20"/>
        </w:rPr>
        <w:t>7</w:t>
      </w:r>
      <w:r>
        <w:rPr>
          <w:color w:val="231F20"/>
          <w:spacing w:val="-1"/>
        </w:rPr>
        <w:t> </w:t>
      </w:r>
      <w:r>
        <w:rPr>
          <w:color w:val="231F20"/>
        </w:rPr>
        <w:t>della</w:t>
      </w:r>
      <w:r>
        <w:rPr>
          <w:color w:val="231F20"/>
          <w:spacing w:val="-1"/>
        </w:rPr>
        <w:t> </w:t>
      </w:r>
      <w:r>
        <w:rPr>
          <w:color w:val="231F20"/>
        </w:rPr>
        <w:t>Carta</w:t>
      </w:r>
      <w:r>
        <w:rPr>
          <w:color w:val="231F20"/>
          <w:spacing w:val="-1"/>
        </w:rPr>
        <w:t> </w:t>
      </w:r>
      <w:r>
        <w:rPr>
          <w:color w:val="231F20"/>
        </w:rPr>
        <w:t>dei</w:t>
      </w:r>
      <w:r>
        <w:rPr>
          <w:color w:val="231F20"/>
          <w:spacing w:val="-1"/>
        </w:rPr>
        <w:t> </w:t>
      </w:r>
      <w:r>
        <w:rPr>
          <w:color w:val="231F20"/>
        </w:rPr>
        <w:t>diritti</w:t>
      </w:r>
      <w:r>
        <w:rPr>
          <w:color w:val="231F20"/>
          <w:spacing w:val="-1"/>
        </w:rPr>
        <w:t> </w:t>
      </w:r>
      <w:r>
        <w:rPr>
          <w:color w:val="231F20"/>
        </w:rPr>
        <w:t>fondamentali</w:t>
      </w:r>
      <w:r>
        <w:rPr>
          <w:color w:val="231F20"/>
          <w:spacing w:val="-2"/>
        </w:rPr>
        <w:t> </w:t>
      </w:r>
      <w:r>
        <w:rPr>
          <w:color w:val="231F20"/>
        </w:rPr>
        <w:t>in</w:t>
      </w:r>
      <w:r>
        <w:rPr>
          <w:color w:val="231F20"/>
          <w:spacing w:val="-1"/>
        </w:rPr>
        <w:t> </w:t>
      </w:r>
      <w:r>
        <w:rPr>
          <w:color w:val="231F20"/>
        </w:rPr>
        <w:t>quanto</w:t>
      </w:r>
      <w:r>
        <w:rPr>
          <w:color w:val="231F20"/>
          <w:spacing w:val="-1"/>
        </w:rPr>
        <w:t> </w:t>
      </w:r>
      <w:r>
        <w:rPr>
          <w:color w:val="231F20"/>
          <w:spacing w:val="-5"/>
        </w:rPr>
        <w:t>im-</w:t>
      </w:r>
    </w:p>
    <w:p>
      <w:pPr>
        <w:pStyle w:val="BodyText"/>
        <w:spacing w:before="10"/>
        <w:rPr>
          <w:sz w:val="3"/>
        </w:rPr>
      </w:pPr>
      <w:r>
        <w:rPr/>
        <mc:AlternateContent>
          <mc:Choice Requires="wps">
            <w:drawing>
              <wp:anchor distT="0" distB="0" distL="0" distR="0" allowOverlap="1" layoutInCell="1" locked="0" behindDoc="1" simplePos="0" relativeHeight="487636480">
                <wp:simplePos x="0" y="0"/>
                <wp:positionH relativeFrom="page">
                  <wp:posOffset>899999</wp:posOffset>
                </wp:positionH>
                <wp:positionV relativeFrom="paragraph">
                  <wp:posOffset>46142</wp:posOffset>
                </wp:positionV>
                <wp:extent cx="792480" cy="1270"/>
                <wp:effectExtent l="0" t="0" r="0" b="0"/>
                <wp:wrapTopAndBottom/>
                <wp:docPr id="162" name="Graphic 162"/>
                <wp:cNvGraphicFramePr>
                  <a:graphicFrameLocks/>
                </wp:cNvGraphicFramePr>
                <a:graphic>
                  <a:graphicData uri="http://schemas.microsoft.com/office/word/2010/wordprocessingShape">
                    <wps:wsp>
                      <wps:cNvPr id="162" name="Graphic 162"/>
                      <wps:cNvSpPr/>
                      <wps:spPr>
                        <a:xfrm>
                          <a:off x="0" y="0"/>
                          <a:ext cx="792480" cy="1270"/>
                        </a:xfrm>
                        <a:custGeom>
                          <a:avLst/>
                          <a:gdLst/>
                          <a:ahLst/>
                          <a:cxnLst/>
                          <a:rect l="l" t="t" r="r" b="b"/>
                          <a:pathLst>
                            <a:path w="792480" h="0">
                              <a:moveTo>
                                <a:pt x="0" y="0"/>
                              </a:moveTo>
                              <a:lnTo>
                                <a:pt x="791997"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shape style="position:absolute;margin-left:70.866096pt;margin-top:3.6333pt;width:62.4pt;height:.1pt;mso-position-horizontal-relative:page;mso-position-vertical-relative:paragraph;z-index:-15680000;mso-wrap-distance-left:0;mso-wrap-distance-right:0" id="docshape134" coordorigin="1417,73" coordsize="1248,0" path="m1417,73l2665,73e" filled="false" stroked="true" strokeweight=".5pt" strokecolor="#231f20">
                <v:path arrowok="t"/>
                <v:stroke dashstyle="solid"/>
                <w10:wrap type="topAndBottom"/>
              </v:shape>
            </w:pict>
          </mc:Fallback>
        </mc:AlternateContent>
      </w:r>
    </w:p>
    <w:p>
      <w:pPr>
        <w:spacing w:line="235" w:lineRule="exact" w:before="190"/>
        <w:ind w:left="157" w:right="0" w:firstLine="0"/>
        <w:jc w:val="left"/>
        <w:rPr>
          <w:sz w:val="19"/>
        </w:rPr>
      </w:pPr>
      <w:r>
        <w:rPr>
          <w:color w:val="231F20"/>
          <w:position w:val="6"/>
          <w:sz w:val="11"/>
        </w:rPr>
        <w:t>113</w:t>
      </w:r>
      <w:r>
        <w:rPr>
          <w:color w:val="231F20"/>
          <w:spacing w:val="66"/>
          <w:w w:val="150"/>
          <w:position w:val="6"/>
          <w:sz w:val="11"/>
        </w:rPr>
        <w:t> </w:t>
      </w:r>
      <w:r>
        <w:rPr>
          <w:color w:val="231F20"/>
          <w:sz w:val="19"/>
        </w:rPr>
        <w:t>Corte giust. UE, ult. cit., punti 30,</w:t>
      </w:r>
      <w:r>
        <w:rPr>
          <w:color w:val="231F20"/>
          <w:spacing w:val="1"/>
          <w:sz w:val="19"/>
        </w:rPr>
        <w:t> </w:t>
      </w:r>
      <w:r>
        <w:rPr>
          <w:color w:val="231F20"/>
          <w:sz w:val="19"/>
        </w:rPr>
        <w:t>31 e </w:t>
      </w:r>
      <w:r>
        <w:rPr>
          <w:color w:val="231F20"/>
          <w:spacing w:val="-5"/>
          <w:sz w:val="19"/>
        </w:rPr>
        <w:t>32.</w:t>
      </w:r>
    </w:p>
    <w:p>
      <w:pPr>
        <w:spacing w:line="228" w:lineRule="exact" w:before="0"/>
        <w:ind w:left="157" w:right="0" w:firstLine="0"/>
        <w:jc w:val="left"/>
        <w:rPr>
          <w:sz w:val="19"/>
        </w:rPr>
      </w:pPr>
      <w:r>
        <w:rPr>
          <w:color w:val="231F20"/>
          <w:position w:val="6"/>
          <w:sz w:val="11"/>
        </w:rPr>
        <w:t>114</w:t>
      </w:r>
      <w:r>
        <w:rPr>
          <w:color w:val="231F20"/>
          <w:spacing w:val="66"/>
          <w:w w:val="150"/>
          <w:position w:val="6"/>
          <w:sz w:val="11"/>
        </w:rPr>
        <w:t> </w:t>
      </w:r>
      <w:r>
        <w:rPr>
          <w:color w:val="231F20"/>
          <w:sz w:val="19"/>
        </w:rPr>
        <w:t>Corte giust. UE, ult. cit., punti da</w:t>
      </w:r>
      <w:r>
        <w:rPr>
          <w:color w:val="231F20"/>
          <w:spacing w:val="1"/>
          <w:sz w:val="19"/>
        </w:rPr>
        <w:t> </w:t>
      </w:r>
      <w:r>
        <w:rPr>
          <w:color w:val="231F20"/>
          <w:sz w:val="19"/>
        </w:rPr>
        <w:t>41 a </w:t>
      </w:r>
      <w:r>
        <w:rPr>
          <w:color w:val="231F20"/>
          <w:spacing w:val="-5"/>
          <w:sz w:val="19"/>
        </w:rPr>
        <w:t>44.</w:t>
      </w:r>
    </w:p>
    <w:p>
      <w:pPr>
        <w:spacing w:line="235" w:lineRule="exact" w:before="0"/>
        <w:ind w:left="157" w:right="0" w:firstLine="0"/>
        <w:jc w:val="left"/>
        <w:rPr>
          <w:sz w:val="19"/>
        </w:rPr>
      </w:pPr>
      <w:r>
        <w:rPr>
          <w:color w:val="231F20"/>
          <w:position w:val="6"/>
          <w:sz w:val="11"/>
        </w:rPr>
        <w:t>115</w:t>
      </w:r>
      <w:r>
        <w:rPr>
          <w:color w:val="231F20"/>
          <w:spacing w:val="66"/>
          <w:w w:val="150"/>
          <w:position w:val="6"/>
          <w:sz w:val="11"/>
        </w:rPr>
        <w:t> </w:t>
      </w:r>
      <w:r>
        <w:rPr>
          <w:color w:val="231F20"/>
          <w:sz w:val="19"/>
        </w:rPr>
        <w:t>Corte giust. UE, ult. cit., punti da</w:t>
      </w:r>
      <w:r>
        <w:rPr>
          <w:color w:val="231F20"/>
          <w:spacing w:val="1"/>
          <w:sz w:val="19"/>
        </w:rPr>
        <w:t> </w:t>
      </w:r>
      <w:r>
        <w:rPr>
          <w:color w:val="231F20"/>
          <w:sz w:val="19"/>
        </w:rPr>
        <w:t>46 a </w:t>
      </w:r>
      <w:r>
        <w:rPr>
          <w:color w:val="231F20"/>
          <w:spacing w:val="-5"/>
          <w:sz w:val="19"/>
        </w:rPr>
        <w:t>53.</w:t>
      </w:r>
    </w:p>
    <w:p>
      <w:pPr>
        <w:spacing w:after="0" w:line="235" w:lineRule="exact"/>
        <w:jc w:val="left"/>
        <w:rPr>
          <w:sz w:val="19"/>
        </w:rPr>
        <w:sectPr>
          <w:pgSz w:w="9640" w:h="13610"/>
          <w:pgMar w:header="0" w:footer="625" w:top="1260" w:bottom="820" w:left="1260" w:right="1240"/>
        </w:sectPr>
      </w:pPr>
    </w:p>
    <w:p>
      <w:pPr>
        <w:pStyle w:val="BodyText"/>
        <w:spacing w:line="225" w:lineRule="auto" w:before="117"/>
        <w:ind w:left="100" w:right="174"/>
        <w:jc w:val="both"/>
      </w:pPr>
      <w:r>
        <w:rPr>
          <w:color w:val="231F20"/>
        </w:rPr>
        <w:t>pone</w:t>
      </w:r>
      <w:r>
        <w:rPr>
          <w:color w:val="231F20"/>
          <w:spacing w:val="-15"/>
        </w:rPr>
        <w:t> </w:t>
      </w:r>
      <w:r>
        <w:rPr>
          <w:color w:val="231F20"/>
        </w:rPr>
        <w:t>all’avvocato</w:t>
      </w:r>
      <w:r>
        <w:rPr>
          <w:color w:val="231F20"/>
          <w:spacing w:val="-15"/>
        </w:rPr>
        <w:t> </w:t>
      </w:r>
      <w:r>
        <w:rPr>
          <w:color w:val="231F20"/>
        </w:rPr>
        <w:t>intermediario</w:t>
      </w:r>
      <w:r>
        <w:rPr>
          <w:color w:val="231F20"/>
          <w:spacing w:val="-15"/>
        </w:rPr>
        <w:t> </w:t>
      </w:r>
      <w:r>
        <w:rPr>
          <w:color w:val="231F20"/>
        </w:rPr>
        <w:t>-</w:t>
      </w:r>
      <w:r>
        <w:rPr>
          <w:color w:val="231F20"/>
          <w:spacing w:val="18"/>
        </w:rPr>
        <w:t> </w:t>
      </w:r>
      <w:r>
        <w:rPr>
          <w:color w:val="231F20"/>
        </w:rPr>
        <w:t>esentato,</w:t>
      </w:r>
      <w:r>
        <w:rPr>
          <w:color w:val="231F20"/>
          <w:spacing w:val="-15"/>
        </w:rPr>
        <w:t> </w:t>
      </w:r>
      <w:r>
        <w:rPr>
          <w:color w:val="231F20"/>
        </w:rPr>
        <w:t>a</w:t>
      </w:r>
      <w:r>
        <w:rPr>
          <w:color w:val="231F20"/>
          <w:spacing w:val="-15"/>
        </w:rPr>
        <w:t> </w:t>
      </w:r>
      <w:r>
        <w:rPr>
          <w:color w:val="231F20"/>
        </w:rPr>
        <w:t>causa</w:t>
      </w:r>
      <w:r>
        <w:rPr>
          <w:color w:val="231F20"/>
          <w:spacing w:val="-15"/>
        </w:rPr>
        <w:t> </w:t>
      </w:r>
      <w:r>
        <w:rPr>
          <w:color w:val="231F20"/>
        </w:rPr>
        <w:t>del</w:t>
      </w:r>
      <w:r>
        <w:rPr>
          <w:color w:val="231F20"/>
          <w:spacing w:val="-15"/>
        </w:rPr>
        <w:t> </w:t>
      </w:r>
      <w:r>
        <w:rPr>
          <w:color w:val="231F20"/>
        </w:rPr>
        <w:t>segreto</w:t>
      </w:r>
      <w:r>
        <w:rPr>
          <w:color w:val="231F20"/>
          <w:spacing w:val="-15"/>
        </w:rPr>
        <w:t> </w:t>
      </w:r>
      <w:r>
        <w:rPr>
          <w:color w:val="231F20"/>
        </w:rPr>
        <w:t>professionale previsto</w:t>
      </w:r>
      <w:r>
        <w:rPr>
          <w:color w:val="231F20"/>
          <w:spacing w:val="-7"/>
        </w:rPr>
        <w:t> </w:t>
      </w:r>
      <w:r>
        <w:rPr>
          <w:color w:val="231F20"/>
        </w:rPr>
        <w:t>dalla</w:t>
      </w:r>
      <w:r>
        <w:rPr>
          <w:color w:val="231F20"/>
          <w:spacing w:val="-7"/>
        </w:rPr>
        <w:t> </w:t>
      </w:r>
      <w:r>
        <w:rPr>
          <w:color w:val="231F20"/>
        </w:rPr>
        <w:t>legislazione</w:t>
      </w:r>
      <w:r>
        <w:rPr>
          <w:color w:val="231F20"/>
          <w:spacing w:val="-7"/>
        </w:rPr>
        <w:t> </w:t>
      </w:r>
      <w:r>
        <w:rPr>
          <w:color w:val="231F20"/>
        </w:rPr>
        <w:t>nazionale,</w:t>
      </w:r>
      <w:r>
        <w:rPr>
          <w:color w:val="231F20"/>
          <w:spacing w:val="-7"/>
        </w:rPr>
        <w:t> </w:t>
      </w:r>
      <w:r>
        <w:rPr>
          <w:color w:val="231F20"/>
        </w:rPr>
        <w:t>dall’obbligo</w:t>
      </w:r>
      <w:r>
        <w:rPr>
          <w:color w:val="231F20"/>
          <w:spacing w:val="-7"/>
        </w:rPr>
        <w:t> </w:t>
      </w:r>
      <w:r>
        <w:rPr>
          <w:color w:val="231F20"/>
        </w:rPr>
        <w:t>di</w:t>
      </w:r>
      <w:r>
        <w:rPr>
          <w:color w:val="231F20"/>
          <w:spacing w:val="-7"/>
        </w:rPr>
        <w:t> </w:t>
      </w:r>
      <w:r>
        <w:rPr>
          <w:color w:val="231F20"/>
        </w:rPr>
        <w:t>comunicazione</w:t>
      </w:r>
      <w:r>
        <w:rPr>
          <w:color w:val="231F20"/>
          <w:spacing w:val="-7"/>
        </w:rPr>
        <w:t> </w:t>
      </w:r>
      <w:r>
        <w:rPr>
          <w:color w:val="231F20"/>
        </w:rPr>
        <w:t>all’am- ministrazione</w:t>
      </w:r>
      <w:r>
        <w:rPr>
          <w:color w:val="231F20"/>
          <w:spacing w:val="-3"/>
        </w:rPr>
        <w:t> </w:t>
      </w:r>
      <w:r>
        <w:rPr>
          <w:color w:val="231F20"/>
        </w:rPr>
        <w:t>finanziaria</w:t>
      </w:r>
      <w:r>
        <w:rPr>
          <w:color w:val="231F20"/>
          <w:spacing w:val="-3"/>
        </w:rPr>
        <w:t> </w:t>
      </w:r>
      <w:r>
        <w:rPr>
          <w:color w:val="231F20"/>
        </w:rPr>
        <w:t>di</w:t>
      </w:r>
      <w:r>
        <w:rPr>
          <w:color w:val="231F20"/>
          <w:spacing w:val="-3"/>
        </w:rPr>
        <w:t> </w:t>
      </w:r>
      <w:r>
        <w:rPr>
          <w:color w:val="231F20"/>
        </w:rPr>
        <w:t>un</w:t>
      </w:r>
      <w:r>
        <w:rPr>
          <w:color w:val="231F20"/>
          <w:spacing w:val="-3"/>
        </w:rPr>
        <w:t> </w:t>
      </w:r>
      <w:r>
        <w:rPr>
          <w:color w:val="231F20"/>
        </w:rPr>
        <w:t>meccanismo</w:t>
      </w:r>
      <w:r>
        <w:rPr>
          <w:color w:val="231F20"/>
          <w:spacing w:val="-3"/>
        </w:rPr>
        <w:t> </w:t>
      </w:r>
      <w:r>
        <w:rPr>
          <w:color w:val="231F20"/>
        </w:rPr>
        <w:t>transfrontaliero</w:t>
      </w:r>
      <w:r>
        <w:rPr>
          <w:color w:val="231F20"/>
          <w:spacing w:val="-3"/>
        </w:rPr>
        <w:t> </w:t>
      </w:r>
      <w:r>
        <w:rPr>
          <w:color w:val="231F20"/>
        </w:rPr>
        <w:t>-</w:t>
      </w:r>
      <w:r>
        <w:rPr>
          <w:color w:val="231F20"/>
          <w:spacing w:val="-3"/>
        </w:rPr>
        <w:t> </w:t>
      </w:r>
      <w:r>
        <w:rPr>
          <w:color w:val="231F20"/>
        </w:rPr>
        <w:t>di</w:t>
      </w:r>
      <w:r>
        <w:rPr>
          <w:color w:val="231F20"/>
          <w:spacing w:val="-3"/>
        </w:rPr>
        <w:t> </w:t>
      </w:r>
      <w:r>
        <w:rPr>
          <w:color w:val="231F20"/>
        </w:rPr>
        <w:t>notificare ad un eventuale altro intermediario detto obbligo di comunicazione.</w:t>
      </w:r>
    </w:p>
    <w:p>
      <w:pPr>
        <w:pStyle w:val="BodyText"/>
        <w:spacing w:line="225" w:lineRule="auto" w:before="5"/>
        <w:ind w:left="100" w:right="174" w:firstLine="340"/>
        <w:jc w:val="both"/>
      </w:pPr>
      <w:r>
        <w:rPr>
          <w:color w:val="231F20"/>
        </w:rPr>
        <w:t>Diversa</w:t>
      </w:r>
      <w:r>
        <w:rPr>
          <w:color w:val="231F20"/>
          <w:spacing w:val="-12"/>
        </w:rPr>
        <w:t> </w:t>
      </w:r>
      <w:r>
        <w:rPr>
          <w:color w:val="231F20"/>
        </w:rPr>
        <w:t>è</w:t>
      </w:r>
      <w:r>
        <w:rPr>
          <w:color w:val="231F20"/>
          <w:spacing w:val="-12"/>
        </w:rPr>
        <w:t> </w:t>
      </w:r>
      <w:r>
        <w:rPr>
          <w:color w:val="231F20"/>
        </w:rPr>
        <w:t>stata</w:t>
      </w:r>
      <w:r>
        <w:rPr>
          <w:color w:val="231F20"/>
          <w:spacing w:val="-12"/>
        </w:rPr>
        <w:t> </w:t>
      </w:r>
      <w:r>
        <w:rPr>
          <w:color w:val="231F20"/>
        </w:rPr>
        <w:t>invece</w:t>
      </w:r>
      <w:r>
        <w:rPr>
          <w:color w:val="231F20"/>
          <w:spacing w:val="-12"/>
        </w:rPr>
        <w:t> </w:t>
      </w:r>
      <w:r>
        <w:rPr>
          <w:color w:val="231F20"/>
        </w:rPr>
        <w:t>la</w:t>
      </w:r>
      <w:r>
        <w:rPr>
          <w:color w:val="231F20"/>
          <w:spacing w:val="-12"/>
        </w:rPr>
        <w:t> </w:t>
      </w:r>
      <w:r>
        <w:rPr>
          <w:color w:val="231F20"/>
        </w:rPr>
        <w:t>conclusione</w:t>
      </w:r>
      <w:r>
        <w:rPr>
          <w:color w:val="231F20"/>
          <w:spacing w:val="-12"/>
        </w:rPr>
        <w:t> </w:t>
      </w:r>
      <w:r>
        <w:rPr>
          <w:color w:val="231F20"/>
        </w:rPr>
        <w:t>dei</w:t>
      </w:r>
      <w:r>
        <w:rPr>
          <w:color w:val="231F20"/>
          <w:spacing w:val="-12"/>
        </w:rPr>
        <w:t> </w:t>
      </w:r>
      <w:r>
        <w:rPr>
          <w:color w:val="231F20"/>
        </w:rPr>
        <w:t>giudici</w:t>
      </w:r>
      <w:r>
        <w:rPr>
          <w:color w:val="231F20"/>
          <w:spacing w:val="-12"/>
        </w:rPr>
        <w:t> </w:t>
      </w:r>
      <w:r>
        <w:rPr>
          <w:color w:val="231F20"/>
        </w:rPr>
        <w:t>dell’Unione</w:t>
      </w:r>
      <w:r>
        <w:rPr>
          <w:color w:val="231F20"/>
          <w:spacing w:val="-12"/>
        </w:rPr>
        <w:t> </w:t>
      </w:r>
      <w:r>
        <w:rPr>
          <w:color w:val="231F20"/>
        </w:rPr>
        <w:t>per</w:t>
      </w:r>
      <w:r>
        <w:rPr>
          <w:color w:val="231F20"/>
          <w:spacing w:val="-12"/>
        </w:rPr>
        <w:t> </w:t>
      </w:r>
      <w:r>
        <w:rPr>
          <w:color w:val="231F20"/>
        </w:rPr>
        <w:t>quanto </w:t>
      </w:r>
      <w:r>
        <w:rPr>
          <w:color w:val="231F20"/>
          <w:spacing w:val="-2"/>
        </w:rPr>
        <w:t>riguarda</w:t>
      </w:r>
      <w:r>
        <w:rPr>
          <w:color w:val="231F20"/>
          <w:spacing w:val="-4"/>
        </w:rPr>
        <w:t> </w:t>
      </w:r>
      <w:r>
        <w:rPr>
          <w:color w:val="231F20"/>
          <w:spacing w:val="-2"/>
        </w:rPr>
        <w:t>la</w:t>
      </w:r>
      <w:r>
        <w:rPr>
          <w:color w:val="231F20"/>
          <w:spacing w:val="-4"/>
        </w:rPr>
        <w:t> </w:t>
      </w:r>
      <w:r>
        <w:rPr>
          <w:color w:val="231F20"/>
          <w:spacing w:val="-2"/>
        </w:rPr>
        <w:t>compatibilità</w:t>
      </w:r>
      <w:r>
        <w:rPr>
          <w:color w:val="231F20"/>
          <w:spacing w:val="-5"/>
        </w:rPr>
        <w:t> </w:t>
      </w:r>
      <w:r>
        <w:rPr>
          <w:color w:val="231F20"/>
          <w:spacing w:val="-2"/>
        </w:rPr>
        <w:t>della</w:t>
      </w:r>
      <w:r>
        <w:rPr>
          <w:color w:val="231F20"/>
          <w:spacing w:val="-5"/>
        </w:rPr>
        <w:t> </w:t>
      </w:r>
      <w:r>
        <w:rPr>
          <w:color w:val="231F20"/>
          <w:spacing w:val="-2"/>
        </w:rPr>
        <w:t>suddetta</w:t>
      </w:r>
      <w:r>
        <w:rPr>
          <w:color w:val="231F20"/>
          <w:spacing w:val="-5"/>
        </w:rPr>
        <w:t> </w:t>
      </w:r>
      <w:r>
        <w:rPr>
          <w:color w:val="231F20"/>
          <w:spacing w:val="-2"/>
        </w:rPr>
        <w:t>disposizione</w:t>
      </w:r>
      <w:r>
        <w:rPr>
          <w:color w:val="231F20"/>
          <w:spacing w:val="-5"/>
        </w:rPr>
        <w:t> </w:t>
      </w:r>
      <w:r>
        <w:rPr>
          <w:color w:val="231F20"/>
          <w:spacing w:val="-2"/>
        </w:rPr>
        <w:t>della</w:t>
      </w:r>
      <w:r>
        <w:rPr>
          <w:color w:val="231F20"/>
          <w:spacing w:val="-4"/>
        </w:rPr>
        <w:t> </w:t>
      </w:r>
      <w:r>
        <w:rPr>
          <w:color w:val="231F20"/>
          <w:spacing w:val="-2"/>
        </w:rPr>
        <w:t>direttiva</w:t>
      </w:r>
      <w:r>
        <w:rPr>
          <w:color w:val="231F20"/>
          <w:spacing w:val="-5"/>
        </w:rPr>
        <w:t> </w:t>
      </w:r>
      <w:r>
        <w:rPr>
          <w:color w:val="231F20"/>
          <w:spacing w:val="-2"/>
        </w:rPr>
        <w:t>con</w:t>
      </w:r>
      <w:r>
        <w:rPr>
          <w:color w:val="231F20"/>
          <w:spacing w:val="-4"/>
        </w:rPr>
        <w:t> </w:t>
      </w:r>
      <w:r>
        <w:rPr>
          <w:color w:val="231F20"/>
          <w:spacing w:val="-2"/>
        </w:rPr>
        <w:t>l’art. </w:t>
      </w:r>
      <w:r>
        <w:rPr>
          <w:color w:val="231F20"/>
        </w:rPr>
        <w:t>47</w:t>
      </w:r>
      <w:r>
        <w:rPr>
          <w:color w:val="231F20"/>
          <w:spacing w:val="-1"/>
        </w:rPr>
        <w:t> </w:t>
      </w:r>
      <w:r>
        <w:rPr>
          <w:color w:val="231F20"/>
        </w:rPr>
        <w:t>della</w:t>
      </w:r>
      <w:r>
        <w:rPr>
          <w:color w:val="231F20"/>
          <w:spacing w:val="-2"/>
        </w:rPr>
        <w:t> </w:t>
      </w:r>
      <w:r>
        <w:rPr>
          <w:color w:val="231F20"/>
        </w:rPr>
        <w:t>Carta.</w:t>
      </w:r>
      <w:r>
        <w:rPr>
          <w:color w:val="231F20"/>
          <w:spacing w:val="-1"/>
        </w:rPr>
        <w:t> </w:t>
      </w:r>
      <w:r>
        <w:rPr>
          <w:color w:val="231F20"/>
        </w:rPr>
        <w:t>Infatti</w:t>
      </w:r>
      <w:r>
        <w:rPr>
          <w:color w:val="231F20"/>
          <w:spacing w:val="-2"/>
        </w:rPr>
        <w:t> </w:t>
      </w:r>
      <w:r>
        <w:rPr>
          <w:color w:val="231F20"/>
        </w:rPr>
        <w:t>il</w:t>
      </w:r>
      <w:r>
        <w:rPr>
          <w:color w:val="231F20"/>
          <w:spacing w:val="-1"/>
        </w:rPr>
        <w:t> </w:t>
      </w:r>
      <w:r>
        <w:rPr>
          <w:color w:val="231F20"/>
        </w:rPr>
        <w:t>cliente</w:t>
      </w:r>
      <w:r>
        <w:rPr>
          <w:color w:val="231F20"/>
          <w:spacing w:val="-2"/>
        </w:rPr>
        <w:t> </w:t>
      </w:r>
      <w:r>
        <w:rPr>
          <w:color w:val="231F20"/>
        </w:rPr>
        <w:t>dell’avvocato</w:t>
      </w:r>
      <w:r>
        <w:rPr>
          <w:color w:val="231F20"/>
          <w:spacing w:val="-1"/>
        </w:rPr>
        <w:t> </w:t>
      </w:r>
      <w:r>
        <w:rPr>
          <w:color w:val="231F20"/>
        </w:rPr>
        <w:t>sarebbe</w:t>
      </w:r>
      <w:r>
        <w:rPr>
          <w:color w:val="231F20"/>
          <w:spacing w:val="-2"/>
        </w:rPr>
        <w:t> </w:t>
      </w:r>
      <w:r>
        <w:rPr>
          <w:color w:val="231F20"/>
        </w:rPr>
        <w:t>privato</w:t>
      </w:r>
      <w:r>
        <w:rPr>
          <w:color w:val="231F20"/>
          <w:spacing w:val="-1"/>
        </w:rPr>
        <w:t> </w:t>
      </w:r>
      <w:r>
        <w:rPr>
          <w:color w:val="231F20"/>
        </w:rPr>
        <w:t>del</w:t>
      </w:r>
      <w:r>
        <w:rPr>
          <w:color w:val="231F20"/>
          <w:spacing w:val="-2"/>
        </w:rPr>
        <w:t> </w:t>
      </w:r>
      <w:r>
        <w:rPr>
          <w:color w:val="231F20"/>
        </w:rPr>
        <w:t>diritto</w:t>
      </w:r>
      <w:r>
        <w:rPr>
          <w:color w:val="231F20"/>
          <w:spacing w:val="-1"/>
        </w:rPr>
        <w:t> </w:t>
      </w:r>
      <w:r>
        <w:rPr>
          <w:color w:val="231F20"/>
        </w:rPr>
        <w:t>ad un</w:t>
      </w:r>
      <w:r>
        <w:rPr>
          <w:color w:val="231F20"/>
          <w:spacing w:val="-3"/>
        </w:rPr>
        <w:t> </w:t>
      </w:r>
      <w:r>
        <w:rPr>
          <w:color w:val="231F20"/>
        </w:rPr>
        <w:t>equo</w:t>
      </w:r>
      <w:r>
        <w:rPr>
          <w:color w:val="231F20"/>
          <w:spacing w:val="-3"/>
        </w:rPr>
        <w:t> </w:t>
      </w:r>
      <w:r>
        <w:rPr>
          <w:color w:val="231F20"/>
        </w:rPr>
        <w:t>processo</w:t>
      </w:r>
      <w:r>
        <w:rPr>
          <w:color w:val="231F20"/>
          <w:spacing w:val="-3"/>
        </w:rPr>
        <w:t> </w:t>
      </w:r>
      <w:r>
        <w:rPr>
          <w:color w:val="231F20"/>
        </w:rPr>
        <w:t>unicamente</w:t>
      </w:r>
      <w:r>
        <w:rPr>
          <w:color w:val="231F20"/>
          <w:spacing w:val="-3"/>
        </w:rPr>
        <w:t> </w:t>
      </w:r>
      <w:r>
        <w:rPr>
          <w:color w:val="231F20"/>
        </w:rPr>
        <w:t>nel</w:t>
      </w:r>
      <w:r>
        <w:rPr>
          <w:color w:val="231F20"/>
          <w:spacing w:val="-3"/>
        </w:rPr>
        <w:t> </w:t>
      </w:r>
      <w:r>
        <w:rPr>
          <w:color w:val="231F20"/>
        </w:rPr>
        <w:t>caso</w:t>
      </w:r>
      <w:r>
        <w:rPr>
          <w:color w:val="231F20"/>
          <w:spacing w:val="-3"/>
        </w:rPr>
        <w:t> </w:t>
      </w:r>
      <w:r>
        <w:rPr>
          <w:color w:val="231F20"/>
        </w:rPr>
        <w:t>in</w:t>
      </w:r>
      <w:r>
        <w:rPr>
          <w:color w:val="231F20"/>
          <w:spacing w:val="-3"/>
        </w:rPr>
        <w:t> </w:t>
      </w:r>
      <w:r>
        <w:rPr>
          <w:color w:val="231F20"/>
        </w:rPr>
        <w:t>cui</w:t>
      </w:r>
      <w:r>
        <w:rPr>
          <w:color w:val="231F20"/>
          <w:spacing w:val="-3"/>
        </w:rPr>
        <w:t> </w:t>
      </w:r>
      <w:r>
        <w:rPr>
          <w:color w:val="231F20"/>
        </w:rPr>
        <w:t>l’avvocato</w:t>
      </w:r>
      <w:r>
        <w:rPr>
          <w:color w:val="231F20"/>
          <w:spacing w:val="-3"/>
        </w:rPr>
        <w:t> </w:t>
      </w:r>
      <w:r>
        <w:rPr>
          <w:color w:val="231F20"/>
        </w:rPr>
        <w:t>stesso,</w:t>
      </w:r>
      <w:r>
        <w:rPr>
          <w:color w:val="231F20"/>
          <w:spacing w:val="-3"/>
        </w:rPr>
        <w:t> </w:t>
      </w:r>
      <w:r>
        <w:rPr>
          <w:color w:val="231F20"/>
        </w:rPr>
        <w:t>nell’ambito di un procedimento giudiziario o della sua preparazione, fosse obbligato a collaborare</w:t>
      </w:r>
      <w:r>
        <w:rPr>
          <w:color w:val="231F20"/>
          <w:spacing w:val="-3"/>
        </w:rPr>
        <w:t> </w:t>
      </w:r>
      <w:r>
        <w:rPr>
          <w:color w:val="231F20"/>
        </w:rPr>
        <w:t>con</w:t>
      </w:r>
      <w:r>
        <w:rPr>
          <w:color w:val="231F20"/>
          <w:spacing w:val="-3"/>
        </w:rPr>
        <w:t> </w:t>
      </w:r>
      <w:r>
        <w:rPr>
          <w:color w:val="231F20"/>
        </w:rPr>
        <w:t>delle</w:t>
      </w:r>
      <w:r>
        <w:rPr>
          <w:color w:val="231F20"/>
          <w:spacing w:val="-3"/>
        </w:rPr>
        <w:t> </w:t>
      </w:r>
      <w:r>
        <w:rPr>
          <w:color w:val="231F20"/>
        </w:rPr>
        <w:t>autorità</w:t>
      </w:r>
      <w:r>
        <w:rPr>
          <w:color w:val="231F20"/>
          <w:spacing w:val="-3"/>
        </w:rPr>
        <w:t> </w:t>
      </w:r>
      <w:r>
        <w:rPr>
          <w:color w:val="231F20"/>
        </w:rPr>
        <w:t>pubbliche</w:t>
      </w:r>
      <w:r>
        <w:rPr>
          <w:color w:val="231F20"/>
          <w:spacing w:val="-3"/>
        </w:rPr>
        <w:t> </w:t>
      </w:r>
      <w:r>
        <w:rPr>
          <w:color w:val="231F20"/>
        </w:rPr>
        <w:t>trasmettendo</w:t>
      </w:r>
      <w:r>
        <w:rPr>
          <w:color w:val="231F20"/>
          <w:spacing w:val="-3"/>
        </w:rPr>
        <w:t> </w:t>
      </w:r>
      <w:r>
        <w:rPr>
          <w:color w:val="231F20"/>
        </w:rPr>
        <w:t>loro</w:t>
      </w:r>
      <w:r>
        <w:rPr>
          <w:color w:val="231F20"/>
          <w:spacing w:val="-3"/>
        </w:rPr>
        <w:t> </w:t>
      </w:r>
      <w:r>
        <w:rPr>
          <w:color w:val="231F20"/>
        </w:rPr>
        <w:t>le</w:t>
      </w:r>
      <w:r>
        <w:rPr>
          <w:color w:val="231F20"/>
          <w:spacing w:val="-3"/>
        </w:rPr>
        <w:t> </w:t>
      </w:r>
      <w:r>
        <w:rPr>
          <w:color w:val="231F20"/>
        </w:rPr>
        <w:t>informazioni ottenute in occasione delle consulenze legali fornite al suddetto cliente in occasione</w:t>
      </w:r>
      <w:r>
        <w:rPr>
          <w:color w:val="231F20"/>
          <w:spacing w:val="-10"/>
        </w:rPr>
        <w:t> </w:t>
      </w:r>
      <w:r>
        <w:rPr>
          <w:color w:val="231F20"/>
        </w:rPr>
        <w:t>della</w:t>
      </w:r>
      <w:r>
        <w:rPr>
          <w:color w:val="231F20"/>
          <w:spacing w:val="-10"/>
        </w:rPr>
        <w:t> </w:t>
      </w:r>
      <w:r>
        <w:rPr>
          <w:color w:val="231F20"/>
        </w:rPr>
        <w:t>preparazione</w:t>
      </w:r>
      <w:r>
        <w:rPr>
          <w:color w:val="231F20"/>
          <w:spacing w:val="-10"/>
        </w:rPr>
        <w:t> </w:t>
      </w:r>
      <w:r>
        <w:rPr>
          <w:color w:val="231F20"/>
        </w:rPr>
        <w:t>di</w:t>
      </w:r>
      <w:r>
        <w:rPr>
          <w:color w:val="231F20"/>
          <w:spacing w:val="-10"/>
        </w:rPr>
        <w:t> </w:t>
      </w:r>
      <w:r>
        <w:rPr>
          <w:color w:val="231F20"/>
        </w:rPr>
        <w:t>tale</w:t>
      </w:r>
      <w:r>
        <w:rPr>
          <w:color w:val="231F20"/>
          <w:spacing w:val="-10"/>
        </w:rPr>
        <w:t> </w:t>
      </w:r>
      <w:r>
        <w:rPr>
          <w:color w:val="231F20"/>
        </w:rPr>
        <w:t>medesimo</w:t>
      </w:r>
      <w:r>
        <w:rPr>
          <w:color w:val="231F20"/>
          <w:spacing w:val="-10"/>
        </w:rPr>
        <w:t> </w:t>
      </w:r>
      <w:r>
        <w:rPr>
          <w:color w:val="231F20"/>
        </w:rPr>
        <w:t>procedimento.</w:t>
      </w:r>
      <w:r>
        <w:rPr>
          <w:color w:val="231F20"/>
          <w:spacing w:val="-10"/>
        </w:rPr>
        <w:t> </w:t>
      </w:r>
      <w:r>
        <w:rPr>
          <w:color w:val="231F20"/>
        </w:rPr>
        <w:t>Ne</w:t>
      </w:r>
      <w:r>
        <w:rPr>
          <w:color w:val="231F20"/>
          <w:spacing w:val="-10"/>
        </w:rPr>
        <w:t> </w:t>
      </w:r>
      <w:r>
        <w:rPr>
          <w:color w:val="231F20"/>
        </w:rPr>
        <w:t>consegue che</w:t>
      </w:r>
      <w:r>
        <w:rPr>
          <w:color w:val="231F20"/>
          <w:spacing w:val="-13"/>
        </w:rPr>
        <w:t> </w:t>
      </w:r>
      <w:r>
        <w:rPr>
          <w:color w:val="231F20"/>
        </w:rPr>
        <w:t>il</w:t>
      </w:r>
      <w:r>
        <w:rPr>
          <w:color w:val="231F20"/>
          <w:spacing w:val="-13"/>
        </w:rPr>
        <w:t> </w:t>
      </w:r>
      <w:r>
        <w:rPr>
          <w:color w:val="231F20"/>
        </w:rPr>
        <w:t>diritto</w:t>
      </w:r>
      <w:r>
        <w:rPr>
          <w:color w:val="231F20"/>
          <w:spacing w:val="-13"/>
        </w:rPr>
        <w:t> </w:t>
      </w:r>
      <w:r>
        <w:rPr>
          <w:color w:val="231F20"/>
        </w:rPr>
        <w:t>ad</w:t>
      </w:r>
      <w:r>
        <w:rPr>
          <w:color w:val="231F20"/>
          <w:spacing w:val="-13"/>
        </w:rPr>
        <w:t> </w:t>
      </w:r>
      <w:r>
        <w:rPr>
          <w:color w:val="231F20"/>
        </w:rPr>
        <w:t>un</w:t>
      </w:r>
      <w:r>
        <w:rPr>
          <w:color w:val="231F20"/>
          <w:spacing w:val="-13"/>
        </w:rPr>
        <w:t> </w:t>
      </w:r>
      <w:r>
        <w:rPr>
          <w:color w:val="231F20"/>
        </w:rPr>
        <w:t>equo</w:t>
      </w:r>
      <w:r>
        <w:rPr>
          <w:color w:val="231F20"/>
          <w:spacing w:val="-13"/>
        </w:rPr>
        <w:t> </w:t>
      </w:r>
      <w:r>
        <w:rPr>
          <w:color w:val="231F20"/>
        </w:rPr>
        <w:t>processo</w:t>
      </w:r>
      <w:r>
        <w:rPr>
          <w:color w:val="231F20"/>
          <w:spacing w:val="-13"/>
        </w:rPr>
        <w:t> </w:t>
      </w:r>
      <w:r>
        <w:rPr>
          <w:color w:val="231F20"/>
        </w:rPr>
        <w:t>garantito</w:t>
      </w:r>
      <w:r>
        <w:rPr>
          <w:color w:val="231F20"/>
          <w:spacing w:val="-13"/>
        </w:rPr>
        <w:t> </w:t>
      </w:r>
      <w:r>
        <w:rPr>
          <w:color w:val="231F20"/>
        </w:rPr>
        <w:t>dall’art.</w:t>
      </w:r>
      <w:r>
        <w:rPr>
          <w:color w:val="231F20"/>
          <w:spacing w:val="-13"/>
        </w:rPr>
        <w:t> </w:t>
      </w:r>
      <w:r>
        <w:rPr>
          <w:color w:val="231F20"/>
        </w:rPr>
        <w:t>47</w:t>
      </w:r>
      <w:r>
        <w:rPr>
          <w:color w:val="231F20"/>
          <w:spacing w:val="-13"/>
        </w:rPr>
        <w:t> </w:t>
      </w:r>
      <w:r>
        <w:rPr>
          <w:color w:val="231F20"/>
        </w:rPr>
        <w:t>della</w:t>
      </w:r>
      <w:r>
        <w:rPr>
          <w:color w:val="231F20"/>
          <w:spacing w:val="-13"/>
        </w:rPr>
        <w:t> </w:t>
      </w:r>
      <w:r>
        <w:rPr>
          <w:color w:val="231F20"/>
        </w:rPr>
        <w:t>Carta</w:t>
      </w:r>
      <w:r>
        <w:rPr>
          <w:color w:val="231F20"/>
          <w:spacing w:val="-13"/>
        </w:rPr>
        <w:t> </w:t>
      </w:r>
      <w:r>
        <w:rPr>
          <w:color w:val="231F20"/>
        </w:rPr>
        <w:t>dei</w:t>
      </w:r>
      <w:r>
        <w:rPr>
          <w:color w:val="231F20"/>
          <w:spacing w:val="-13"/>
        </w:rPr>
        <w:t> </w:t>
      </w:r>
      <w:r>
        <w:rPr>
          <w:color w:val="231F20"/>
        </w:rPr>
        <w:t>dirit- ti</w:t>
      </w:r>
      <w:r>
        <w:rPr>
          <w:color w:val="231F20"/>
          <w:spacing w:val="-4"/>
        </w:rPr>
        <w:t> </w:t>
      </w:r>
      <w:r>
        <w:rPr>
          <w:color w:val="231F20"/>
        </w:rPr>
        <w:t>fondamentali</w:t>
      </w:r>
      <w:r>
        <w:rPr>
          <w:color w:val="231F20"/>
          <w:spacing w:val="-4"/>
        </w:rPr>
        <w:t> </w:t>
      </w:r>
      <w:r>
        <w:rPr>
          <w:color w:val="231F20"/>
        </w:rPr>
        <w:t>comporta</w:t>
      </w:r>
      <w:r>
        <w:rPr>
          <w:color w:val="231F20"/>
          <w:spacing w:val="-4"/>
        </w:rPr>
        <w:t> </w:t>
      </w:r>
      <w:r>
        <w:rPr>
          <w:color w:val="231F20"/>
        </w:rPr>
        <w:t>necessariamente</w:t>
      </w:r>
      <w:r>
        <w:rPr>
          <w:color w:val="231F20"/>
          <w:spacing w:val="-4"/>
        </w:rPr>
        <w:t> </w:t>
      </w:r>
      <w:r>
        <w:rPr>
          <w:color w:val="231F20"/>
        </w:rPr>
        <w:t>una</w:t>
      </w:r>
      <w:r>
        <w:rPr>
          <w:color w:val="231F20"/>
          <w:spacing w:val="-4"/>
        </w:rPr>
        <w:t> </w:t>
      </w:r>
      <w:r>
        <w:rPr>
          <w:color w:val="231F20"/>
        </w:rPr>
        <w:t>connessione</w:t>
      </w:r>
      <w:r>
        <w:rPr>
          <w:color w:val="231F20"/>
          <w:spacing w:val="-4"/>
        </w:rPr>
        <w:t> </w:t>
      </w:r>
      <w:r>
        <w:rPr>
          <w:color w:val="231F20"/>
        </w:rPr>
        <w:t>con</w:t>
      </w:r>
      <w:r>
        <w:rPr>
          <w:color w:val="231F20"/>
          <w:spacing w:val="-4"/>
        </w:rPr>
        <w:t> </w:t>
      </w:r>
      <w:r>
        <w:rPr>
          <w:color w:val="231F20"/>
        </w:rPr>
        <w:t>un</w:t>
      </w:r>
      <w:r>
        <w:rPr>
          <w:color w:val="231F20"/>
          <w:spacing w:val="-4"/>
        </w:rPr>
        <w:t> </w:t>
      </w:r>
      <w:r>
        <w:rPr>
          <w:color w:val="231F20"/>
        </w:rPr>
        <w:t>proce- dimento</w:t>
      </w:r>
      <w:r>
        <w:rPr>
          <w:color w:val="231F20"/>
          <w:spacing w:val="-4"/>
        </w:rPr>
        <w:t> </w:t>
      </w:r>
      <w:r>
        <w:rPr>
          <w:color w:val="231F20"/>
        </w:rPr>
        <w:t>giudiziario.</w:t>
      </w:r>
      <w:r>
        <w:rPr>
          <w:color w:val="231F20"/>
          <w:spacing w:val="-13"/>
        </w:rPr>
        <w:t> </w:t>
      </w:r>
      <w:r>
        <w:rPr>
          <w:color w:val="231F20"/>
        </w:rPr>
        <w:t>Tale</w:t>
      </w:r>
      <w:r>
        <w:rPr>
          <w:color w:val="231F20"/>
          <w:spacing w:val="-4"/>
        </w:rPr>
        <w:t> </w:t>
      </w:r>
      <w:r>
        <w:rPr>
          <w:color w:val="231F20"/>
        </w:rPr>
        <w:t>nesso</w:t>
      </w:r>
      <w:r>
        <w:rPr>
          <w:color w:val="231F20"/>
          <w:spacing w:val="-4"/>
        </w:rPr>
        <w:t> </w:t>
      </w:r>
      <w:r>
        <w:rPr>
          <w:color w:val="231F20"/>
        </w:rPr>
        <w:t>non</w:t>
      </w:r>
      <w:r>
        <w:rPr>
          <w:color w:val="231F20"/>
          <w:spacing w:val="-4"/>
        </w:rPr>
        <w:t> </w:t>
      </w:r>
      <w:r>
        <w:rPr>
          <w:color w:val="231F20"/>
        </w:rPr>
        <w:t>ricorre</w:t>
      </w:r>
      <w:r>
        <w:rPr>
          <w:color w:val="231F20"/>
          <w:spacing w:val="-4"/>
        </w:rPr>
        <w:t> </w:t>
      </w:r>
      <w:r>
        <w:rPr>
          <w:color w:val="231F20"/>
        </w:rPr>
        <w:t>nell’obbligo</w:t>
      </w:r>
      <w:r>
        <w:rPr>
          <w:color w:val="231F20"/>
          <w:spacing w:val="-4"/>
        </w:rPr>
        <w:t> </w:t>
      </w:r>
      <w:r>
        <w:rPr>
          <w:color w:val="231F20"/>
        </w:rPr>
        <w:t>di</w:t>
      </w:r>
      <w:r>
        <w:rPr>
          <w:color w:val="231F20"/>
          <w:spacing w:val="-4"/>
        </w:rPr>
        <w:t> </w:t>
      </w:r>
      <w:r>
        <w:rPr>
          <w:color w:val="231F20"/>
        </w:rPr>
        <w:t>comunicazione di</w:t>
      </w:r>
      <w:r>
        <w:rPr>
          <w:color w:val="231F20"/>
          <w:spacing w:val="-1"/>
        </w:rPr>
        <w:t> </w:t>
      </w:r>
      <w:r>
        <w:rPr>
          <w:color w:val="231F20"/>
        </w:rPr>
        <w:t>cui</w:t>
      </w:r>
      <w:r>
        <w:rPr>
          <w:color w:val="231F20"/>
          <w:spacing w:val="-1"/>
        </w:rPr>
        <w:t> </w:t>
      </w:r>
      <w:r>
        <w:rPr>
          <w:color w:val="231F20"/>
        </w:rPr>
        <w:t>all’art.</w:t>
      </w:r>
      <w:r>
        <w:rPr>
          <w:color w:val="231F20"/>
          <w:spacing w:val="-1"/>
        </w:rPr>
        <w:t> </w:t>
      </w:r>
      <w:r>
        <w:rPr>
          <w:color w:val="231F20"/>
        </w:rPr>
        <w:t>8</w:t>
      </w:r>
      <w:r>
        <w:rPr>
          <w:color w:val="231F20"/>
          <w:spacing w:val="-1"/>
        </w:rPr>
        <w:t> </w:t>
      </w:r>
      <w:r>
        <w:rPr>
          <w:i/>
          <w:color w:val="231F20"/>
        </w:rPr>
        <w:t>bis</w:t>
      </w:r>
      <w:r>
        <w:rPr>
          <w:i/>
          <w:color w:val="231F20"/>
          <w:spacing w:val="-1"/>
        </w:rPr>
        <w:t> </w:t>
      </w:r>
      <w:r>
        <w:rPr>
          <w:i/>
          <w:color w:val="231F20"/>
        </w:rPr>
        <w:t>ter</w:t>
      </w:r>
      <w:r>
        <w:rPr>
          <w:color w:val="231F20"/>
        </w:rPr>
        <w:t>,</w:t>
      </w:r>
      <w:r>
        <w:rPr>
          <w:color w:val="231F20"/>
          <w:spacing w:val="-1"/>
        </w:rPr>
        <w:t> </w:t>
      </w:r>
      <w:r>
        <w:rPr>
          <w:color w:val="231F20"/>
        </w:rPr>
        <w:t>par.</w:t>
      </w:r>
      <w:r>
        <w:rPr>
          <w:color w:val="231F20"/>
          <w:spacing w:val="-1"/>
        </w:rPr>
        <w:t> </w:t>
      </w:r>
      <w:r>
        <w:rPr>
          <w:color w:val="231F20"/>
        </w:rPr>
        <w:t>5,</w:t>
      </w:r>
      <w:r>
        <w:rPr>
          <w:color w:val="231F20"/>
          <w:spacing w:val="-1"/>
        </w:rPr>
        <w:t> </w:t>
      </w:r>
      <w:r>
        <w:rPr>
          <w:color w:val="231F20"/>
        </w:rPr>
        <w:t>della</w:t>
      </w:r>
      <w:r>
        <w:rPr>
          <w:color w:val="231F20"/>
          <w:spacing w:val="-1"/>
        </w:rPr>
        <w:t> </w:t>
      </w:r>
      <w:r>
        <w:rPr>
          <w:color w:val="231F20"/>
        </w:rPr>
        <w:t>direttiva</w:t>
      </w:r>
      <w:r>
        <w:rPr>
          <w:color w:val="231F20"/>
          <w:spacing w:val="-1"/>
        </w:rPr>
        <w:t> </w:t>
      </w:r>
      <w:r>
        <w:rPr>
          <w:color w:val="231F20"/>
        </w:rPr>
        <w:t>in</w:t>
      </w:r>
      <w:r>
        <w:rPr>
          <w:color w:val="231F20"/>
          <w:spacing w:val="-1"/>
        </w:rPr>
        <w:t> </w:t>
      </w:r>
      <w:r>
        <w:rPr>
          <w:color w:val="231F20"/>
        </w:rPr>
        <w:t>quanto</w:t>
      </w:r>
      <w:r>
        <w:rPr>
          <w:color w:val="231F20"/>
          <w:spacing w:val="-1"/>
        </w:rPr>
        <w:t> </w:t>
      </w:r>
      <w:r>
        <w:rPr>
          <w:color w:val="231F20"/>
        </w:rPr>
        <w:t>l’obbligo</w:t>
      </w:r>
      <w:r>
        <w:rPr>
          <w:color w:val="231F20"/>
          <w:spacing w:val="-1"/>
        </w:rPr>
        <w:t> </w:t>
      </w:r>
      <w:r>
        <w:rPr>
          <w:color w:val="231F20"/>
        </w:rPr>
        <w:t>di</w:t>
      </w:r>
      <w:r>
        <w:rPr>
          <w:color w:val="231F20"/>
          <w:spacing w:val="-1"/>
        </w:rPr>
        <w:t> </w:t>
      </w:r>
      <w:r>
        <w:rPr>
          <w:color w:val="231F20"/>
        </w:rPr>
        <w:t>notifica ad un altro intermediario imposto all’avvocato intermediario sorge al di fuori dell’ambito di un procedimento giudiziario o della sua preparazio- </w:t>
      </w:r>
      <w:r>
        <w:rPr>
          <w:color w:val="231F20"/>
          <w:spacing w:val="-2"/>
        </w:rPr>
        <w:t>ne</w:t>
      </w:r>
      <w:r>
        <w:rPr>
          <w:color w:val="231F20"/>
          <w:spacing w:val="-2"/>
          <w:position w:val="8"/>
          <w:sz w:val="14"/>
        </w:rPr>
        <w:t>116</w:t>
      </w:r>
      <w:r>
        <w:rPr>
          <w:color w:val="231F20"/>
          <w:spacing w:val="-2"/>
        </w:rPr>
        <w:t>.</w:t>
      </w:r>
      <w:r>
        <w:rPr>
          <w:color w:val="231F20"/>
          <w:spacing w:val="-13"/>
        </w:rPr>
        <w:t> </w:t>
      </w:r>
      <w:r>
        <w:rPr>
          <w:color w:val="231F20"/>
          <w:spacing w:val="-2"/>
        </w:rPr>
        <w:t>Tale</w:t>
      </w:r>
      <w:r>
        <w:rPr>
          <w:color w:val="231F20"/>
          <w:spacing w:val="-9"/>
        </w:rPr>
        <w:t> </w:t>
      </w:r>
      <w:r>
        <w:rPr>
          <w:color w:val="231F20"/>
          <w:spacing w:val="-2"/>
        </w:rPr>
        <w:t>obbligo</w:t>
      </w:r>
      <w:r>
        <w:rPr>
          <w:color w:val="231F20"/>
          <w:spacing w:val="-5"/>
        </w:rPr>
        <w:t> </w:t>
      </w:r>
      <w:r>
        <w:rPr>
          <w:color w:val="231F20"/>
          <w:spacing w:val="-2"/>
        </w:rPr>
        <w:t>scatta</w:t>
      </w:r>
      <w:r>
        <w:rPr>
          <w:color w:val="231F20"/>
          <w:spacing w:val="-5"/>
        </w:rPr>
        <w:t> </w:t>
      </w:r>
      <w:r>
        <w:rPr>
          <w:color w:val="231F20"/>
          <w:spacing w:val="-2"/>
        </w:rPr>
        <w:t>infatti</w:t>
      </w:r>
      <w:r>
        <w:rPr>
          <w:color w:val="231F20"/>
          <w:spacing w:val="-5"/>
        </w:rPr>
        <w:t> </w:t>
      </w:r>
      <w:r>
        <w:rPr>
          <w:color w:val="231F20"/>
          <w:spacing w:val="-2"/>
        </w:rPr>
        <w:t>in</w:t>
      </w:r>
      <w:r>
        <w:rPr>
          <w:color w:val="231F20"/>
          <w:spacing w:val="-5"/>
        </w:rPr>
        <w:t> </w:t>
      </w:r>
      <w:r>
        <w:rPr>
          <w:color w:val="231F20"/>
          <w:spacing w:val="-2"/>
        </w:rPr>
        <w:t>una</w:t>
      </w:r>
      <w:r>
        <w:rPr>
          <w:color w:val="231F20"/>
          <w:spacing w:val="-5"/>
        </w:rPr>
        <w:t> </w:t>
      </w:r>
      <w:r>
        <w:rPr>
          <w:color w:val="231F20"/>
          <w:spacing w:val="-2"/>
        </w:rPr>
        <w:t>fase</w:t>
      </w:r>
      <w:r>
        <w:rPr>
          <w:color w:val="231F20"/>
          <w:spacing w:val="-5"/>
        </w:rPr>
        <w:t> </w:t>
      </w:r>
      <w:r>
        <w:rPr>
          <w:color w:val="231F20"/>
          <w:spacing w:val="-2"/>
        </w:rPr>
        <w:t>largamente</w:t>
      </w:r>
      <w:r>
        <w:rPr>
          <w:color w:val="231F20"/>
          <w:spacing w:val="-5"/>
        </w:rPr>
        <w:t> </w:t>
      </w:r>
      <w:r>
        <w:rPr>
          <w:color w:val="231F20"/>
          <w:spacing w:val="-2"/>
        </w:rPr>
        <w:t>anteriore</w:t>
      </w:r>
      <w:r>
        <w:rPr>
          <w:color w:val="231F20"/>
          <w:spacing w:val="-5"/>
        </w:rPr>
        <w:t> </w:t>
      </w:r>
      <w:r>
        <w:rPr>
          <w:color w:val="231F20"/>
          <w:spacing w:val="-2"/>
        </w:rPr>
        <w:t>all’inizio</w:t>
      </w:r>
      <w:r>
        <w:rPr>
          <w:color w:val="231F20"/>
          <w:spacing w:val="-5"/>
        </w:rPr>
        <w:t> </w:t>
      </w:r>
      <w:r>
        <w:rPr>
          <w:color w:val="231F20"/>
          <w:spacing w:val="-2"/>
        </w:rPr>
        <w:t>di </w:t>
      </w:r>
      <w:r>
        <w:rPr>
          <w:color w:val="231F20"/>
        </w:rPr>
        <w:t>un</w:t>
      </w:r>
      <w:r>
        <w:rPr>
          <w:color w:val="231F20"/>
          <w:spacing w:val="-12"/>
        </w:rPr>
        <w:t> </w:t>
      </w:r>
      <w:r>
        <w:rPr>
          <w:color w:val="231F20"/>
        </w:rPr>
        <w:t>eventuale</w:t>
      </w:r>
      <w:r>
        <w:rPr>
          <w:color w:val="231F20"/>
          <w:spacing w:val="-12"/>
        </w:rPr>
        <w:t> </w:t>
      </w:r>
      <w:r>
        <w:rPr>
          <w:color w:val="231F20"/>
        </w:rPr>
        <w:t>processo</w:t>
      </w:r>
      <w:r>
        <w:rPr>
          <w:color w:val="231F20"/>
          <w:spacing w:val="-12"/>
        </w:rPr>
        <w:t> </w:t>
      </w:r>
      <w:r>
        <w:rPr>
          <w:color w:val="231F20"/>
        </w:rPr>
        <w:t>dinanzi</w:t>
      </w:r>
      <w:r>
        <w:rPr>
          <w:color w:val="231F20"/>
          <w:spacing w:val="-12"/>
        </w:rPr>
        <w:t> </w:t>
      </w:r>
      <w:r>
        <w:rPr>
          <w:color w:val="231F20"/>
        </w:rPr>
        <w:t>ad</w:t>
      </w:r>
      <w:r>
        <w:rPr>
          <w:color w:val="231F20"/>
          <w:spacing w:val="-12"/>
        </w:rPr>
        <w:t> </w:t>
      </w:r>
      <w:r>
        <w:rPr>
          <w:color w:val="231F20"/>
        </w:rPr>
        <w:t>un</w:t>
      </w:r>
      <w:r>
        <w:rPr>
          <w:color w:val="231F20"/>
          <w:spacing w:val="-12"/>
        </w:rPr>
        <w:t> </w:t>
      </w:r>
      <w:r>
        <w:rPr>
          <w:color w:val="231F20"/>
        </w:rPr>
        <w:t>giudice</w:t>
      </w:r>
      <w:r>
        <w:rPr>
          <w:color w:val="231F20"/>
          <w:spacing w:val="-12"/>
        </w:rPr>
        <w:t> </w:t>
      </w:r>
      <w:r>
        <w:rPr>
          <w:color w:val="231F20"/>
        </w:rPr>
        <w:t>tributario,</w:t>
      </w:r>
      <w:r>
        <w:rPr>
          <w:color w:val="231F20"/>
          <w:spacing w:val="-12"/>
        </w:rPr>
        <w:t> </w:t>
      </w:r>
      <w:r>
        <w:rPr>
          <w:color w:val="231F20"/>
        </w:rPr>
        <w:t>vale</w:t>
      </w:r>
      <w:r>
        <w:rPr>
          <w:color w:val="231F20"/>
          <w:spacing w:val="-12"/>
        </w:rPr>
        <w:t> </w:t>
      </w:r>
      <w:r>
        <w:rPr>
          <w:color w:val="231F20"/>
        </w:rPr>
        <w:t>a</w:t>
      </w:r>
      <w:r>
        <w:rPr>
          <w:color w:val="231F20"/>
          <w:spacing w:val="-12"/>
        </w:rPr>
        <w:t> </w:t>
      </w:r>
      <w:r>
        <w:rPr>
          <w:color w:val="231F20"/>
        </w:rPr>
        <w:t>dire</w:t>
      </w:r>
      <w:r>
        <w:rPr>
          <w:color w:val="231F20"/>
          <w:spacing w:val="-12"/>
        </w:rPr>
        <w:t> </w:t>
      </w:r>
      <w:r>
        <w:rPr>
          <w:color w:val="231F20"/>
        </w:rPr>
        <w:t>nella</w:t>
      </w:r>
      <w:r>
        <w:rPr>
          <w:color w:val="231F20"/>
          <w:spacing w:val="-12"/>
        </w:rPr>
        <w:t> </w:t>
      </w:r>
      <w:r>
        <w:rPr>
          <w:color w:val="231F20"/>
        </w:rPr>
        <w:t>fase preliminare</w:t>
      </w:r>
      <w:r>
        <w:rPr>
          <w:color w:val="231F20"/>
          <w:spacing w:val="-7"/>
        </w:rPr>
        <w:t> </w:t>
      </w:r>
      <w:r>
        <w:rPr>
          <w:color w:val="231F20"/>
        </w:rPr>
        <w:t>in</w:t>
      </w:r>
      <w:r>
        <w:rPr>
          <w:color w:val="231F20"/>
          <w:spacing w:val="-7"/>
        </w:rPr>
        <w:t> </w:t>
      </w:r>
      <w:r>
        <w:rPr>
          <w:color w:val="231F20"/>
        </w:rPr>
        <w:t>cui</w:t>
      </w:r>
      <w:r>
        <w:rPr>
          <w:color w:val="231F20"/>
          <w:spacing w:val="-7"/>
        </w:rPr>
        <w:t> </w:t>
      </w:r>
      <w:r>
        <w:rPr>
          <w:color w:val="231F20"/>
        </w:rPr>
        <w:t>il</w:t>
      </w:r>
      <w:r>
        <w:rPr>
          <w:color w:val="231F20"/>
          <w:spacing w:val="-7"/>
        </w:rPr>
        <w:t> </w:t>
      </w:r>
      <w:r>
        <w:rPr>
          <w:color w:val="231F20"/>
        </w:rPr>
        <w:t>meccanismo</w:t>
      </w:r>
      <w:r>
        <w:rPr>
          <w:color w:val="231F20"/>
          <w:spacing w:val="-7"/>
        </w:rPr>
        <w:t> </w:t>
      </w:r>
      <w:r>
        <w:rPr>
          <w:color w:val="231F20"/>
        </w:rPr>
        <w:t>transfrontaliero</w:t>
      </w:r>
      <w:r>
        <w:rPr>
          <w:color w:val="231F20"/>
          <w:spacing w:val="-7"/>
        </w:rPr>
        <w:t> </w:t>
      </w:r>
      <w:r>
        <w:rPr>
          <w:color w:val="231F20"/>
        </w:rPr>
        <w:t>di</w:t>
      </w:r>
      <w:r>
        <w:rPr>
          <w:color w:val="231F20"/>
          <w:spacing w:val="-7"/>
        </w:rPr>
        <w:t> </w:t>
      </w:r>
      <w:r>
        <w:rPr>
          <w:color w:val="231F20"/>
        </w:rPr>
        <w:t>pianificazione</w:t>
      </w:r>
      <w:r>
        <w:rPr>
          <w:color w:val="231F20"/>
          <w:spacing w:val="-7"/>
        </w:rPr>
        <w:t> </w:t>
      </w:r>
      <w:r>
        <w:rPr>
          <w:color w:val="231F20"/>
        </w:rPr>
        <w:t>fiscale</w:t>
      </w:r>
      <w:r>
        <w:rPr>
          <w:color w:val="231F20"/>
          <w:spacing w:val="-7"/>
        </w:rPr>
        <w:t> </w:t>
      </w:r>
      <w:r>
        <w:rPr>
          <w:color w:val="231F20"/>
        </w:rPr>
        <w:t>è elaborato e messo a disposizione del contribuente</w:t>
      </w:r>
      <w:r>
        <w:rPr>
          <w:color w:val="231F20"/>
          <w:position w:val="8"/>
          <w:sz w:val="14"/>
        </w:rPr>
        <w:t>117</w:t>
      </w:r>
      <w:r>
        <w:rPr>
          <w:color w:val="231F20"/>
        </w:rPr>
        <w:t>.</w:t>
      </w:r>
    </w:p>
    <w:p>
      <w:pPr>
        <w:pStyle w:val="BodyText"/>
        <w:spacing w:line="225" w:lineRule="auto" w:before="23"/>
        <w:ind w:left="100" w:right="174" w:firstLine="340"/>
        <w:jc w:val="both"/>
      </w:pPr>
      <w:r>
        <w:rPr>
          <w:color w:val="231F20"/>
        </w:rPr>
        <w:t>A completamento di tale analisi della sentenza del 8 dicembre 2022, causa</w:t>
      </w:r>
      <w:r>
        <w:rPr>
          <w:color w:val="231F20"/>
          <w:spacing w:val="-9"/>
        </w:rPr>
        <w:t> </w:t>
      </w:r>
      <w:r>
        <w:rPr>
          <w:color w:val="231F20"/>
        </w:rPr>
        <w:t>C-694/20</w:t>
      </w:r>
      <w:r>
        <w:rPr>
          <w:color w:val="231F20"/>
          <w:spacing w:val="-9"/>
        </w:rPr>
        <w:t> </w:t>
      </w:r>
      <w:r>
        <w:rPr>
          <w:color w:val="231F20"/>
        </w:rPr>
        <w:t>va</w:t>
      </w:r>
      <w:r>
        <w:rPr>
          <w:color w:val="231F20"/>
          <w:spacing w:val="-9"/>
        </w:rPr>
        <w:t> </w:t>
      </w:r>
      <w:r>
        <w:rPr>
          <w:color w:val="231F20"/>
        </w:rPr>
        <w:t>rilevato</w:t>
      </w:r>
      <w:r>
        <w:rPr>
          <w:color w:val="231F20"/>
          <w:spacing w:val="-9"/>
        </w:rPr>
        <w:t> </w:t>
      </w:r>
      <w:r>
        <w:rPr>
          <w:color w:val="231F20"/>
        </w:rPr>
        <w:t>il</w:t>
      </w:r>
      <w:r>
        <w:rPr>
          <w:color w:val="231F20"/>
          <w:spacing w:val="-9"/>
        </w:rPr>
        <w:t> </w:t>
      </w:r>
      <w:r>
        <w:rPr>
          <w:color w:val="231F20"/>
        </w:rPr>
        <w:t>seguito,</w:t>
      </w:r>
      <w:r>
        <w:rPr>
          <w:color w:val="231F20"/>
          <w:spacing w:val="-9"/>
        </w:rPr>
        <w:t> </w:t>
      </w:r>
      <w:r>
        <w:rPr>
          <w:color w:val="231F20"/>
        </w:rPr>
        <w:t>per</w:t>
      </w:r>
      <w:r>
        <w:rPr>
          <w:color w:val="231F20"/>
          <w:spacing w:val="-9"/>
        </w:rPr>
        <w:t> </w:t>
      </w:r>
      <w:r>
        <w:rPr>
          <w:color w:val="231F20"/>
        </w:rPr>
        <w:t>una</w:t>
      </w:r>
      <w:r>
        <w:rPr>
          <w:color w:val="231F20"/>
          <w:spacing w:val="-9"/>
        </w:rPr>
        <w:t> </w:t>
      </w:r>
      <w:r>
        <w:rPr>
          <w:color w:val="231F20"/>
        </w:rPr>
        <w:t>volta</w:t>
      </w:r>
      <w:r>
        <w:rPr>
          <w:color w:val="231F20"/>
          <w:spacing w:val="-9"/>
        </w:rPr>
        <w:t> </w:t>
      </w:r>
      <w:r>
        <w:rPr>
          <w:color w:val="231F20"/>
        </w:rPr>
        <w:t>estremamente</w:t>
      </w:r>
      <w:r>
        <w:rPr>
          <w:color w:val="231F20"/>
          <w:spacing w:val="-9"/>
        </w:rPr>
        <w:t> </w:t>
      </w:r>
      <w:r>
        <w:rPr>
          <w:color w:val="231F20"/>
        </w:rPr>
        <w:t>positivo, che tale pronuncia della Corte ha avuto a livello di legislazione dell’Unio- ne sulla cooperazione amministrativa in ambito tributario. Infatti l’ultima e recente direttiva 2023/2226/UE</w:t>
      </w:r>
      <w:r>
        <w:rPr>
          <w:color w:val="231F20"/>
          <w:position w:val="8"/>
          <w:sz w:val="14"/>
        </w:rPr>
        <w:t>118</w:t>
      </w:r>
      <w:r>
        <w:rPr>
          <w:color w:val="231F20"/>
          <w:spacing w:val="35"/>
          <w:position w:val="8"/>
          <w:sz w:val="14"/>
        </w:rPr>
        <w:t> </w:t>
      </w:r>
      <w:r>
        <w:rPr>
          <w:color w:val="231F20"/>
        </w:rPr>
        <w:t>(c.d. DAC 8) recante modifica della direttiva di base 2011/16/UE ha sostituito, con il suo art. 1, n. 4, lett. a), il paragrafo 5 dell’art. 8 </w:t>
      </w:r>
      <w:r>
        <w:rPr>
          <w:i/>
          <w:color w:val="231F20"/>
        </w:rPr>
        <w:t>bis ter</w:t>
      </w:r>
      <w:r>
        <w:rPr>
          <w:color w:val="231F20"/>
        </w:rPr>
        <w:t>, dichiarato invalido dalla Corte e lo ha alli- neato</w:t>
      </w:r>
      <w:r>
        <w:rPr>
          <w:color w:val="231F20"/>
          <w:spacing w:val="-10"/>
        </w:rPr>
        <w:t> </w:t>
      </w:r>
      <w:r>
        <w:rPr>
          <w:color w:val="231F20"/>
        </w:rPr>
        <w:t>alle</w:t>
      </w:r>
      <w:r>
        <w:rPr>
          <w:color w:val="231F20"/>
          <w:spacing w:val="-10"/>
        </w:rPr>
        <w:t> </w:t>
      </w:r>
      <w:r>
        <w:rPr>
          <w:color w:val="231F20"/>
        </w:rPr>
        <w:t>esigenze</w:t>
      </w:r>
      <w:r>
        <w:rPr>
          <w:color w:val="231F20"/>
          <w:spacing w:val="-10"/>
        </w:rPr>
        <w:t> </w:t>
      </w:r>
      <w:r>
        <w:rPr>
          <w:color w:val="231F20"/>
        </w:rPr>
        <w:t>di</w:t>
      </w:r>
      <w:r>
        <w:rPr>
          <w:color w:val="231F20"/>
          <w:spacing w:val="-10"/>
        </w:rPr>
        <w:t> </w:t>
      </w:r>
      <w:r>
        <w:rPr>
          <w:color w:val="231F20"/>
        </w:rPr>
        <w:t>rispetto</w:t>
      </w:r>
      <w:r>
        <w:rPr>
          <w:color w:val="231F20"/>
          <w:spacing w:val="-10"/>
        </w:rPr>
        <w:t> </w:t>
      </w:r>
      <w:r>
        <w:rPr>
          <w:color w:val="231F20"/>
        </w:rPr>
        <w:t>dell’art.</w:t>
      </w:r>
      <w:r>
        <w:rPr>
          <w:color w:val="231F20"/>
          <w:spacing w:val="-10"/>
        </w:rPr>
        <w:t> </w:t>
      </w:r>
      <w:r>
        <w:rPr>
          <w:color w:val="231F20"/>
        </w:rPr>
        <w:t>7</w:t>
      </w:r>
      <w:r>
        <w:rPr>
          <w:color w:val="231F20"/>
          <w:spacing w:val="-10"/>
        </w:rPr>
        <w:t> </w:t>
      </w:r>
      <w:r>
        <w:rPr>
          <w:color w:val="231F20"/>
        </w:rPr>
        <w:t>della</w:t>
      </w:r>
      <w:r>
        <w:rPr>
          <w:color w:val="231F20"/>
          <w:spacing w:val="-10"/>
        </w:rPr>
        <w:t> </w:t>
      </w:r>
      <w:r>
        <w:rPr>
          <w:color w:val="231F20"/>
        </w:rPr>
        <w:t>Carta</w:t>
      </w:r>
      <w:r>
        <w:rPr>
          <w:color w:val="231F20"/>
          <w:spacing w:val="-10"/>
        </w:rPr>
        <w:t> </w:t>
      </w:r>
      <w:r>
        <w:rPr>
          <w:color w:val="231F20"/>
        </w:rPr>
        <w:t>dei</w:t>
      </w:r>
      <w:r>
        <w:rPr>
          <w:color w:val="231F20"/>
          <w:spacing w:val="-10"/>
        </w:rPr>
        <w:t> </w:t>
      </w:r>
      <w:r>
        <w:rPr>
          <w:color w:val="231F20"/>
        </w:rPr>
        <w:t>diritti</w:t>
      </w:r>
      <w:r>
        <w:rPr>
          <w:color w:val="231F20"/>
          <w:spacing w:val="-10"/>
        </w:rPr>
        <w:t> </w:t>
      </w:r>
      <w:r>
        <w:rPr>
          <w:color w:val="231F20"/>
        </w:rPr>
        <w:t>fondamentali enunciate</w:t>
      </w:r>
      <w:r>
        <w:rPr>
          <w:color w:val="231F20"/>
          <w:spacing w:val="-10"/>
        </w:rPr>
        <w:t> </w:t>
      </w:r>
      <w:r>
        <w:rPr>
          <w:color w:val="231F20"/>
        </w:rPr>
        <w:t>nella</w:t>
      </w:r>
      <w:r>
        <w:rPr>
          <w:color w:val="231F20"/>
          <w:spacing w:val="-10"/>
        </w:rPr>
        <w:t> </w:t>
      </w:r>
      <w:r>
        <w:rPr>
          <w:color w:val="231F20"/>
        </w:rPr>
        <w:t>sentenza</w:t>
      </w:r>
      <w:r>
        <w:rPr>
          <w:color w:val="231F20"/>
          <w:spacing w:val="-10"/>
        </w:rPr>
        <w:t> </w:t>
      </w:r>
      <w:r>
        <w:rPr>
          <w:i/>
          <w:color w:val="231F20"/>
        </w:rPr>
        <w:t>Ordine</w:t>
      </w:r>
      <w:r>
        <w:rPr>
          <w:i/>
          <w:color w:val="231F20"/>
          <w:spacing w:val="-10"/>
        </w:rPr>
        <w:t> </w:t>
      </w:r>
      <w:r>
        <w:rPr>
          <w:i/>
          <w:color w:val="231F20"/>
        </w:rPr>
        <w:t>degli</w:t>
      </w:r>
      <w:r>
        <w:rPr>
          <w:i/>
          <w:color w:val="231F20"/>
          <w:spacing w:val="-10"/>
        </w:rPr>
        <w:t> </w:t>
      </w:r>
      <w:r>
        <w:rPr>
          <w:i/>
          <w:color w:val="231F20"/>
        </w:rPr>
        <w:t>avvocati</w:t>
      </w:r>
      <w:r>
        <w:rPr>
          <w:i/>
          <w:color w:val="231F20"/>
          <w:spacing w:val="-10"/>
        </w:rPr>
        <w:t> </w:t>
      </w:r>
      <w:r>
        <w:rPr>
          <w:i/>
          <w:color w:val="231F20"/>
        </w:rPr>
        <w:t>fiamminghi</w:t>
      </w:r>
      <w:r>
        <w:rPr>
          <w:color w:val="231F20"/>
        </w:rPr>
        <w:t>.</w:t>
      </w:r>
      <w:r>
        <w:rPr>
          <w:color w:val="231F20"/>
          <w:spacing w:val="-10"/>
        </w:rPr>
        <w:t> </w:t>
      </w:r>
      <w:r>
        <w:rPr>
          <w:color w:val="231F20"/>
        </w:rPr>
        <w:t>La</w:t>
      </w:r>
      <w:r>
        <w:rPr>
          <w:color w:val="231F20"/>
          <w:spacing w:val="-10"/>
        </w:rPr>
        <w:t> </w:t>
      </w:r>
      <w:r>
        <w:rPr>
          <w:color w:val="231F20"/>
        </w:rPr>
        <w:t>nuova</w:t>
      </w:r>
      <w:r>
        <w:rPr>
          <w:color w:val="231F20"/>
          <w:spacing w:val="-10"/>
        </w:rPr>
        <w:t> </w:t>
      </w:r>
      <w:r>
        <w:rPr>
          <w:color w:val="231F20"/>
        </w:rPr>
        <w:t>dispo- sizione della direttiva 2011/16/UE prevede ora, come precisato al punto 44</w:t>
      </w:r>
      <w:r>
        <w:rPr>
          <w:color w:val="231F20"/>
          <w:spacing w:val="35"/>
        </w:rPr>
        <w:t> </w:t>
      </w:r>
      <w:r>
        <w:rPr>
          <w:color w:val="231F20"/>
        </w:rPr>
        <w:t>della</w:t>
      </w:r>
      <w:r>
        <w:rPr>
          <w:color w:val="231F20"/>
          <w:spacing w:val="35"/>
        </w:rPr>
        <w:t> </w:t>
      </w:r>
      <w:r>
        <w:rPr>
          <w:color w:val="231F20"/>
        </w:rPr>
        <w:t>motivazione</w:t>
      </w:r>
      <w:r>
        <w:rPr>
          <w:color w:val="231F20"/>
          <w:spacing w:val="35"/>
        </w:rPr>
        <w:t> </w:t>
      </w:r>
      <w:r>
        <w:rPr>
          <w:color w:val="231F20"/>
        </w:rPr>
        <w:t>della</w:t>
      </w:r>
      <w:r>
        <w:rPr>
          <w:color w:val="231F20"/>
          <w:spacing w:val="35"/>
        </w:rPr>
        <w:t> </w:t>
      </w:r>
      <w:r>
        <w:rPr>
          <w:color w:val="231F20"/>
        </w:rPr>
        <w:t>direttiva</w:t>
      </w:r>
      <w:r>
        <w:rPr>
          <w:color w:val="231F20"/>
          <w:spacing w:val="35"/>
        </w:rPr>
        <w:t> </w:t>
      </w:r>
      <w:r>
        <w:rPr>
          <w:color w:val="231F20"/>
        </w:rPr>
        <w:t>2023/2226/UE,</w:t>
      </w:r>
      <w:r>
        <w:rPr>
          <w:color w:val="231F20"/>
          <w:spacing w:val="35"/>
        </w:rPr>
        <w:t> </w:t>
      </w:r>
      <w:r>
        <w:rPr>
          <w:color w:val="231F20"/>
        </w:rPr>
        <w:t>che</w:t>
      </w:r>
      <w:r>
        <w:rPr>
          <w:color w:val="231F20"/>
          <w:spacing w:val="35"/>
        </w:rPr>
        <w:t> </w:t>
      </w:r>
      <w:r>
        <w:rPr>
          <w:color w:val="231F20"/>
          <w:spacing w:val="-2"/>
        </w:rPr>
        <w:t>l’intermediario</w:t>
      </w:r>
    </w:p>
    <w:p>
      <w:pPr>
        <w:pStyle w:val="BodyText"/>
        <w:spacing w:before="1"/>
        <w:rPr>
          <w:sz w:val="14"/>
        </w:rPr>
      </w:pPr>
      <w:r>
        <w:rPr/>
        <mc:AlternateContent>
          <mc:Choice Requires="wps">
            <w:drawing>
              <wp:anchor distT="0" distB="0" distL="0" distR="0" allowOverlap="1" layoutInCell="1" locked="0" behindDoc="1" simplePos="0" relativeHeight="487638016">
                <wp:simplePos x="0" y="0"/>
                <wp:positionH relativeFrom="page">
                  <wp:posOffset>864000</wp:posOffset>
                </wp:positionH>
                <wp:positionV relativeFrom="paragraph">
                  <wp:posOffset>128994</wp:posOffset>
                </wp:positionV>
                <wp:extent cx="792480" cy="1270"/>
                <wp:effectExtent l="0" t="0" r="0" b="0"/>
                <wp:wrapTopAndBottom/>
                <wp:docPr id="163" name="Graphic 163"/>
                <wp:cNvGraphicFramePr>
                  <a:graphicFrameLocks/>
                </wp:cNvGraphicFramePr>
                <a:graphic>
                  <a:graphicData uri="http://schemas.microsoft.com/office/word/2010/wordprocessingShape">
                    <wps:wsp>
                      <wps:cNvPr id="163" name="Graphic 163"/>
                      <wps:cNvSpPr/>
                      <wps:spPr>
                        <a:xfrm>
                          <a:off x="0" y="0"/>
                          <a:ext cx="792480" cy="1270"/>
                        </a:xfrm>
                        <a:custGeom>
                          <a:avLst/>
                          <a:gdLst/>
                          <a:ahLst/>
                          <a:cxnLst/>
                          <a:rect l="l" t="t" r="r" b="b"/>
                          <a:pathLst>
                            <a:path w="792480" h="0">
                              <a:moveTo>
                                <a:pt x="0" y="0"/>
                              </a:moveTo>
                              <a:lnTo>
                                <a:pt x="791997"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shape style="position:absolute;margin-left:68.031502pt;margin-top:10.15706pt;width:62.4pt;height:.1pt;mso-position-horizontal-relative:page;mso-position-vertical-relative:paragraph;z-index:-15678464;mso-wrap-distance-left:0;mso-wrap-distance-right:0" id="docshape135" coordorigin="1361,203" coordsize="1248,0" path="m1361,203l2608,203e" filled="false" stroked="true" strokeweight=".5pt" strokecolor="#231f20">
                <v:path arrowok="t"/>
                <v:stroke dashstyle="solid"/>
                <w10:wrap type="topAndBottom"/>
              </v:shape>
            </w:pict>
          </mc:Fallback>
        </mc:AlternateContent>
      </w:r>
    </w:p>
    <w:p>
      <w:pPr>
        <w:spacing w:line="235" w:lineRule="exact" w:before="190"/>
        <w:ind w:left="100" w:right="0" w:firstLine="0"/>
        <w:jc w:val="both"/>
        <w:rPr>
          <w:sz w:val="19"/>
        </w:rPr>
      </w:pPr>
      <w:r>
        <w:rPr>
          <w:color w:val="231F20"/>
          <w:position w:val="6"/>
          <w:sz w:val="11"/>
        </w:rPr>
        <w:t>116</w:t>
      </w:r>
      <w:r>
        <w:rPr>
          <w:color w:val="231F20"/>
          <w:spacing w:val="66"/>
          <w:w w:val="150"/>
          <w:position w:val="6"/>
          <w:sz w:val="11"/>
        </w:rPr>
        <w:t> </w:t>
      </w:r>
      <w:r>
        <w:rPr>
          <w:color w:val="231F20"/>
          <w:sz w:val="19"/>
        </w:rPr>
        <w:t>Corte giust. UE, ult. cit., punti da</w:t>
      </w:r>
      <w:r>
        <w:rPr>
          <w:color w:val="231F20"/>
          <w:spacing w:val="1"/>
          <w:sz w:val="19"/>
        </w:rPr>
        <w:t> </w:t>
      </w:r>
      <w:r>
        <w:rPr>
          <w:color w:val="231F20"/>
          <w:sz w:val="19"/>
        </w:rPr>
        <w:t>60 a </w:t>
      </w:r>
      <w:r>
        <w:rPr>
          <w:color w:val="231F20"/>
          <w:spacing w:val="-5"/>
          <w:sz w:val="19"/>
        </w:rPr>
        <w:t>65.</w:t>
      </w:r>
    </w:p>
    <w:p>
      <w:pPr>
        <w:spacing w:line="228" w:lineRule="exact" w:before="0"/>
        <w:ind w:left="100" w:right="0" w:firstLine="0"/>
        <w:jc w:val="both"/>
        <w:rPr>
          <w:sz w:val="19"/>
        </w:rPr>
      </w:pPr>
      <w:r>
        <w:rPr>
          <w:color w:val="231F20"/>
          <w:position w:val="6"/>
          <w:sz w:val="11"/>
        </w:rPr>
        <w:t>117</w:t>
      </w:r>
      <w:r>
        <w:rPr>
          <w:color w:val="231F20"/>
          <w:spacing w:val="74"/>
          <w:position w:val="6"/>
          <w:sz w:val="11"/>
        </w:rPr>
        <w:t> </w:t>
      </w:r>
      <w:r>
        <w:rPr>
          <w:color w:val="231F20"/>
          <w:sz w:val="19"/>
        </w:rPr>
        <w:t>Così</w:t>
      </w:r>
      <w:r>
        <w:rPr>
          <w:color w:val="231F20"/>
          <w:spacing w:val="-2"/>
          <w:sz w:val="19"/>
        </w:rPr>
        <w:t> </w:t>
      </w:r>
      <w:r>
        <w:rPr>
          <w:color w:val="231F20"/>
          <w:sz w:val="19"/>
        </w:rPr>
        <w:t>come</w:t>
      </w:r>
      <w:r>
        <w:rPr>
          <w:color w:val="231F20"/>
          <w:spacing w:val="-3"/>
          <w:sz w:val="19"/>
        </w:rPr>
        <w:t> </w:t>
      </w:r>
      <w:r>
        <w:rPr>
          <w:color w:val="231F20"/>
          <w:sz w:val="19"/>
        </w:rPr>
        <w:t>espressamente</w:t>
      </w:r>
      <w:r>
        <w:rPr>
          <w:color w:val="231F20"/>
          <w:spacing w:val="-2"/>
          <w:sz w:val="19"/>
        </w:rPr>
        <w:t> </w:t>
      </w:r>
      <w:r>
        <w:rPr>
          <w:color w:val="231F20"/>
          <w:sz w:val="19"/>
        </w:rPr>
        <w:t>previsto</w:t>
      </w:r>
      <w:r>
        <w:rPr>
          <w:color w:val="231F20"/>
          <w:spacing w:val="-2"/>
          <w:sz w:val="19"/>
        </w:rPr>
        <w:t> </w:t>
      </w:r>
      <w:r>
        <w:rPr>
          <w:color w:val="231F20"/>
          <w:sz w:val="19"/>
        </w:rPr>
        <w:t>dall’art.</w:t>
      </w:r>
      <w:r>
        <w:rPr>
          <w:color w:val="231F20"/>
          <w:spacing w:val="-3"/>
          <w:sz w:val="19"/>
        </w:rPr>
        <w:t> </w:t>
      </w:r>
      <w:r>
        <w:rPr>
          <w:color w:val="231F20"/>
          <w:sz w:val="19"/>
        </w:rPr>
        <w:t>8</w:t>
      </w:r>
      <w:r>
        <w:rPr>
          <w:color w:val="231F20"/>
          <w:spacing w:val="-2"/>
          <w:sz w:val="19"/>
        </w:rPr>
        <w:t> </w:t>
      </w:r>
      <w:r>
        <w:rPr>
          <w:color w:val="231F20"/>
          <w:sz w:val="19"/>
        </w:rPr>
        <w:t>bis</w:t>
      </w:r>
      <w:r>
        <w:rPr>
          <w:color w:val="231F20"/>
          <w:spacing w:val="-3"/>
          <w:sz w:val="19"/>
        </w:rPr>
        <w:t> </w:t>
      </w:r>
      <w:r>
        <w:rPr>
          <w:color w:val="231F20"/>
          <w:sz w:val="19"/>
        </w:rPr>
        <w:t>ter,</w:t>
      </w:r>
      <w:r>
        <w:rPr>
          <w:color w:val="231F20"/>
          <w:spacing w:val="-2"/>
          <w:sz w:val="19"/>
        </w:rPr>
        <w:t> </w:t>
      </w:r>
      <w:r>
        <w:rPr>
          <w:color w:val="231F20"/>
          <w:sz w:val="19"/>
        </w:rPr>
        <w:t>par.</w:t>
      </w:r>
      <w:r>
        <w:rPr>
          <w:color w:val="231F20"/>
          <w:spacing w:val="-2"/>
          <w:sz w:val="19"/>
        </w:rPr>
        <w:t> </w:t>
      </w:r>
      <w:r>
        <w:rPr>
          <w:color w:val="231F20"/>
          <w:sz w:val="19"/>
        </w:rPr>
        <w:t>1,</w:t>
      </w:r>
      <w:r>
        <w:rPr>
          <w:color w:val="231F20"/>
          <w:spacing w:val="-3"/>
          <w:sz w:val="19"/>
        </w:rPr>
        <w:t> </w:t>
      </w:r>
      <w:r>
        <w:rPr>
          <w:color w:val="231F20"/>
          <w:sz w:val="19"/>
        </w:rPr>
        <w:t>della</w:t>
      </w:r>
      <w:r>
        <w:rPr>
          <w:color w:val="231F20"/>
          <w:spacing w:val="-2"/>
          <w:sz w:val="19"/>
        </w:rPr>
        <w:t> </w:t>
      </w:r>
      <w:r>
        <w:rPr>
          <w:color w:val="231F20"/>
          <w:sz w:val="19"/>
        </w:rPr>
        <w:t>direttiva</w:t>
      </w:r>
      <w:r>
        <w:rPr>
          <w:color w:val="231F20"/>
          <w:spacing w:val="-2"/>
          <w:sz w:val="19"/>
        </w:rPr>
        <w:t> 2011/16/UE.</w:t>
      </w:r>
    </w:p>
    <w:p>
      <w:pPr>
        <w:spacing w:line="225" w:lineRule="auto" w:before="4"/>
        <w:ind w:left="100" w:right="175" w:firstLine="0"/>
        <w:jc w:val="both"/>
        <w:rPr>
          <w:sz w:val="19"/>
        </w:rPr>
      </w:pPr>
      <w:r>
        <w:rPr>
          <w:color w:val="231F20"/>
          <w:position w:val="6"/>
          <w:sz w:val="11"/>
        </w:rPr>
        <w:t>118</w:t>
      </w:r>
      <w:r>
        <w:rPr>
          <w:color w:val="231F20"/>
          <w:spacing w:val="40"/>
          <w:position w:val="6"/>
          <w:sz w:val="11"/>
        </w:rPr>
        <w:t> </w:t>
      </w:r>
      <w:r>
        <w:rPr>
          <w:color w:val="231F20"/>
          <w:sz w:val="19"/>
        </w:rPr>
        <w:t>Direttiva 2023/2226/UE del Consiglio del 17 ottobre 2023, «recante modifica </w:t>
      </w:r>
      <w:r>
        <w:rPr>
          <w:color w:val="231F20"/>
          <w:sz w:val="19"/>
        </w:rPr>
        <w:t>della direttiva 2011/16/UE relativa alla cooperazione amministrativa nel settore fiscale» (c.d. DAC 8) (GUUE L del 24.10.2023).</w:t>
      </w:r>
    </w:p>
    <w:p>
      <w:pPr>
        <w:spacing w:after="0" w:line="225" w:lineRule="auto"/>
        <w:jc w:val="both"/>
        <w:rPr>
          <w:sz w:val="19"/>
        </w:rPr>
        <w:sectPr>
          <w:pgSz w:w="9640" w:h="13610"/>
          <w:pgMar w:header="0" w:footer="625" w:top="1260" w:bottom="820" w:left="1260" w:right="1240"/>
        </w:sectPr>
      </w:pPr>
    </w:p>
    <w:p>
      <w:pPr>
        <w:pStyle w:val="BodyText"/>
        <w:spacing w:line="225" w:lineRule="auto" w:before="117"/>
        <w:ind w:left="157" w:right="117"/>
        <w:jc w:val="both"/>
      </w:pPr>
      <w:r>
        <w:rPr/>
        <mc:AlternateContent>
          <mc:Choice Requires="wps">
            <w:drawing>
              <wp:anchor distT="0" distB="0" distL="0" distR="0" allowOverlap="1" layoutInCell="1" locked="0" behindDoc="0" simplePos="0" relativeHeight="15779840">
                <wp:simplePos x="0" y="0"/>
                <wp:positionH relativeFrom="page">
                  <wp:posOffset>5608609</wp:posOffset>
                </wp:positionH>
                <wp:positionV relativeFrom="page">
                  <wp:posOffset>2376001</wp:posOffset>
                </wp:positionV>
                <wp:extent cx="511809" cy="2412365"/>
                <wp:effectExtent l="0" t="0" r="0" b="0"/>
                <wp:wrapNone/>
                <wp:docPr id="164" name="Group 164"/>
                <wp:cNvGraphicFramePr>
                  <a:graphicFrameLocks/>
                </wp:cNvGraphicFramePr>
                <a:graphic>
                  <a:graphicData uri="http://schemas.microsoft.com/office/word/2010/wordprocessingGroup">
                    <wpg:wgp>
                      <wpg:cNvPr id="164" name="Group 164"/>
                      <wpg:cNvGrpSpPr/>
                      <wpg:grpSpPr>
                        <a:xfrm>
                          <a:off x="0" y="0"/>
                          <a:ext cx="511809" cy="2412365"/>
                          <a:chExt cx="511809" cy="2412365"/>
                        </a:xfrm>
                      </wpg:grpSpPr>
                      <wps:wsp>
                        <wps:cNvPr id="165" name="Graphic 165"/>
                        <wps:cNvSpPr/>
                        <wps:spPr>
                          <a:xfrm>
                            <a:off x="7393" y="3"/>
                            <a:ext cx="504190" cy="360045"/>
                          </a:xfrm>
                          <a:custGeom>
                            <a:avLst/>
                            <a:gdLst/>
                            <a:ahLst/>
                            <a:cxnLst/>
                            <a:rect l="l" t="t" r="r" b="b"/>
                            <a:pathLst>
                              <a:path w="504190" h="360045">
                                <a:moveTo>
                                  <a:pt x="503999" y="0"/>
                                </a:moveTo>
                                <a:lnTo>
                                  <a:pt x="0" y="0"/>
                                </a:lnTo>
                                <a:lnTo>
                                  <a:pt x="0" y="359994"/>
                                </a:lnTo>
                                <a:lnTo>
                                  <a:pt x="503999" y="359994"/>
                                </a:lnTo>
                                <a:lnTo>
                                  <a:pt x="503999" y="0"/>
                                </a:lnTo>
                                <a:close/>
                              </a:path>
                            </a:pathLst>
                          </a:custGeom>
                          <a:solidFill>
                            <a:srgbClr val="939598"/>
                          </a:solidFill>
                        </wps:spPr>
                        <wps:bodyPr wrap="square" lIns="0" tIns="0" rIns="0" bIns="0" rtlCol="0">
                          <a:prstTxWarp prst="textNoShape">
                            <a:avLst/>
                          </a:prstTxWarp>
                          <a:noAutofit/>
                        </wps:bodyPr>
                      </wps:wsp>
                      <wps:wsp>
                        <wps:cNvPr id="166" name="Graphic 166"/>
                        <wps:cNvSpPr/>
                        <wps:spPr>
                          <a:xfrm>
                            <a:off x="6350" y="0"/>
                            <a:ext cx="1270" cy="2412365"/>
                          </a:xfrm>
                          <a:custGeom>
                            <a:avLst/>
                            <a:gdLst/>
                            <a:ahLst/>
                            <a:cxnLst/>
                            <a:rect l="l" t="t" r="r" b="b"/>
                            <a:pathLst>
                              <a:path w="0" h="2412365">
                                <a:moveTo>
                                  <a:pt x="0" y="0"/>
                                </a:moveTo>
                                <a:lnTo>
                                  <a:pt x="0" y="2411996"/>
                                </a:lnTo>
                              </a:path>
                            </a:pathLst>
                          </a:custGeom>
                          <a:ln w="12700">
                            <a:solidFill>
                              <a:srgbClr val="939598"/>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441.622803pt;margin-top:187.0867pt;width:40.3pt;height:189.95pt;mso-position-horizontal-relative:page;mso-position-vertical-relative:page;z-index:15779840" id="docshapegroup136" coordorigin="8832,3742" coordsize="806,3799">
                <v:rect style="position:absolute;left:8844;top:3741;width:794;height:567" id="docshape137" filled="true" fillcolor="#939598" stroked="false">
                  <v:fill type="solid"/>
                </v:rect>
                <v:line style="position:absolute" from="8842,3742" to="8842,7540" stroked="true" strokeweight="1pt" strokecolor="#939598">
                  <v:stroke dashstyle="solid"/>
                </v:line>
                <w10:wrap type="none"/>
              </v:group>
            </w:pict>
          </mc:Fallback>
        </mc:AlternateContent>
      </w:r>
      <w:r>
        <w:rPr/>
        <mc:AlternateContent>
          <mc:Choice Requires="wps">
            <w:drawing>
              <wp:anchor distT="0" distB="0" distL="0" distR="0" allowOverlap="1" layoutInCell="1" locked="0" behindDoc="0" simplePos="0" relativeHeight="15780352">
                <wp:simplePos x="0" y="0"/>
                <wp:positionH relativeFrom="page">
                  <wp:posOffset>5635147</wp:posOffset>
                </wp:positionH>
                <wp:positionV relativeFrom="page">
                  <wp:posOffset>2795300</wp:posOffset>
                </wp:positionV>
                <wp:extent cx="299720" cy="1995805"/>
                <wp:effectExtent l="0" t="0" r="0" b="0"/>
                <wp:wrapNone/>
                <wp:docPr id="167" name="Textbox 167"/>
                <wp:cNvGraphicFramePr>
                  <a:graphicFrameLocks/>
                </wp:cNvGraphicFramePr>
                <a:graphic>
                  <a:graphicData uri="http://schemas.microsoft.com/office/word/2010/wordprocessingShape">
                    <wps:wsp>
                      <wps:cNvPr id="167" name="Textbox 167"/>
                      <wps:cNvSpPr txBox="1"/>
                      <wps:spPr>
                        <a:xfrm>
                          <a:off x="0" y="0"/>
                          <a:ext cx="299720" cy="1995805"/>
                        </a:xfrm>
                        <a:prstGeom prst="rect">
                          <a:avLst/>
                        </a:prstGeom>
                      </wps:spPr>
                      <wps:txbx>
                        <w:txbxContent>
                          <w:p>
                            <w:pPr>
                              <w:spacing w:before="20"/>
                              <w:ind w:left="20" w:right="0" w:firstLine="0"/>
                              <w:jc w:val="left"/>
                              <w:rPr>
                                <w:rFonts w:ascii="Minion Pro"/>
                                <w:sz w:val="32"/>
                              </w:rPr>
                            </w:pPr>
                            <w:r>
                              <w:rPr>
                                <w:rFonts w:ascii="Minion Pro"/>
                                <w:color w:val="231F20"/>
                                <w:sz w:val="32"/>
                              </w:rPr>
                              <w:t>Commented</w:t>
                            </w:r>
                            <w:r>
                              <w:rPr>
                                <w:rFonts w:ascii="Minion Pro"/>
                                <w:color w:val="231F20"/>
                                <w:spacing w:val="-10"/>
                                <w:sz w:val="32"/>
                              </w:rPr>
                              <w:t> </w:t>
                            </w:r>
                            <w:r>
                              <w:rPr>
                                <w:rFonts w:ascii="Minion Pro"/>
                                <w:color w:val="231F20"/>
                                <w:spacing w:val="-2"/>
                                <w:sz w:val="32"/>
                              </w:rPr>
                              <w:t>documents</w:t>
                            </w:r>
                          </w:p>
                        </w:txbxContent>
                      </wps:txbx>
                      <wps:bodyPr wrap="square" lIns="0" tIns="0" rIns="0" bIns="0" rtlCol="0" vert="vert">
                        <a:noAutofit/>
                      </wps:bodyPr>
                    </wps:wsp>
                  </a:graphicData>
                </a:graphic>
              </wp:anchor>
            </w:drawing>
          </mc:Choice>
          <mc:Fallback>
            <w:pict>
              <v:shape style="position:absolute;margin-left:443.712402pt;margin-top:220.102402pt;width:23.6pt;height:157.15pt;mso-position-horizontal-relative:page;mso-position-vertical-relative:page;z-index:15780352" type="#_x0000_t202" id="docshape138" filled="false" stroked="false">
                <v:textbox inset="0,0,0,0" style="layout-flow:vertical">
                  <w:txbxContent>
                    <w:p>
                      <w:pPr>
                        <w:spacing w:before="20"/>
                        <w:ind w:left="20" w:right="0" w:firstLine="0"/>
                        <w:jc w:val="left"/>
                        <w:rPr>
                          <w:rFonts w:ascii="Minion Pro"/>
                          <w:sz w:val="32"/>
                        </w:rPr>
                      </w:pPr>
                      <w:r>
                        <w:rPr>
                          <w:rFonts w:ascii="Minion Pro"/>
                          <w:color w:val="231F20"/>
                          <w:sz w:val="32"/>
                        </w:rPr>
                        <w:t>Commented</w:t>
                      </w:r>
                      <w:r>
                        <w:rPr>
                          <w:rFonts w:ascii="Minion Pro"/>
                          <w:color w:val="231F20"/>
                          <w:spacing w:val="-10"/>
                          <w:sz w:val="32"/>
                        </w:rPr>
                        <w:t> </w:t>
                      </w:r>
                      <w:r>
                        <w:rPr>
                          <w:rFonts w:ascii="Minion Pro"/>
                          <w:color w:val="231F20"/>
                          <w:spacing w:val="-2"/>
                          <w:sz w:val="32"/>
                        </w:rPr>
                        <w:t>documents</w:t>
                      </w:r>
                    </w:p>
                  </w:txbxContent>
                </v:textbox>
                <w10:wrap type="none"/>
              </v:shape>
            </w:pict>
          </mc:Fallback>
        </mc:AlternateContent>
      </w:r>
      <w:r>
        <w:rPr>
          <w:color w:val="231F20"/>
        </w:rPr>
        <w:t>vincolato al segreto professionale sulla base del diritto nazionale e </w:t>
      </w:r>
      <w:r>
        <w:rPr>
          <w:color w:val="231F20"/>
        </w:rPr>
        <w:t>quindi esentato dall’obbligo di comunicazione all’amministrazione del meccani- smo</w:t>
      </w:r>
      <w:r>
        <w:rPr>
          <w:color w:val="231F20"/>
          <w:spacing w:val="-8"/>
        </w:rPr>
        <w:t> </w:t>
      </w:r>
      <w:r>
        <w:rPr>
          <w:color w:val="231F20"/>
        </w:rPr>
        <w:t>transfrontaliero,</w:t>
      </w:r>
      <w:r>
        <w:rPr>
          <w:color w:val="231F20"/>
          <w:spacing w:val="-8"/>
        </w:rPr>
        <w:t> </w:t>
      </w:r>
      <w:r>
        <w:rPr>
          <w:color w:val="231F20"/>
        </w:rPr>
        <w:t>non</w:t>
      </w:r>
      <w:r>
        <w:rPr>
          <w:color w:val="231F20"/>
          <w:spacing w:val="-8"/>
        </w:rPr>
        <w:t> </w:t>
      </w:r>
      <w:r>
        <w:rPr>
          <w:color w:val="231F20"/>
        </w:rPr>
        <w:t>è</w:t>
      </w:r>
      <w:r>
        <w:rPr>
          <w:color w:val="231F20"/>
          <w:spacing w:val="-8"/>
        </w:rPr>
        <w:t> </w:t>
      </w:r>
      <w:r>
        <w:rPr>
          <w:color w:val="231F20"/>
        </w:rPr>
        <w:t>più</w:t>
      </w:r>
      <w:r>
        <w:rPr>
          <w:color w:val="231F20"/>
          <w:spacing w:val="-8"/>
        </w:rPr>
        <w:t> </w:t>
      </w:r>
      <w:r>
        <w:rPr>
          <w:color w:val="231F20"/>
        </w:rPr>
        <w:t>obbligato</w:t>
      </w:r>
      <w:r>
        <w:rPr>
          <w:color w:val="231F20"/>
          <w:spacing w:val="-8"/>
        </w:rPr>
        <w:t> </w:t>
      </w:r>
      <w:r>
        <w:rPr>
          <w:color w:val="231F20"/>
        </w:rPr>
        <w:t>a</w:t>
      </w:r>
      <w:r>
        <w:rPr>
          <w:color w:val="231F20"/>
          <w:spacing w:val="-8"/>
        </w:rPr>
        <w:t> </w:t>
      </w:r>
      <w:r>
        <w:rPr>
          <w:color w:val="231F20"/>
        </w:rPr>
        <w:t>notificare</w:t>
      </w:r>
      <w:r>
        <w:rPr>
          <w:color w:val="231F20"/>
          <w:spacing w:val="-8"/>
        </w:rPr>
        <w:t> </w:t>
      </w:r>
      <w:r>
        <w:rPr>
          <w:color w:val="231F20"/>
        </w:rPr>
        <w:t>ad</w:t>
      </w:r>
      <w:r>
        <w:rPr>
          <w:color w:val="231F20"/>
          <w:spacing w:val="-8"/>
        </w:rPr>
        <w:t> </w:t>
      </w:r>
      <w:r>
        <w:rPr>
          <w:color w:val="231F20"/>
        </w:rPr>
        <w:t>un</w:t>
      </w:r>
      <w:r>
        <w:rPr>
          <w:color w:val="231F20"/>
          <w:spacing w:val="-8"/>
        </w:rPr>
        <w:t> </w:t>
      </w:r>
      <w:r>
        <w:rPr>
          <w:color w:val="231F20"/>
        </w:rPr>
        <w:t>eventuale</w:t>
      </w:r>
      <w:r>
        <w:rPr>
          <w:color w:val="231F20"/>
          <w:spacing w:val="-8"/>
        </w:rPr>
        <w:t> </w:t>
      </w:r>
      <w:r>
        <w:rPr>
          <w:color w:val="231F20"/>
        </w:rPr>
        <w:t>altro intermediario</w:t>
      </w:r>
      <w:r>
        <w:rPr>
          <w:color w:val="231F20"/>
          <w:spacing w:val="-5"/>
        </w:rPr>
        <w:t> </w:t>
      </w:r>
      <w:r>
        <w:rPr>
          <w:color w:val="231F20"/>
        </w:rPr>
        <w:t>i</w:t>
      </w:r>
      <w:r>
        <w:rPr>
          <w:color w:val="231F20"/>
          <w:spacing w:val="-5"/>
        </w:rPr>
        <w:t> </w:t>
      </w:r>
      <w:r>
        <w:rPr>
          <w:color w:val="231F20"/>
        </w:rPr>
        <w:t>propri</w:t>
      </w:r>
      <w:r>
        <w:rPr>
          <w:color w:val="231F20"/>
          <w:spacing w:val="-5"/>
        </w:rPr>
        <w:t> </w:t>
      </w:r>
      <w:r>
        <w:rPr>
          <w:color w:val="231F20"/>
        </w:rPr>
        <w:t>obblighi</w:t>
      </w:r>
      <w:r>
        <w:rPr>
          <w:color w:val="231F20"/>
          <w:spacing w:val="-5"/>
        </w:rPr>
        <w:t> </w:t>
      </w:r>
      <w:r>
        <w:rPr>
          <w:color w:val="231F20"/>
        </w:rPr>
        <w:t>di</w:t>
      </w:r>
      <w:r>
        <w:rPr>
          <w:color w:val="231F20"/>
          <w:spacing w:val="-5"/>
        </w:rPr>
        <w:t> </w:t>
      </w:r>
      <w:r>
        <w:rPr>
          <w:color w:val="231F20"/>
        </w:rPr>
        <w:t>comunicazione,</w:t>
      </w:r>
      <w:r>
        <w:rPr>
          <w:color w:val="231F20"/>
          <w:spacing w:val="-5"/>
        </w:rPr>
        <w:t> </w:t>
      </w:r>
      <w:r>
        <w:rPr>
          <w:color w:val="231F20"/>
        </w:rPr>
        <w:t>ma</w:t>
      </w:r>
      <w:r>
        <w:rPr>
          <w:color w:val="231F20"/>
          <w:spacing w:val="-5"/>
        </w:rPr>
        <w:t> </w:t>
      </w:r>
      <w:r>
        <w:rPr>
          <w:color w:val="231F20"/>
        </w:rPr>
        <w:t>è</w:t>
      </w:r>
      <w:r>
        <w:rPr>
          <w:color w:val="231F20"/>
          <w:spacing w:val="-5"/>
        </w:rPr>
        <w:t> </w:t>
      </w:r>
      <w:r>
        <w:rPr>
          <w:color w:val="231F20"/>
        </w:rPr>
        <w:t>tenuto</w:t>
      </w:r>
      <w:r>
        <w:rPr>
          <w:color w:val="231F20"/>
          <w:spacing w:val="-5"/>
        </w:rPr>
        <w:t> </w:t>
      </w:r>
      <w:r>
        <w:rPr>
          <w:color w:val="231F20"/>
        </w:rPr>
        <w:t>a</w:t>
      </w:r>
      <w:r>
        <w:rPr>
          <w:color w:val="231F20"/>
          <w:spacing w:val="-5"/>
        </w:rPr>
        <w:t> </w:t>
      </w:r>
      <w:r>
        <w:rPr>
          <w:color w:val="231F20"/>
        </w:rPr>
        <w:t>notificare tali medesimi obblighi unicamente al proprio cliente.</w:t>
      </w:r>
    </w:p>
    <w:p>
      <w:pPr>
        <w:pStyle w:val="BodyText"/>
        <w:spacing w:before="148"/>
      </w:pPr>
    </w:p>
    <w:p>
      <w:pPr>
        <w:pStyle w:val="ListParagraph"/>
        <w:numPr>
          <w:ilvl w:val="1"/>
          <w:numId w:val="4"/>
        </w:numPr>
        <w:tabs>
          <w:tab w:pos="583" w:val="left" w:leader="none"/>
        </w:tabs>
        <w:spacing w:line="240" w:lineRule="auto" w:before="0" w:after="0"/>
        <w:ind w:left="583" w:right="0" w:hanging="426"/>
        <w:jc w:val="left"/>
        <w:rPr>
          <w:b/>
          <w:sz w:val="24"/>
        </w:rPr>
      </w:pPr>
      <w:r>
        <w:rPr>
          <w:b/>
          <w:color w:val="231F20"/>
          <w:sz w:val="24"/>
        </w:rPr>
        <w:t>La</w:t>
      </w:r>
      <w:r>
        <w:rPr>
          <w:b/>
          <w:color w:val="231F20"/>
          <w:spacing w:val="-1"/>
          <w:sz w:val="24"/>
        </w:rPr>
        <w:t> </w:t>
      </w:r>
      <w:r>
        <w:rPr>
          <w:b/>
          <w:color w:val="231F20"/>
          <w:sz w:val="24"/>
        </w:rPr>
        <w:t>sentenza del 29 luglio</w:t>
      </w:r>
      <w:r>
        <w:rPr>
          <w:b/>
          <w:color w:val="231F20"/>
          <w:spacing w:val="-1"/>
          <w:sz w:val="24"/>
        </w:rPr>
        <w:t> </w:t>
      </w:r>
      <w:r>
        <w:rPr>
          <w:b/>
          <w:color w:val="231F20"/>
          <w:sz w:val="24"/>
        </w:rPr>
        <w:t>2024, C-623/22, Belgian </w:t>
      </w:r>
      <w:r>
        <w:rPr>
          <w:b/>
          <w:color w:val="231F20"/>
          <w:spacing w:val="-2"/>
          <w:sz w:val="24"/>
        </w:rPr>
        <w:t>Association</w:t>
      </w:r>
    </w:p>
    <w:p>
      <w:pPr>
        <w:pStyle w:val="BodyText"/>
        <w:spacing w:line="244" w:lineRule="auto" w:before="6"/>
        <w:ind w:left="157" w:right="118"/>
        <w:jc w:val="both"/>
        <w:rPr>
          <w:b/>
        </w:rPr>
      </w:pPr>
      <w:r>
        <w:rPr>
          <w:b/>
          <w:color w:val="231F20"/>
        </w:rPr>
        <w:t>of</w:t>
      </w:r>
      <w:r>
        <w:rPr>
          <w:b/>
          <w:color w:val="231F20"/>
          <w:spacing w:val="-2"/>
        </w:rPr>
        <w:t> </w:t>
      </w:r>
      <w:r>
        <w:rPr>
          <w:b/>
          <w:color w:val="231F20"/>
        </w:rPr>
        <w:t>Tax</w:t>
      </w:r>
      <w:r>
        <w:rPr>
          <w:b/>
          <w:color w:val="231F20"/>
          <w:spacing w:val="-9"/>
        </w:rPr>
        <w:t> </w:t>
      </w:r>
      <w:r>
        <w:rPr>
          <w:b/>
          <w:color w:val="231F20"/>
        </w:rPr>
        <w:t>Lawyers</w:t>
      </w:r>
      <w:r>
        <w:rPr>
          <w:b/>
          <w:color w:val="231F20"/>
          <w:spacing w:val="-9"/>
        </w:rPr>
        <w:t> </w:t>
      </w:r>
      <w:r>
        <w:rPr>
          <w:b/>
          <w:color w:val="231F20"/>
        </w:rPr>
        <w:t>contro</w:t>
      </w:r>
      <w:r>
        <w:rPr>
          <w:b/>
          <w:color w:val="231F20"/>
          <w:spacing w:val="-9"/>
        </w:rPr>
        <w:t> </w:t>
      </w:r>
      <w:r>
        <w:rPr>
          <w:b/>
          <w:color w:val="231F20"/>
        </w:rPr>
        <w:t>Primo</w:t>
      </w:r>
      <w:r>
        <w:rPr>
          <w:b/>
          <w:color w:val="231F20"/>
          <w:spacing w:val="-9"/>
        </w:rPr>
        <w:t> </w:t>
      </w:r>
      <w:r>
        <w:rPr>
          <w:b/>
          <w:color w:val="231F20"/>
        </w:rPr>
        <w:t>ministro:</w:t>
      </w:r>
      <w:r>
        <w:rPr>
          <w:b/>
          <w:color w:val="231F20"/>
          <w:spacing w:val="-9"/>
        </w:rPr>
        <w:t> </w:t>
      </w:r>
      <w:r>
        <w:rPr>
          <w:b/>
          <w:color w:val="231F20"/>
        </w:rPr>
        <w:t>la</w:t>
      </w:r>
      <w:r>
        <w:rPr>
          <w:b/>
          <w:color w:val="231F20"/>
          <w:spacing w:val="-9"/>
        </w:rPr>
        <w:t> </w:t>
      </w:r>
      <w:r>
        <w:rPr>
          <w:b/>
          <w:color w:val="231F20"/>
        </w:rPr>
        <w:t>tutela</w:t>
      </w:r>
      <w:r>
        <w:rPr>
          <w:b/>
          <w:color w:val="231F20"/>
          <w:spacing w:val="-9"/>
        </w:rPr>
        <w:t> </w:t>
      </w:r>
      <w:r>
        <w:rPr>
          <w:b/>
          <w:color w:val="231F20"/>
        </w:rPr>
        <w:t>del</w:t>
      </w:r>
      <w:r>
        <w:rPr>
          <w:b/>
          <w:color w:val="231F20"/>
          <w:spacing w:val="-9"/>
        </w:rPr>
        <w:t> </w:t>
      </w:r>
      <w:r>
        <w:rPr>
          <w:b/>
          <w:color w:val="231F20"/>
        </w:rPr>
        <w:t>diritto</w:t>
      </w:r>
      <w:r>
        <w:rPr>
          <w:b/>
          <w:color w:val="231F20"/>
          <w:spacing w:val="-9"/>
        </w:rPr>
        <w:t> </w:t>
      </w:r>
      <w:r>
        <w:rPr>
          <w:b/>
          <w:color w:val="231F20"/>
        </w:rPr>
        <w:t>fondamentale al rispetto della vita privata</w:t>
      </w:r>
    </w:p>
    <w:p>
      <w:pPr>
        <w:pStyle w:val="BodyText"/>
        <w:spacing w:line="225" w:lineRule="auto" w:before="263"/>
        <w:ind w:left="157" w:right="116"/>
        <w:jc w:val="both"/>
      </w:pPr>
      <w:r>
        <w:rPr>
          <w:color w:val="231F20"/>
        </w:rPr>
        <w:t>Sulla</w:t>
      </w:r>
      <w:r>
        <w:rPr>
          <w:color w:val="231F20"/>
          <w:spacing w:val="-11"/>
        </w:rPr>
        <w:t> </w:t>
      </w:r>
      <w:r>
        <w:rPr>
          <w:color w:val="231F20"/>
        </w:rPr>
        <w:t>scia</w:t>
      </w:r>
      <w:r>
        <w:rPr>
          <w:color w:val="231F20"/>
          <w:spacing w:val="-11"/>
        </w:rPr>
        <w:t> </w:t>
      </w:r>
      <w:r>
        <w:rPr>
          <w:color w:val="231F20"/>
        </w:rPr>
        <w:t>della</w:t>
      </w:r>
      <w:r>
        <w:rPr>
          <w:color w:val="231F20"/>
          <w:spacing w:val="-11"/>
        </w:rPr>
        <w:t> </w:t>
      </w:r>
      <w:r>
        <w:rPr>
          <w:color w:val="231F20"/>
        </w:rPr>
        <w:t>sentenza</w:t>
      </w:r>
      <w:r>
        <w:rPr>
          <w:color w:val="231F20"/>
          <w:spacing w:val="-11"/>
        </w:rPr>
        <w:t> </w:t>
      </w:r>
      <w:r>
        <w:rPr>
          <w:color w:val="231F20"/>
        </w:rPr>
        <w:t>C-694/20</w:t>
      </w:r>
      <w:r>
        <w:rPr>
          <w:color w:val="231F20"/>
          <w:spacing w:val="-11"/>
        </w:rPr>
        <w:t> </w:t>
      </w:r>
      <w:r>
        <w:rPr>
          <w:color w:val="231F20"/>
        </w:rPr>
        <w:t>Ordine</w:t>
      </w:r>
      <w:r>
        <w:rPr>
          <w:color w:val="231F20"/>
          <w:spacing w:val="-11"/>
        </w:rPr>
        <w:t> </w:t>
      </w:r>
      <w:r>
        <w:rPr>
          <w:color w:val="231F20"/>
        </w:rPr>
        <w:t>degli</w:t>
      </w:r>
      <w:r>
        <w:rPr>
          <w:color w:val="231F20"/>
          <w:spacing w:val="-11"/>
        </w:rPr>
        <w:t> </w:t>
      </w:r>
      <w:r>
        <w:rPr>
          <w:color w:val="231F20"/>
        </w:rPr>
        <w:t>avvocati</w:t>
      </w:r>
      <w:r>
        <w:rPr>
          <w:color w:val="231F20"/>
          <w:spacing w:val="-11"/>
        </w:rPr>
        <w:t> </w:t>
      </w:r>
      <w:r>
        <w:rPr>
          <w:color w:val="231F20"/>
        </w:rPr>
        <w:t>di</w:t>
      </w:r>
      <w:r>
        <w:rPr>
          <w:color w:val="231F20"/>
          <w:spacing w:val="-11"/>
        </w:rPr>
        <w:t> </w:t>
      </w:r>
      <w:r>
        <w:rPr>
          <w:color w:val="231F20"/>
        </w:rPr>
        <w:t>Fiandra</w:t>
      </w:r>
      <w:r>
        <w:rPr>
          <w:color w:val="231F20"/>
          <w:spacing w:val="-11"/>
        </w:rPr>
        <w:t> </w:t>
      </w:r>
      <w:r>
        <w:rPr>
          <w:color w:val="231F20"/>
        </w:rPr>
        <w:t>la</w:t>
      </w:r>
      <w:r>
        <w:rPr>
          <w:color w:val="231F20"/>
          <w:spacing w:val="-11"/>
        </w:rPr>
        <w:t> </w:t>
      </w:r>
      <w:r>
        <w:rPr>
          <w:color w:val="231F20"/>
        </w:rPr>
        <w:t>Cor- te</w:t>
      </w:r>
      <w:r>
        <w:rPr>
          <w:color w:val="231F20"/>
          <w:spacing w:val="-1"/>
        </w:rPr>
        <w:t> </w:t>
      </w:r>
      <w:r>
        <w:rPr>
          <w:color w:val="231F20"/>
        </w:rPr>
        <w:t>costituzionale</w:t>
      </w:r>
      <w:r>
        <w:rPr>
          <w:color w:val="231F20"/>
          <w:spacing w:val="-1"/>
        </w:rPr>
        <w:t> </w:t>
      </w:r>
      <w:r>
        <w:rPr>
          <w:color w:val="231F20"/>
        </w:rPr>
        <w:t>del</w:t>
      </w:r>
      <w:r>
        <w:rPr>
          <w:color w:val="231F20"/>
          <w:spacing w:val="-1"/>
        </w:rPr>
        <w:t> </w:t>
      </w:r>
      <w:r>
        <w:rPr>
          <w:color w:val="231F20"/>
        </w:rPr>
        <w:t>Belgio</w:t>
      </w:r>
      <w:r>
        <w:rPr>
          <w:color w:val="231F20"/>
          <w:spacing w:val="-1"/>
        </w:rPr>
        <w:t> </w:t>
      </w:r>
      <w:r>
        <w:rPr>
          <w:color w:val="231F20"/>
        </w:rPr>
        <w:t>ha</w:t>
      </w:r>
      <w:r>
        <w:rPr>
          <w:color w:val="231F20"/>
          <w:spacing w:val="-1"/>
        </w:rPr>
        <w:t> </w:t>
      </w:r>
      <w:r>
        <w:rPr>
          <w:color w:val="231F20"/>
        </w:rPr>
        <w:t>posto</w:t>
      </w:r>
      <w:r>
        <w:rPr>
          <w:color w:val="231F20"/>
          <w:spacing w:val="-1"/>
        </w:rPr>
        <w:t> </w:t>
      </w:r>
      <w:r>
        <w:rPr>
          <w:color w:val="231F20"/>
        </w:rPr>
        <w:t>alla</w:t>
      </w:r>
      <w:r>
        <w:rPr>
          <w:color w:val="231F20"/>
          <w:spacing w:val="-1"/>
        </w:rPr>
        <w:t> </w:t>
      </w:r>
      <w:r>
        <w:rPr>
          <w:color w:val="231F20"/>
        </w:rPr>
        <w:t>Corte</w:t>
      </w:r>
      <w:r>
        <w:rPr>
          <w:color w:val="231F20"/>
          <w:spacing w:val="-1"/>
        </w:rPr>
        <w:t> </w:t>
      </w:r>
      <w:r>
        <w:rPr>
          <w:color w:val="231F20"/>
        </w:rPr>
        <w:t>di</w:t>
      </w:r>
      <w:r>
        <w:rPr>
          <w:color w:val="231F20"/>
          <w:spacing w:val="-1"/>
        </w:rPr>
        <w:t> </w:t>
      </w:r>
      <w:r>
        <w:rPr>
          <w:color w:val="231F20"/>
        </w:rPr>
        <w:t>giustizia</w:t>
      </w:r>
      <w:r>
        <w:rPr>
          <w:color w:val="231F20"/>
          <w:spacing w:val="-1"/>
        </w:rPr>
        <w:t> </w:t>
      </w:r>
      <w:r>
        <w:rPr>
          <w:color w:val="231F20"/>
        </w:rPr>
        <w:t>un’altra</w:t>
      </w:r>
      <w:r>
        <w:rPr>
          <w:color w:val="231F20"/>
          <w:spacing w:val="-1"/>
        </w:rPr>
        <w:t> </w:t>
      </w:r>
      <w:r>
        <w:rPr>
          <w:color w:val="231F20"/>
        </w:rPr>
        <w:t>serie</w:t>
      </w:r>
      <w:r>
        <w:rPr>
          <w:color w:val="231F20"/>
          <w:spacing w:val="-1"/>
        </w:rPr>
        <w:t> </w:t>
      </w:r>
      <w:r>
        <w:rPr>
          <w:color w:val="231F20"/>
        </w:rPr>
        <w:t>di quesiti riguardanti anch’essi la validità di varie disposizioni della direttiva (UE) 2011/16</w:t>
      </w:r>
      <w:r>
        <w:rPr>
          <w:rFonts w:ascii="Times New Roman" w:hAnsi="Times New Roman"/>
          <w:color w:val="231F20"/>
          <w:position w:val="8"/>
          <w:sz w:val="14"/>
        </w:rPr>
        <w:t>119</w:t>
      </w:r>
      <w:r>
        <w:rPr>
          <w:color w:val="231F20"/>
        </w:rPr>
        <w:t>. Anche in questo caso varie associazioni di avvocati - </w:t>
      </w:r>
      <w:r>
        <w:rPr>
          <w:i/>
          <w:color w:val="231F20"/>
        </w:rPr>
        <w:t>in</w:t>
      </w:r>
      <w:r>
        <w:rPr>
          <w:i/>
          <w:color w:val="231F20"/>
        </w:rPr>
        <w:t> primis </w:t>
      </w:r>
      <w:r>
        <w:rPr>
          <w:color w:val="231F20"/>
        </w:rPr>
        <w:t>l’associazione belga degli avvocati tributaristi - avevano impugnato dinanzi alla Corte costituzionale alcune disposizioni della L. 20 dicembre 2019 che aveva recepito in diritto belga la direttiva (UE) 2018/822 c.d. DAC</w:t>
      </w:r>
      <w:r>
        <w:rPr>
          <w:color w:val="231F20"/>
          <w:spacing w:val="-3"/>
        </w:rPr>
        <w:t> </w:t>
      </w:r>
      <w:r>
        <w:rPr>
          <w:color w:val="231F20"/>
        </w:rPr>
        <w:t>6.</w:t>
      </w:r>
      <w:r>
        <w:rPr>
          <w:color w:val="231F20"/>
          <w:spacing w:val="-3"/>
        </w:rPr>
        <w:t> </w:t>
      </w:r>
      <w:r>
        <w:rPr>
          <w:color w:val="231F20"/>
        </w:rPr>
        <w:t>Al</w:t>
      </w:r>
      <w:r>
        <w:rPr>
          <w:color w:val="231F20"/>
          <w:spacing w:val="-3"/>
        </w:rPr>
        <w:t> </w:t>
      </w:r>
      <w:r>
        <w:rPr>
          <w:color w:val="231F20"/>
        </w:rPr>
        <w:t>fine</w:t>
      </w:r>
      <w:r>
        <w:rPr>
          <w:color w:val="231F20"/>
          <w:spacing w:val="-3"/>
        </w:rPr>
        <w:t> </w:t>
      </w:r>
      <w:r>
        <w:rPr>
          <w:color w:val="231F20"/>
        </w:rPr>
        <w:t>di</w:t>
      </w:r>
      <w:r>
        <w:rPr>
          <w:color w:val="231F20"/>
          <w:spacing w:val="-3"/>
        </w:rPr>
        <w:t> </w:t>
      </w:r>
      <w:r>
        <w:rPr>
          <w:color w:val="231F20"/>
        </w:rPr>
        <w:t>decidere</w:t>
      </w:r>
      <w:r>
        <w:rPr>
          <w:color w:val="231F20"/>
          <w:spacing w:val="-3"/>
        </w:rPr>
        <w:t> </w:t>
      </w:r>
      <w:r>
        <w:rPr>
          <w:color w:val="231F20"/>
        </w:rPr>
        <w:t>su</w:t>
      </w:r>
      <w:r>
        <w:rPr>
          <w:color w:val="231F20"/>
          <w:spacing w:val="-3"/>
        </w:rPr>
        <w:t> </w:t>
      </w:r>
      <w:r>
        <w:rPr>
          <w:color w:val="231F20"/>
        </w:rPr>
        <w:t>tali</w:t>
      </w:r>
      <w:r>
        <w:rPr>
          <w:color w:val="231F20"/>
          <w:spacing w:val="-3"/>
        </w:rPr>
        <w:t> </w:t>
      </w:r>
      <w:r>
        <w:rPr>
          <w:color w:val="231F20"/>
        </w:rPr>
        <w:t>ricorsi</w:t>
      </w:r>
      <w:r>
        <w:rPr>
          <w:color w:val="231F20"/>
          <w:spacing w:val="-3"/>
        </w:rPr>
        <w:t> </w:t>
      </w:r>
      <w:r>
        <w:rPr>
          <w:color w:val="231F20"/>
        </w:rPr>
        <w:t>la</w:t>
      </w:r>
      <w:r>
        <w:rPr>
          <w:color w:val="231F20"/>
          <w:spacing w:val="-3"/>
        </w:rPr>
        <w:t> </w:t>
      </w:r>
      <w:r>
        <w:rPr>
          <w:color w:val="231F20"/>
        </w:rPr>
        <w:t>Corte</w:t>
      </w:r>
      <w:r>
        <w:rPr>
          <w:color w:val="231F20"/>
          <w:spacing w:val="-3"/>
        </w:rPr>
        <w:t> </w:t>
      </w:r>
      <w:r>
        <w:rPr>
          <w:color w:val="231F20"/>
        </w:rPr>
        <w:t>costituzionale</w:t>
      </w:r>
      <w:r>
        <w:rPr>
          <w:color w:val="231F20"/>
          <w:spacing w:val="-3"/>
        </w:rPr>
        <w:t> </w:t>
      </w:r>
      <w:r>
        <w:rPr>
          <w:color w:val="231F20"/>
        </w:rPr>
        <w:t>del</w:t>
      </w:r>
      <w:r>
        <w:rPr>
          <w:color w:val="231F20"/>
          <w:spacing w:val="-3"/>
        </w:rPr>
        <w:t> </w:t>
      </w:r>
      <w:r>
        <w:rPr>
          <w:color w:val="231F20"/>
        </w:rPr>
        <w:t>Belgio ha chiesto alla Corte di giustizia di pronunciarsi sulla validità di varie di- sposizioni della direttiva (UE) 2011/16 c.d. DAC 1 così come modificata dalla precitata direttiva DAC 6. Le prime due questioni di validità aveva- no ad oggetto rispettivamente una presunta discriminazione, in relazione dall’obbligo di comunicazione all’amministrazione finanziaria dei mecca- nismi di pianificazione fiscale aggressiva, fra imposta sulle società ed altre imposte,</w:t>
      </w:r>
      <w:r>
        <w:rPr>
          <w:color w:val="231F20"/>
          <w:spacing w:val="-5"/>
        </w:rPr>
        <w:t> </w:t>
      </w:r>
      <w:r>
        <w:rPr>
          <w:color w:val="231F20"/>
        </w:rPr>
        <w:t>ed</w:t>
      </w:r>
      <w:r>
        <w:rPr>
          <w:color w:val="231F20"/>
          <w:spacing w:val="-5"/>
        </w:rPr>
        <w:t> </w:t>
      </w:r>
      <w:r>
        <w:rPr>
          <w:color w:val="231F20"/>
        </w:rPr>
        <w:t>una</w:t>
      </w:r>
      <w:r>
        <w:rPr>
          <w:color w:val="231F20"/>
          <w:spacing w:val="-5"/>
        </w:rPr>
        <w:t> </w:t>
      </w:r>
      <w:r>
        <w:rPr>
          <w:color w:val="231F20"/>
        </w:rPr>
        <w:t>presunta</w:t>
      </w:r>
      <w:r>
        <w:rPr>
          <w:color w:val="231F20"/>
          <w:spacing w:val="-5"/>
        </w:rPr>
        <w:t> </w:t>
      </w:r>
      <w:r>
        <w:rPr>
          <w:color w:val="231F20"/>
        </w:rPr>
        <w:t>mancanza</w:t>
      </w:r>
      <w:r>
        <w:rPr>
          <w:color w:val="231F20"/>
          <w:spacing w:val="-5"/>
        </w:rPr>
        <w:t> </w:t>
      </w:r>
      <w:r>
        <w:rPr>
          <w:color w:val="231F20"/>
        </w:rPr>
        <w:t>di</w:t>
      </w:r>
      <w:r>
        <w:rPr>
          <w:color w:val="231F20"/>
          <w:spacing w:val="-5"/>
        </w:rPr>
        <w:t> </w:t>
      </w:r>
      <w:r>
        <w:rPr>
          <w:color w:val="231F20"/>
        </w:rPr>
        <w:t>precisione</w:t>
      </w:r>
      <w:r>
        <w:rPr>
          <w:color w:val="231F20"/>
          <w:spacing w:val="-5"/>
        </w:rPr>
        <w:t> </w:t>
      </w:r>
      <w:r>
        <w:rPr>
          <w:color w:val="231F20"/>
        </w:rPr>
        <w:t>di</w:t>
      </w:r>
      <w:r>
        <w:rPr>
          <w:color w:val="231F20"/>
          <w:spacing w:val="-5"/>
        </w:rPr>
        <w:t> </w:t>
      </w:r>
      <w:r>
        <w:rPr>
          <w:color w:val="231F20"/>
        </w:rPr>
        <w:t>alcuni</w:t>
      </w:r>
      <w:r>
        <w:rPr>
          <w:color w:val="231F20"/>
          <w:spacing w:val="-5"/>
        </w:rPr>
        <w:t> </w:t>
      </w:r>
      <w:r>
        <w:rPr>
          <w:color w:val="231F20"/>
        </w:rPr>
        <w:t>concetti-chiave della direttiva, in particolare del concetto di «meccanismo transfrontalie- ro» di pianificazione fiscale, in relazione al principio di legalità in materia penale</w:t>
      </w:r>
      <w:r>
        <w:rPr>
          <w:color w:val="231F20"/>
          <w:spacing w:val="-8"/>
        </w:rPr>
        <w:t> </w:t>
      </w:r>
      <w:r>
        <w:rPr>
          <w:color w:val="231F20"/>
        </w:rPr>
        <w:t>sancito</w:t>
      </w:r>
      <w:r>
        <w:rPr>
          <w:color w:val="231F20"/>
          <w:spacing w:val="-8"/>
        </w:rPr>
        <w:t> </w:t>
      </w:r>
      <w:r>
        <w:rPr>
          <w:color w:val="231F20"/>
        </w:rPr>
        <w:t>dall’art.</w:t>
      </w:r>
      <w:r>
        <w:rPr>
          <w:color w:val="231F20"/>
          <w:spacing w:val="-8"/>
        </w:rPr>
        <w:t> </w:t>
      </w:r>
      <w:r>
        <w:rPr>
          <w:color w:val="231F20"/>
        </w:rPr>
        <w:t>49,</w:t>
      </w:r>
      <w:r>
        <w:rPr>
          <w:color w:val="231F20"/>
          <w:spacing w:val="-8"/>
        </w:rPr>
        <w:t> </w:t>
      </w:r>
      <w:r>
        <w:rPr>
          <w:color w:val="231F20"/>
        </w:rPr>
        <w:t>par.</w:t>
      </w:r>
      <w:r>
        <w:rPr>
          <w:color w:val="231F20"/>
          <w:spacing w:val="-8"/>
        </w:rPr>
        <w:t> </w:t>
      </w:r>
      <w:r>
        <w:rPr>
          <w:color w:val="231F20"/>
        </w:rPr>
        <w:t>1,</w:t>
      </w:r>
      <w:r>
        <w:rPr>
          <w:color w:val="231F20"/>
          <w:spacing w:val="-8"/>
        </w:rPr>
        <w:t> </w:t>
      </w:r>
      <w:r>
        <w:rPr>
          <w:color w:val="231F20"/>
        </w:rPr>
        <w:t>della</w:t>
      </w:r>
      <w:r>
        <w:rPr>
          <w:color w:val="231F20"/>
          <w:spacing w:val="-8"/>
        </w:rPr>
        <w:t> </w:t>
      </w:r>
      <w:r>
        <w:rPr>
          <w:color w:val="231F20"/>
        </w:rPr>
        <w:t>Carta</w:t>
      </w:r>
      <w:r>
        <w:rPr>
          <w:color w:val="231F20"/>
          <w:spacing w:val="-8"/>
        </w:rPr>
        <w:t> </w:t>
      </w:r>
      <w:r>
        <w:rPr>
          <w:color w:val="231F20"/>
        </w:rPr>
        <w:t>dei</w:t>
      </w:r>
      <w:r>
        <w:rPr>
          <w:color w:val="231F20"/>
          <w:spacing w:val="-8"/>
        </w:rPr>
        <w:t> </w:t>
      </w:r>
      <w:r>
        <w:rPr>
          <w:color w:val="231F20"/>
        </w:rPr>
        <w:t>diritti</w:t>
      </w:r>
      <w:r>
        <w:rPr>
          <w:color w:val="231F20"/>
          <w:spacing w:val="-8"/>
        </w:rPr>
        <w:t> </w:t>
      </w:r>
      <w:r>
        <w:rPr>
          <w:color w:val="231F20"/>
        </w:rPr>
        <w:t>fondamentali.</w:t>
      </w:r>
      <w:r>
        <w:rPr>
          <w:color w:val="231F20"/>
          <w:spacing w:val="-8"/>
        </w:rPr>
        <w:t> </w:t>
      </w:r>
      <w:r>
        <w:rPr>
          <w:color w:val="231F20"/>
        </w:rPr>
        <w:t>Con una motivazione fin troppo dettagliata rispetto allo scarso fondamento di tali questioni di validità, la Corte di giustizia ha affermato che le disposi- zioni contestate della direttiva non risultavano affatto in contrasto con i principi</w:t>
      </w:r>
      <w:r>
        <w:rPr>
          <w:color w:val="231F20"/>
          <w:spacing w:val="-5"/>
        </w:rPr>
        <w:t> </w:t>
      </w:r>
      <w:r>
        <w:rPr>
          <w:color w:val="231F20"/>
        </w:rPr>
        <w:t>generali</w:t>
      </w:r>
      <w:r>
        <w:rPr>
          <w:color w:val="231F20"/>
          <w:spacing w:val="-5"/>
        </w:rPr>
        <w:t> </w:t>
      </w:r>
      <w:r>
        <w:rPr>
          <w:color w:val="231F20"/>
        </w:rPr>
        <w:t>della</w:t>
      </w:r>
      <w:r>
        <w:rPr>
          <w:color w:val="231F20"/>
          <w:spacing w:val="-5"/>
        </w:rPr>
        <w:t> </w:t>
      </w:r>
      <w:r>
        <w:rPr>
          <w:color w:val="231F20"/>
        </w:rPr>
        <w:t>Carta</w:t>
      </w:r>
      <w:r>
        <w:rPr>
          <w:color w:val="231F20"/>
          <w:spacing w:val="-5"/>
        </w:rPr>
        <w:t> </w:t>
      </w:r>
      <w:r>
        <w:rPr>
          <w:color w:val="231F20"/>
        </w:rPr>
        <w:t>dei</w:t>
      </w:r>
      <w:r>
        <w:rPr>
          <w:color w:val="231F20"/>
          <w:spacing w:val="-5"/>
        </w:rPr>
        <w:t> </w:t>
      </w:r>
      <w:r>
        <w:rPr>
          <w:color w:val="231F20"/>
        </w:rPr>
        <w:t>diritti</w:t>
      </w:r>
      <w:r>
        <w:rPr>
          <w:color w:val="231F20"/>
          <w:spacing w:val="-5"/>
        </w:rPr>
        <w:t> </w:t>
      </w:r>
      <w:r>
        <w:rPr>
          <w:color w:val="231F20"/>
        </w:rPr>
        <w:t>fondamentali</w:t>
      </w:r>
      <w:r>
        <w:rPr>
          <w:color w:val="231F20"/>
          <w:spacing w:val="-5"/>
        </w:rPr>
        <w:t> </w:t>
      </w:r>
      <w:r>
        <w:rPr>
          <w:color w:val="231F20"/>
        </w:rPr>
        <w:t>invocati</w:t>
      </w:r>
      <w:r>
        <w:rPr>
          <w:color w:val="231F20"/>
          <w:spacing w:val="-5"/>
        </w:rPr>
        <w:t> </w:t>
      </w:r>
      <w:r>
        <w:rPr>
          <w:color w:val="231F20"/>
        </w:rPr>
        <w:t>dai</w:t>
      </w:r>
      <w:r>
        <w:rPr>
          <w:color w:val="231F20"/>
          <w:spacing w:val="-5"/>
        </w:rPr>
        <w:t> </w:t>
      </w:r>
      <w:r>
        <w:rPr>
          <w:color w:val="231F20"/>
        </w:rPr>
        <w:t>ricorrenti nei processi </w:t>
      </w:r>
      <w:r>
        <w:rPr>
          <w:i/>
          <w:color w:val="231F20"/>
        </w:rPr>
        <w:t>a quo</w:t>
      </w:r>
      <w:r>
        <w:rPr>
          <w:color w:val="231F20"/>
        </w:rPr>
        <w:t>.</w:t>
      </w:r>
    </w:p>
    <w:p>
      <w:pPr>
        <w:pStyle w:val="BodyText"/>
        <w:spacing w:before="35"/>
        <w:rPr>
          <w:sz w:val="20"/>
        </w:rPr>
      </w:pPr>
      <w:r>
        <w:rPr/>
        <mc:AlternateContent>
          <mc:Choice Requires="wps">
            <w:drawing>
              <wp:anchor distT="0" distB="0" distL="0" distR="0" allowOverlap="1" layoutInCell="1" locked="0" behindDoc="1" simplePos="0" relativeHeight="487638528">
                <wp:simplePos x="0" y="0"/>
                <wp:positionH relativeFrom="page">
                  <wp:posOffset>899999</wp:posOffset>
                </wp:positionH>
                <wp:positionV relativeFrom="paragraph">
                  <wp:posOffset>199077</wp:posOffset>
                </wp:positionV>
                <wp:extent cx="792480" cy="1270"/>
                <wp:effectExtent l="0" t="0" r="0" b="0"/>
                <wp:wrapTopAndBottom/>
                <wp:docPr id="168" name="Graphic 168"/>
                <wp:cNvGraphicFramePr>
                  <a:graphicFrameLocks/>
                </wp:cNvGraphicFramePr>
                <a:graphic>
                  <a:graphicData uri="http://schemas.microsoft.com/office/word/2010/wordprocessingShape">
                    <wps:wsp>
                      <wps:cNvPr id="168" name="Graphic 168"/>
                      <wps:cNvSpPr/>
                      <wps:spPr>
                        <a:xfrm>
                          <a:off x="0" y="0"/>
                          <a:ext cx="792480" cy="1270"/>
                        </a:xfrm>
                        <a:custGeom>
                          <a:avLst/>
                          <a:gdLst/>
                          <a:ahLst/>
                          <a:cxnLst/>
                          <a:rect l="l" t="t" r="r" b="b"/>
                          <a:pathLst>
                            <a:path w="792480" h="0">
                              <a:moveTo>
                                <a:pt x="0" y="0"/>
                              </a:moveTo>
                              <a:lnTo>
                                <a:pt x="791997"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shape style="position:absolute;margin-left:70.866096pt;margin-top:15.67536pt;width:62.4pt;height:.1pt;mso-position-horizontal-relative:page;mso-position-vertical-relative:paragraph;z-index:-15677952;mso-wrap-distance-left:0;mso-wrap-distance-right:0" id="docshape139" coordorigin="1417,314" coordsize="1248,0" path="m1417,314l2665,314e" filled="false" stroked="true" strokeweight=".5pt" strokecolor="#231f20">
                <v:path arrowok="t"/>
                <v:stroke dashstyle="solid"/>
                <w10:wrap type="topAndBottom"/>
              </v:shape>
            </w:pict>
          </mc:Fallback>
        </mc:AlternateContent>
      </w:r>
    </w:p>
    <w:p>
      <w:pPr>
        <w:spacing w:line="225" w:lineRule="auto" w:before="201"/>
        <w:ind w:left="157" w:right="118" w:firstLine="0"/>
        <w:jc w:val="both"/>
        <w:rPr>
          <w:sz w:val="19"/>
        </w:rPr>
      </w:pPr>
      <w:r>
        <w:rPr>
          <w:color w:val="231F20"/>
          <w:position w:val="6"/>
          <w:sz w:val="11"/>
        </w:rPr>
        <w:t>119</w:t>
      </w:r>
      <w:r>
        <w:rPr>
          <w:color w:val="231F20"/>
          <w:spacing w:val="40"/>
          <w:position w:val="6"/>
          <w:sz w:val="11"/>
        </w:rPr>
        <w:t> </w:t>
      </w:r>
      <w:r>
        <w:rPr>
          <w:color w:val="231F20"/>
          <w:sz w:val="19"/>
        </w:rPr>
        <w:t>Corte Giust. UE, sent. del 29 luglio 2024, C-623/22, </w:t>
      </w:r>
      <w:r>
        <w:rPr>
          <w:i/>
          <w:color w:val="231F20"/>
          <w:sz w:val="19"/>
        </w:rPr>
        <w:t>Belgian Association of Tax Lawyers</w:t>
      </w:r>
      <w:r>
        <w:rPr>
          <w:i/>
          <w:color w:val="231F20"/>
          <w:sz w:val="19"/>
        </w:rPr>
        <w:t> contro</w:t>
      </w:r>
      <w:r>
        <w:rPr>
          <w:i/>
          <w:color w:val="231F20"/>
          <w:spacing w:val="-1"/>
          <w:sz w:val="19"/>
        </w:rPr>
        <w:t> </w:t>
      </w:r>
      <w:r>
        <w:rPr>
          <w:i/>
          <w:color w:val="231F20"/>
          <w:sz w:val="19"/>
        </w:rPr>
        <w:t>Primo</w:t>
      </w:r>
      <w:r>
        <w:rPr>
          <w:i/>
          <w:color w:val="231F20"/>
          <w:spacing w:val="-1"/>
          <w:sz w:val="19"/>
        </w:rPr>
        <w:t> </w:t>
      </w:r>
      <w:r>
        <w:rPr>
          <w:i/>
          <w:color w:val="231F20"/>
          <w:sz w:val="19"/>
        </w:rPr>
        <w:t>ministro</w:t>
      </w:r>
      <w:r>
        <w:rPr>
          <w:color w:val="231F20"/>
          <w:sz w:val="19"/>
        </w:rPr>
        <w:t>.</w:t>
      </w:r>
      <w:r>
        <w:rPr>
          <w:color w:val="231F20"/>
          <w:spacing w:val="-1"/>
          <w:sz w:val="19"/>
        </w:rPr>
        <w:t> </w:t>
      </w:r>
      <w:r>
        <w:rPr>
          <w:color w:val="231F20"/>
          <w:sz w:val="19"/>
        </w:rPr>
        <w:t>Per</w:t>
      </w:r>
      <w:r>
        <w:rPr>
          <w:color w:val="231F20"/>
          <w:spacing w:val="-1"/>
          <w:sz w:val="19"/>
        </w:rPr>
        <w:t> </w:t>
      </w:r>
      <w:r>
        <w:rPr>
          <w:color w:val="231F20"/>
          <w:sz w:val="19"/>
        </w:rPr>
        <w:t>un</w:t>
      </w:r>
      <w:r>
        <w:rPr>
          <w:color w:val="231F20"/>
          <w:spacing w:val="-1"/>
          <w:sz w:val="19"/>
        </w:rPr>
        <w:t> </w:t>
      </w:r>
      <w:r>
        <w:rPr>
          <w:color w:val="231F20"/>
          <w:sz w:val="19"/>
        </w:rPr>
        <w:t>primo</w:t>
      </w:r>
      <w:r>
        <w:rPr>
          <w:color w:val="231F20"/>
          <w:spacing w:val="-1"/>
          <w:sz w:val="19"/>
        </w:rPr>
        <w:t> </w:t>
      </w:r>
      <w:r>
        <w:rPr>
          <w:color w:val="231F20"/>
          <w:sz w:val="19"/>
        </w:rPr>
        <w:t>commento:</w:t>
      </w:r>
      <w:r>
        <w:rPr>
          <w:color w:val="231F20"/>
          <w:spacing w:val="-1"/>
          <w:sz w:val="19"/>
        </w:rPr>
        <w:t> </w:t>
      </w:r>
      <w:r>
        <w:rPr>
          <w:color w:val="231F20"/>
          <w:sz w:val="19"/>
        </w:rPr>
        <w:t>P.J.</w:t>
      </w:r>
      <w:r>
        <w:rPr>
          <w:color w:val="231F20"/>
          <w:spacing w:val="-3"/>
          <w:sz w:val="19"/>
        </w:rPr>
        <w:t> </w:t>
      </w:r>
      <w:r>
        <w:rPr>
          <w:color w:val="231F20"/>
          <w:sz w:val="19"/>
        </w:rPr>
        <w:t>Wouters,</w:t>
      </w:r>
      <w:r>
        <w:rPr>
          <w:color w:val="231F20"/>
          <w:spacing w:val="-1"/>
          <w:sz w:val="19"/>
        </w:rPr>
        <w:t> </w:t>
      </w:r>
      <w:r>
        <w:rPr>
          <w:i/>
          <w:color w:val="231F20"/>
          <w:sz w:val="19"/>
        </w:rPr>
        <w:t>Mandatory</w:t>
      </w:r>
      <w:r>
        <w:rPr>
          <w:i/>
          <w:color w:val="231F20"/>
          <w:spacing w:val="-1"/>
          <w:sz w:val="19"/>
        </w:rPr>
        <w:t> </w:t>
      </w:r>
      <w:r>
        <w:rPr>
          <w:i/>
          <w:color w:val="231F20"/>
          <w:sz w:val="19"/>
        </w:rPr>
        <w:t>disclosure</w:t>
      </w:r>
      <w:r>
        <w:rPr>
          <w:i/>
          <w:color w:val="231F20"/>
          <w:spacing w:val="-1"/>
          <w:sz w:val="19"/>
        </w:rPr>
        <w:t> </w:t>
      </w:r>
      <w:r>
        <w:rPr>
          <w:i/>
          <w:color w:val="231F20"/>
          <w:sz w:val="19"/>
        </w:rPr>
        <w:t>regime</w:t>
      </w:r>
      <w:r>
        <w:rPr>
          <w:i/>
          <w:color w:val="231F20"/>
          <w:spacing w:val="-1"/>
          <w:sz w:val="19"/>
        </w:rPr>
        <w:t> </w:t>
      </w:r>
      <w:r>
        <w:rPr>
          <w:i/>
          <w:color w:val="231F20"/>
          <w:sz w:val="19"/>
        </w:rPr>
        <w:t>for</w:t>
      </w:r>
      <w:r>
        <w:rPr>
          <w:i/>
          <w:color w:val="231F20"/>
          <w:sz w:val="19"/>
        </w:rPr>
        <w:t> cross border tax planning arrangements (DAC 6): ECJ confirms compatibility with EU Law</w:t>
      </w:r>
      <w:r>
        <w:rPr>
          <w:color w:val="231F20"/>
          <w:sz w:val="19"/>
        </w:rPr>
        <w:t>, in </w:t>
      </w:r>
      <w:r>
        <w:rPr>
          <w:i/>
          <w:color w:val="231F20"/>
          <w:sz w:val="19"/>
        </w:rPr>
        <w:t>Eur. Tax.</w:t>
      </w:r>
      <w:r>
        <w:rPr>
          <w:color w:val="231F20"/>
          <w:sz w:val="19"/>
        </w:rPr>
        <w:t>, 2022, 4.</w:t>
      </w:r>
    </w:p>
    <w:p>
      <w:pPr>
        <w:spacing w:after="0" w:line="225" w:lineRule="auto"/>
        <w:jc w:val="both"/>
        <w:rPr>
          <w:sz w:val="19"/>
        </w:rPr>
        <w:sectPr>
          <w:pgSz w:w="9640" w:h="13610"/>
          <w:pgMar w:header="0" w:footer="625" w:top="1260" w:bottom="820" w:left="1260" w:right="1240"/>
        </w:sectPr>
      </w:pPr>
    </w:p>
    <w:p>
      <w:pPr>
        <w:pStyle w:val="ListParagraph"/>
        <w:numPr>
          <w:ilvl w:val="2"/>
          <w:numId w:val="4"/>
        </w:numPr>
        <w:tabs>
          <w:tab w:pos="700" w:val="left" w:leader="none"/>
        </w:tabs>
        <w:spacing w:line="230" w:lineRule="auto" w:before="113" w:after="0"/>
        <w:ind w:left="100" w:right="317" w:firstLine="0"/>
        <w:jc w:val="left"/>
        <w:rPr>
          <w:i/>
          <w:sz w:val="24"/>
        </w:rPr>
      </w:pPr>
      <w:r>
        <w:rPr>
          <w:i/>
          <w:color w:val="231F20"/>
          <w:sz w:val="24"/>
        </w:rPr>
        <w:t>La</w:t>
      </w:r>
      <w:r>
        <w:rPr>
          <w:i/>
          <w:color w:val="231F20"/>
          <w:spacing w:val="-5"/>
          <w:sz w:val="24"/>
        </w:rPr>
        <w:t> </w:t>
      </w:r>
      <w:r>
        <w:rPr>
          <w:i/>
          <w:color w:val="231F20"/>
          <w:sz w:val="24"/>
        </w:rPr>
        <w:t>tutela</w:t>
      </w:r>
      <w:r>
        <w:rPr>
          <w:i/>
          <w:color w:val="231F20"/>
          <w:spacing w:val="-5"/>
          <w:sz w:val="24"/>
        </w:rPr>
        <w:t> </w:t>
      </w:r>
      <w:r>
        <w:rPr>
          <w:i/>
          <w:color w:val="231F20"/>
          <w:sz w:val="24"/>
        </w:rPr>
        <w:t>del</w:t>
      </w:r>
      <w:r>
        <w:rPr>
          <w:i/>
          <w:color w:val="231F20"/>
          <w:spacing w:val="-5"/>
          <w:sz w:val="24"/>
        </w:rPr>
        <w:t> </w:t>
      </w:r>
      <w:r>
        <w:rPr>
          <w:i/>
          <w:color w:val="231F20"/>
          <w:sz w:val="24"/>
        </w:rPr>
        <w:t>segreto</w:t>
      </w:r>
      <w:r>
        <w:rPr>
          <w:i/>
          <w:color w:val="231F20"/>
          <w:spacing w:val="-5"/>
          <w:sz w:val="24"/>
        </w:rPr>
        <w:t> </w:t>
      </w:r>
      <w:r>
        <w:rPr>
          <w:i/>
          <w:color w:val="231F20"/>
          <w:sz w:val="24"/>
        </w:rPr>
        <w:t>professionale</w:t>
      </w:r>
      <w:r>
        <w:rPr>
          <w:i/>
          <w:color w:val="231F20"/>
          <w:spacing w:val="-5"/>
          <w:sz w:val="24"/>
        </w:rPr>
        <w:t> </w:t>
      </w:r>
      <w:r>
        <w:rPr>
          <w:i/>
          <w:color w:val="231F20"/>
          <w:sz w:val="24"/>
        </w:rPr>
        <w:t>è</w:t>
      </w:r>
      <w:r>
        <w:rPr>
          <w:i/>
          <w:color w:val="231F20"/>
          <w:spacing w:val="-5"/>
          <w:sz w:val="24"/>
        </w:rPr>
        <w:t> </w:t>
      </w:r>
      <w:r>
        <w:rPr>
          <w:i/>
          <w:color w:val="231F20"/>
          <w:sz w:val="24"/>
        </w:rPr>
        <w:t>più</w:t>
      </w:r>
      <w:r>
        <w:rPr>
          <w:i/>
          <w:color w:val="231F20"/>
          <w:spacing w:val="-5"/>
          <w:sz w:val="24"/>
        </w:rPr>
        <w:t> </w:t>
      </w:r>
      <w:r>
        <w:rPr>
          <w:i/>
          <w:color w:val="231F20"/>
          <w:sz w:val="24"/>
        </w:rPr>
        <w:t>limitata</w:t>
      </w:r>
      <w:r>
        <w:rPr>
          <w:i/>
          <w:color w:val="231F20"/>
          <w:spacing w:val="-5"/>
          <w:sz w:val="24"/>
        </w:rPr>
        <w:t> </w:t>
      </w:r>
      <w:r>
        <w:rPr>
          <w:i/>
          <w:color w:val="231F20"/>
          <w:sz w:val="24"/>
        </w:rPr>
        <w:t>per</w:t>
      </w:r>
      <w:r>
        <w:rPr>
          <w:i/>
          <w:color w:val="231F20"/>
          <w:spacing w:val="-5"/>
          <w:sz w:val="24"/>
        </w:rPr>
        <w:t> </w:t>
      </w:r>
      <w:r>
        <w:rPr>
          <w:i/>
          <w:color w:val="231F20"/>
          <w:sz w:val="24"/>
        </w:rPr>
        <w:t>i</w:t>
      </w:r>
      <w:r>
        <w:rPr>
          <w:i/>
          <w:color w:val="231F20"/>
          <w:spacing w:val="-5"/>
          <w:sz w:val="24"/>
        </w:rPr>
        <w:t> </w:t>
      </w:r>
      <w:r>
        <w:rPr>
          <w:i/>
          <w:color w:val="231F20"/>
          <w:sz w:val="24"/>
        </w:rPr>
        <w:t>consulenti</w:t>
      </w:r>
      <w:r>
        <w:rPr>
          <w:i/>
          <w:color w:val="231F20"/>
          <w:spacing w:val="-5"/>
          <w:sz w:val="24"/>
        </w:rPr>
        <w:t> </w:t>
      </w:r>
      <w:r>
        <w:rPr>
          <w:i/>
          <w:color w:val="231F20"/>
          <w:sz w:val="24"/>
        </w:rPr>
        <w:t>fiscali</w:t>
      </w:r>
      <w:r>
        <w:rPr>
          <w:i/>
          <w:color w:val="231F20"/>
          <w:sz w:val="24"/>
        </w:rPr>
        <w:t> che non sono avvocati</w:t>
      </w:r>
    </w:p>
    <w:p>
      <w:pPr>
        <w:pStyle w:val="BodyText"/>
        <w:spacing w:line="225" w:lineRule="auto" w:before="172"/>
        <w:ind w:left="100" w:right="174"/>
        <w:jc w:val="both"/>
      </w:pPr>
      <w:r>
        <w:rPr>
          <w:color w:val="231F20"/>
        </w:rPr>
        <w:t>Certamente più interessante si prospetta il terzo quesito posto dalla Corte costituzionale belga in quanto in sostanza detto giudice di rinvio ha </w:t>
      </w:r>
      <w:r>
        <w:rPr>
          <w:color w:val="231F20"/>
        </w:rPr>
        <w:t>chie- sto alla Corte di giustizia di interpretare la propria sentenza C-694/20 al fine di precisare il campo di applicazione della dichiarazione di invalidità del precitato art. 8 </w:t>
      </w:r>
      <w:r>
        <w:rPr>
          <w:i/>
          <w:color w:val="231F20"/>
        </w:rPr>
        <w:t>bis ter</w:t>
      </w:r>
      <w:r>
        <w:rPr>
          <w:color w:val="231F20"/>
        </w:rPr>
        <w:t>, par. 5, esaminata al precedente punto 2.4.1. Tale problema interpretativo si era posto in relazione agli «intermediari» non avvocati – quali ad esempio i consulenti tributari, i notai, i revisori dei</w:t>
      </w:r>
      <w:r>
        <w:rPr>
          <w:color w:val="231F20"/>
          <w:spacing w:val="26"/>
        </w:rPr>
        <w:t> </w:t>
      </w:r>
      <w:r>
        <w:rPr>
          <w:color w:val="231F20"/>
        </w:rPr>
        <w:t>conti</w:t>
      </w:r>
      <w:r>
        <w:rPr>
          <w:color w:val="231F20"/>
          <w:spacing w:val="26"/>
        </w:rPr>
        <w:t> </w:t>
      </w:r>
      <w:r>
        <w:rPr>
          <w:color w:val="231F20"/>
        </w:rPr>
        <w:t>ed</w:t>
      </w:r>
      <w:r>
        <w:rPr>
          <w:color w:val="231F20"/>
          <w:spacing w:val="26"/>
        </w:rPr>
        <w:t> </w:t>
      </w:r>
      <w:r>
        <w:rPr>
          <w:color w:val="231F20"/>
        </w:rPr>
        <w:t>altri</w:t>
      </w:r>
      <w:r>
        <w:rPr>
          <w:color w:val="231F20"/>
          <w:spacing w:val="26"/>
        </w:rPr>
        <w:t> </w:t>
      </w:r>
      <w:r>
        <w:rPr>
          <w:color w:val="231F20"/>
        </w:rPr>
        <w:t>professionisti</w:t>
      </w:r>
      <w:r>
        <w:rPr>
          <w:color w:val="231F20"/>
          <w:spacing w:val="26"/>
        </w:rPr>
        <w:t> </w:t>
      </w:r>
      <w:r>
        <w:rPr>
          <w:color w:val="231F20"/>
        </w:rPr>
        <w:t>–</w:t>
      </w:r>
      <w:r>
        <w:rPr>
          <w:color w:val="231F20"/>
          <w:spacing w:val="26"/>
        </w:rPr>
        <w:t> </w:t>
      </w:r>
      <w:r>
        <w:rPr>
          <w:color w:val="231F20"/>
        </w:rPr>
        <w:t>tenuti</w:t>
      </w:r>
      <w:r>
        <w:rPr>
          <w:color w:val="231F20"/>
          <w:spacing w:val="26"/>
        </w:rPr>
        <w:t> </w:t>
      </w:r>
      <w:r>
        <w:rPr>
          <w:color w:val="231F20"/>
        </w:rPr>
        <w:t>anch’essi,</w:t>
      </w:r>
      <w:r>
        <w:rPr>
          <w:color w:val="231F20"/>
          <w:spacing w:val="26"/>
        </w:rPr>
        <w:t> </w:t>
      </w:r>
      <w:r>
        <w:rPr>
          <w:color w:val="231F20"/>
        </w:rPr>
        <w:t>al</w:t>
      </w:r>
      <w:r>
        <w:rPr>
          <w:color w:val="231F20"/>
          <w:spacing w:val="26"/>
        </w:rPr>
        <w:t> </w:t>
      </w:r>
      <w:r>
        <w:rPr>
          <w:color w:val="231F20"/>
        </w:rPr>
        <w:t>pari</w:t>
      </w:r>
      <w:r>
        <w:rPr>
          <w:color w:val="231F20"/>
          <w:spacing w:val="26"/>
        </w:rPr>
        <w:t> </w:t>
      </w:r>
      <w:r>
        <w:rPr>
          <w:color w:val="231F20"/>
        </w:rPr>
        <w:t>degli</w:t>
      </w:r>
      <w:r>
        <w:rPr>
          <w:color w:val="231F20"/>
          <w:spacing w:val="26"/>
        </w:rPr>
        <w:t> </w:t>
      </w:r>
      <w:r>
        <w:rPr>
          <w:color w:val="231F20"/>
        </w:rPr>
        <w:t>avvocati, al segreto professionale sulla base del diritto nazionale. La risposta della Corte di giustizia si articola in due fasi. In primo luogo i giudici dell’U- nione</w:t>
      </w:r>
      <w:r>
        <w:rPr>
          <w:color w:val="231F20"/>
          <w:spacing w:val="-5"/>
        </w:rPr>
        <w:t> </w:t>
      </w:r>
      <w:r>
        <w:rPr>
          <w:color w:val="231F20"/>
        </w:rPr>
        <w:t>hanno</w:t>
      </w:r>
      <w:r>
        <w:rPr>
          <w:color w:val="231F20"/>
          <w:spacing w:val="-5"/>
        </w:rPr>
        <w:t> </w:t>
      </w:r>
      <w:r>
        <w:rPr>
          <w:color w:val="231F20"/>
        </w:rPr>
        <w:t>riconosciuto</w:t>
      </w:r>
      <w:r>
        <w:rPr>
          <w:color w:val="231F20"/>
          <w:spacing w:val="-5"/>
        </w:rPr>
        <w:t> </w:t>
      </w:r>
      <w:r>
        <w:rPr>
          <w:color w:val="231F20"/>
        </w:rPr>
        <w:t>agli</w:t>
      </w:r>
      <w:r>
        <w:rPr>
          <w:color w:val="231F20"/>
          <w:spacing w:val="-5"/>
        </w:rPr>
        <w:t> </w:t>
      </w:r>
      <w:r>
        <w:rPr>
          <w:color w:val="231F20"/>
        </w:rPr>
        <w:t>Stati</w:t>
      </w:r>
      <w:r>
        <w:rPr>
          <w:color w:val="231F20"/>
          <w:spacing w:val="-5"/>
        </w:rPr>
        <w:t> </w:t>
      </w:r>
      <w:r>
        <w:rPr>
          <w:color w:val="231F20"/>
        </w:rPr>
        <w:t>membri</w:t>
      </w:r>
      <w:r>
        <w:rPr>
          <w:color w:val="231F20"/>
          <w:spacing w:val="-5"/>
        </w:rPr>
        <w:t> </w:t>
      </w:r>
      <w:r>
        <w:rPr>
          <w:color w:val="231F20"/>
        </w:rPr>
        <w:t>un</w:t>
      </w:r>
      <w:r>
        <w:rPr>
          <w:color w:val="231F20"/>
          <w:spacing w:val="-5"/>
        </w:rPr>
        <w:t> </w:t>
      </w:r>
      <w:r>
        <w:rPr>
          <w:color w:val="231F20"/>
        </w:rPr>
        <w:t>certo</w:t>
      </w:r>
      <w:r>
        <w:rPr>
          <w:color w:val="231F20"/>
          <w:spacing w:val="-5"/>
        </w:rPr>
        <w:t> </w:t>
      </w:r>
      <w:r>
        <w:rPr>
          <w:color w:val="231F20"/>
        </w:rPr>
        <w:t>margine</w:t>
      </w:r>
      <w:r>
        <w:rPr>
          <w:color w:val="231F20"/>
          <w:spacing w:val="-5"/>
        </w:rPr>
        <w:t> </w:t>
      </w:r>
      <w:r>
        <w:rPr>
          <w:color w:val="231F20"/>
        </w:rPr>
        <w:t>di</w:t>
      </w:r>
      <w:r>
        <w:rPr>
          <w:color w:val="231F20"/>
          <w:spacing w:val="-5"/>
        </w:rPr>
        <w:t> </w:t>
      </w:r>
      <w:r>
        <w:rPr>
          <w:color w:val="231F20"/>
        </w:rPr>
        <w:t>discrezio- nalità nell’esercizio della loro facoltà di sostituire l’obbligo di comunicare all’amministrazione</w:t>
      </w:r>
      <w:r>
        <w:rPr>
          <w:color w:val="231F20"/>
          <w:spacing w:val="-1"/>
        </w:rPr>
        <w:t> </w:t>
      </w:r>
      <w:r>
        <w:rPr>
          <w:color w:val="231F20"/>
        </w:rPr>
        <w:t>finanziaria</w:t>
      </w:r>
      <w:r>
        <w:rPr>
          <w:color w:val="231F20"/>
          <w:spacing w:val="-1"/>
        </w:rPr>
        <w:t> </w:t>
      </w:r>
      <w:r>
        <w:rPr>
          <w:color w:val="231F20"/>
        </w:rPr>
        <w:t>il</w:t>
      </w:r>
      <w:r>
        <w:rPr>
          <w:color w:val="231F20"/>
          <w:spacing w:val="-1"/>
        </w:rPr>
        <w:t> </w:t>
      </w:r>
      <w:r>
        <w:rPr>
          <w:color w:val="231F20"/>
        </w:rPr>
        <w:t>meccanismo</w:t>
      </w:r>
      <w:r>
        <w:rPr>
          <w:color w:val="231F20"/>
          <w:spacing w:val="-1"/>
        </w:rPr>
        <w:t> </w:t>
      </w:r>
      <w:r>
        <w:rPr>
          <w:color w:val="231F20"/>
        </w:rPr>
        <w:t>di</w:t>
      </w:r>
      <w:r>
        <w:rPr>
          <w:color w:val="231F20"/>
          <w:spacing w:val="-1"/>
        </w:rPr>
        <w:t> </w:t>
      </w:r>
      <w:r>
        <w:rPr>
          <w:color w:val="231F20"/>
        </w:rPr>
        <w:t>pianificazione</w:t>
      </w:r>
      <w:r>
        <w:rPr>
          <w:color w:val="231F20"/>
          <w:spacing w:val="-1"/>
        </w:rPr>
        <w:t> </w:t>
      </w:r>
      <w:r>
        <w:rPr>
          <w:color w:val="231F20"/>
        </w:rPr>
        <w:t>fiscale</w:t>
      </w:r>
      <w:r>
        <w:rPr>
          <w:color w:val="231F20"/>
          <w:spacing w:val="-1"/>
        </w:rPr>
        <w:t> </w:t>
      </w:r>
      <w:r>
        <w:rPr>
          <w:color w:val="231F20"/>
        </w:rPr>
        <w:t>con l’obbligo</w:t>
      </w:r>
      <w:r>
        <w:rPr>
          <w:color w:val="231F20"/>
          <w:spacing w:val="-11"/>
        </w:rPr>
        <w:t> </w:t>
      </w:r>
      <w:r>
        <w:rPr>
          <w:color w:val="231F20"/>
        </w:rPr>
        <w:t>di</w:t>
      </w:r>
      <w:r>
        <w:rPr>
          <w:color w:val="231F20"/>
          <w:spacing w:val="-11"/>
        </w:rPr>
        <w:t> </w:t>
      </w:r>
      <w:r>
        <w:rPr>
          <w:color w:val="231F20"/>
        </w:rPr>
        <w:t>notificare</w:t>
      </w:r>
      <w:r>
        <w:rPr>
          <w:color w:val="231F20"/>
          <w:spacing w:val="-11"/>
        </w:rPr>
        <w:t> </w:t>
      </w:r>
      <w:r>
        <w:rPr>
          <w:color w:val="231F20"/>
        </w:rPr>
        <w:t>detto</w:t>
      </w:r>
      <w:r>
        <w:rPr>
          <w:color w:val="231F20"/>
          <w:spacing w:val="-11"/>
        </w:rPr>
        <w:t> </w:t>
      </w:r>
      <w:r>
        <w:rPr>
          <w:color w:val="231F20"/>
        </w:rPr>
        <w:t>obbligo</w:t>
      </w:r>
      <w:r>
        <w:rPr>
          <w:color w:val="231F20"/>
          <w:spacing w:val="-11"/>
        </w:rPr>
        <w:t> </w:t>
      </w:r>
      <w:r>
        <w:rPr>
          <w:color w:val="231F20"/>
        </w:rPr>
        <w:t>di</w:t>
      </w:r>
      <w:r>
        <w:rPr>
          <w:color w:val="231F20"/>
          <w:spacing w:val="-11"/>
        </w:rPr>
        <w:t> </w:t>
      </w:r>
      <w:r>
        <w:rPr>
          <w:color w:val="231F20"/>
        </w:rPr>
        <w:t>comunicazione</w:t>
      </w:r>
      <w:r>
        <w:rPr>
          <w:color w:val="231F20"/>
          <w:spacing w:val="-11"/>
        </w:rPr>
        <w:t> </w:t>
      </w:r>
      <w:r>
        <w:rPr>
          <w:color w:val="231F20"/>
        </w:rPr>
        <w:t>ad</w:t>
      </w:r>
      <w:r>
        <w:rPr>
          <w:color w:val="231F20"/>
          <w:spacing w:val="-11"/>
        </w:rPr>
        <w:t> </w:t>
      </w:r>
      <w:r>
        <w:rPr>
          <w:color w:val="231F20"/>
        </w:rPr>
        <w:t>un</w:t>
      </w:r>
      <w:r>
        <w:rPr>
          <w:color w:val="231F20"/>
          <w:spacing w:val="-11"/>
        </w:rPr>
        <w:t> </w:t>
      </w:r>
      <w:r>
        <w:rPr>
          <w:color w:val="231F20"/>
        </w:rPr>
        <w:t>altro</w:t>
      </w:r>
      <w:r>
        <w:rPr>
          <w:color w:val="231F20"/>
          <w:spacing w:val="-11"/>
        </w:rPr>
        <w:t> </w:t>
      </w:r>
      <w:r>
        <w:rPr>
          <w:color w:val="231F20"/>
        </w:rPr>
        <w:t>interme- diario o al contribuente stesso.</w:t>
      </w:r>
      <w:r>
        <w:rPr>
          <w:color w:val="231F20"/>
          <w:spacing w:val="-1"/>
        </w:rPr>
        <w:t> </w:t>
      </w:r>
      <w:r>
        <w:rPr>
          <w:color w:val="231F20"/>
        </w:rPr>
        <w:t>Tuttavia secondo la Corte tale margine di discrezionalità degli Stati membri nel disporre la sostituzione dell’obbligo di</w:t>
      </w:r>
      <w:r>
        <w:rPr>
          <w:color w:val="231F20"/>
          <w:spacing w:val="-2"/>
        </w:rPr>
        <w:t> </w:t>
      </w:r>
      <w:r>
        <w:rPr>
          <w:color w:val="231F20"/>
        </w:rPr>
        <w:t>comunicazione</w:t>
      </w:r>
      <w:r>
        <w:rPr>
          <w:color w:val="231F20"/>
          <w:spacing w:val="-2"/>
        </w:rPr>
        <w:t> </w:t>
      </w:r>
      <w:r>
        <w:rPr>
          <w:color w:val="231F20"/>
        </w:rPr>
        <w:t>con</w:t>
      </w:r>
      <w:r>
        <w:rPr>
          <w:color w:val="231F20"/>
          <w:spacing w:val="-2"/>
        </w:rPr>
        <w:t> </w:t>
      </w:r>
      <w:r>
        <w:rPr>
          <w:color w:val="231F20"/>
        </w:rPr>
        <w:t>l’obbligo</w:t>
      </w:r>
      <w:r>
        <w:rPr>
          <w:color w:val="231F20"/>
          <w:spacing w:val="-2"/>
        </w:rPr>
        <w:t> </w:t>
      </w:r>
      <w:r>
        <w:rPr>
          <w:color w:val="231F20"/>
        </w:rPr>
        <w:t>di</w:t>
      </w:r>
      <w:r>
        <w:rPr>
          <w:color w:val="231F20"/>
          <w:spacing w:val="-2"/>
        </w:rPr>
        <w:t> </w:t>
      </w:r>
      <w:r>
        <w:rPr>
          <w:color w:val="231F20"/>
        </w:rPr>
        <w:t>notifica</w:t>
      </w:r>
      <w:r>
        <w:rPr>
          <w:color w:val="231F20"/>
          <w:spacing w:val="-2"/>
        </w:rPr>
        <w:t> </w:t>
      </w:r>
      <w:r>
        <w:rPr>
          <w:color w:val="231F20"/>
        </w:rPr>
        <w:t>va</w:t>
      </w:r>
      <w:r>
        <w:rPr>
          <w:color w:val="231F20"/>
          <w:spacing w:val="-2"/>
        </w:rPr>
        <w:t> </w:t>
      </w:r>
      <w:r>
        <w:rPr>
          <w:color w:val="231F20"/>
        </w:rPr>
        <w:t>limitato</w:t>
      </w:r>
      <w:r>
        <w:rPr>
          <w:color w:val="231F20"/>
          <w:spacing w:val="-2"/>
        </w:rPr>
        <w:t> </w:t>
      </w:r>
      <w:r>
        <w:rPr>
          <w:color w:val="231F20"/>
        </w:rPr>
        <w:t>ai</w:t>
      </w:r>
      <w:r>
        <w:rPr>
          <w:color w:val="231F20"/>
          <w:spacing w:val="-2"/>
        </w:rPr>
        <w:t> </w:t>
      </w:r>
      <w:r>
        <w:rPr>
          <w:color w:val="231F20"/>
        </w:rPr>
        <w:t>soli</w:t>
      </w:r>
      <w:r>
        <w:rPr>
          <w:color w:val="231F20"/>
          <w:spacing w:val="-2"/>
        </w:rPr>
        <w:t> </w:t>
      </w:r>
      <w:r>
        <w:rPr>
          <w:color w:val="231F20"/>
        </w:rPr>
        <w:t>professionisti abilitati</w:t>
      </w:r>
      <w:r>
        <w:rPr>
          <w:color w:val="231F20"/>
          <w:spacing w:val="-2"/>
        </w:rPr>
        <w:t> </w:t>
      </w:r>
      <w:r>
        <w:rPr>
          <w:color w:val="231F20"/>
        </w:rPr>
        <w:t>a</w:t>
      </w:r>
      <w:r>
        <w:rPr>
          <w:color w:val="231F20"/>
          <w:spacing w:val="-2"/>
        </w:rPr>
        <w:t> </w:t>
      </w:r>
      <w:r>
        <w:rPr>
          <w:color w:val="231F20"/>
        </w:rPr>
        <w:t>rappresentare</w:t>
      </w:r>
      <w:r>
        <w:rPr>
          <w:color w:val="231F20"/>
          <w:spacing w:val="-2"/>
        </w:rPr>
        <w:t> </w:t>
      </w:r>
      <w:r>
        <w:rPr>
          <w:color w:val="231F20"/>
        </w:rPr>
        <w:t>il</w:t>
      </w:r>
      <w:r>
        <w:rPr>
          <w:color w:val="231F20"/>
          <w:spacing w:val="-2"/>
        </w:rPr>
        <w:t> </w:t>
      </w:r>
      <w:r>
        <w:rPr>
          <w:color w:val="231F20"/>
        </w:rPr>
        <w:t>contribuente</w:t>
      </w:r>
      <w:r>
        <w:rPr>
          <w:color w:val="231F20"/>
          <w:spacing w:val="-2"/>
        </w:rPr>
        <w:t> </w:t>
      </w:r>
      <w:r>
        <w:rPr>
          <w:color w:val="231F20"/>
        </w:rPr>
        <w:t>dinanzi</w:t>
      </w:r>
      <w:r>
        <w:rPr>
          <w:color w:val="231F20"/>
          <w:spacing w:val="-2"/>
        </w:rPr>
        <w:t> </w:t>
      </w:r>
      <w:r>
        <w:rPr>
          <w:color w:val="231F20"/>
        </w:rPr>
        <w:t>alle</w:t>
      </w:r>
      <w:r>
        <w:rPr>
          <w:color w:val="231F20"/>
          <w:spacing w:val="-2"/>
        </w:rPr>
        <w:t> </w:t>
      </w:r>
      <w:r>
        <w:rPr>
          <w:color w:val="231F20"/>
        </w:rPr>
        <w:t>giurisdizioni</w:t>
      </w:r>
      <w:r>
        <w:rPr>
          <w:color w:val="231F20"/>
          <w:spacing w:val="-2"/>
        </w:rPr>
        <w:t> </w:t>
      </w:r>
      <w:r>
        <w:rPr>
          <w:color w:val="231F20"/>
        </w:rPr>
        <w:t>tributarie in quanto anch’essi tenuti ad un segreto professionale meritevole di tutela al pari di quello degli avvocati</w:t>
      </w:r>
      <w:r>
        <w:rPr>
          <w:color w:val="231F20"/>
          <w:position w:val="8"/>
          <w:sz w:val="14"/>
        </w:rPr>
        <w:t>120</w:t>
      </w:r>
      <w:r>
        <w:rPr>
          <w:color w:val="231F20"/>
        </w:rPr>
        <w:t>.</w:t>
      </w:r>
    </w:p>
    <w:p>
      <w:pPr>
        <w:pStyle w:val="BodyText"/>
        <w:spacing w:line="225" w:lineRule="auto" w:before="25"/>
        <w:ind w:left="100" w:right="174" w:firstLine="340"/>
        <w:jc w:val="both"/>
      </w:pPr>
      <w:r>
        <w:rPr>
          <w:color w:val="231F20"/>
        </w:rPr>
        <w:t>Restava in secondo luogo da valutare la validità dell’art. 8 </w:t>
      </w:r>
      <w:r>
        <w:rPr>
          <w:i/>
          <w:color w:val="231F20"/>
        </w:rPr>
        <w:t>bis ter</w:t>
      </w:r>
      <w:r>
        <w:rPr>
          <w:color w:val="231F20"/>
        </w:rPr>
        <w:t>, par. 5, della direttiva in relazione all’art. 7 della Carta, nei casi in cui l’obbligo di</w:t>
      </w:r>
      <w:r>
        <w:rPr>
          <w:color w:val="231F20"/>
          <w:spacing w:val="-7"/>
        </w:rPr>
        <w:t> </w:t>
      </w:r>
      <w:r>
        <w:rPr>
          <w:color w:val="231F20"/>
        </w:rPr>
        <w:t>notifica</w:t>
      </w:r>
      <w:r>
        <w:rPr>
          <w:color w:val="231F20"/>
          <w:spacing w:val="-7"/>
        </w:rPr>
        <w:t> </w:t>
      </w:r>
      <w:r>
        <w:rPr>
          <w:color w:val="231F20"/>
        </w:rPr>
        <w:t>ad</w:t>
      </w:r>
      <w:r>
        <w:rPr>
          <w:color w:val="231F20"/>
          <w:spacing w:val="-7"/>
        </w:rPr>
        <w:t> </w:t>
      </w:r>
      <w:r>
        <w:rPr>
          <w:color w:val="231F20"/>
        </w:rPr>
        <w:t>un</w:t>
      </w:r>
      <w:r>
        <w:rPr>
          <w:color w:val="231F20"/>
          <w:spacing w:val="-7"/>
        </w:rPr>
        <w:t> </w:t>
      </w:r>
      <w:r>
        <w:rPr>
          <w:color w:val="231F20"/>
        </w:rPr>
        <w:t>altro</w:t>
      </w:r>
      <w:r>
        <w:rPr>
          <w:color w:val="231F20"/>
          <w:spacing w:val="-7"/>
        </w:rPr>
        <w:t> </w:t>
      </w:r>
      <w:r>
        <w:rPr>
          <w:color w:val="231F20"/>
        </w:rPr>
        <w:t>intermediario</w:t>
      </w:r>
      <w:r>
        <w:rPr>
          <w:color w:val="231F20"/>
          <w:spacing w:val="-7"/>
        </w:rPr>
        <w:t> </w:t>
      </w:r>
      <w:r>
        <w:rPr>
          <w:color w:val="231F20"/>
        </w:rPr>
        <w:t>dell’obbligo</w:t>
      </w:r>
      <w:r>
        <w:rPr>
          <w:color w:val="231F20"/>
          <w:spacing w:val="-7"/>
        </w:rPr>
        <w:t> </w:t>
      </w:r>
      <w:r>
        <w:rPr>
          <w:color w:val="231F20"/>
        </w:rPr>
        <w:t>di</w:t>
      </w:r>
      <w:r>
        <w:rPr>
          <w:color w:val="231F20"/>
          <w:spacing w:val="-7"/>
        </w:rPr>
        <w:t> </w:t>
      </w:r>
      <w:r>
        <w:rPr>
          <w:color w:val="231F20"/>
        </w:rPr>
        <w:t>comunicazione</w:t>
      </w:r>
      <w:r>
        <w:rPr>
          <w:color w:val="231F20"/>
          <w:spacing w:val="-7"/>
        </w:rPr>
        <w:t> </w:t>
      </w:r>
      <w:r>
        <w:rPr>
          <w:color w:val="231F20"/>
        </w:rPr>
        <w:t>all’am- ministrazione era imposto agli intermediari non avvocati ma abilitati dal diritto nazionale ad assicurare la difesa in giudizio del contribuente</w:t>
      </w:r>
      <w:r>
        <w:rPr>
          <w:color w:val="231F20"/>
          <w:position w:val="8"/>
          <w:sz w:val="14"/>
        </w:rPr>
        <w:t>121</w:t>
      </w:r>
      <w:r>
        <w:rPr>
          <w:color w:val="231F20"/>
        </w:rPr>
        <w:t>. A questo proposito la Corte di giustizia, sulla base di due pronunce della Corte europea dei diritti dell’uomo</w:t>
      </w:r>
      <w:r>
        <w:rPr>
          <w:color w:val="231F20"/>
          <w:position w:val="8"/>
          <w:sz w:val="14"/>
        </w:rPr>
        <w:t>122</w:t>
      </w:r>
      <w:r>
        <w:rPr>
          <w:color w:val="231F20"/>
        </w:rPr>
        <w:t>, ha affermato che: «la riservatezza del rapporto fra l’avvocato e il suo cliente beneficia di una tutela del tutto specifica,</w:t>
      </w:r>
      <w:r>
        <w:rPr>
          <w:color w:val="231F20"/>
          <w:spacing w:val="-9"/>
        </w:rPr>
        <w:t> </w:t>
      </w:r>
      <w:r>
        <w:rPr>
          <w:color w:val="231F20"/>
        </w:rPr>
        <w:t>attinente</w:t>
      </w:r>
      <w:r>
        <w:rPr>
          <w:color w:val="231F20"/>
          <w:spacing w:val="-9"/>
        </w:rPr>
        <w:t> </w:t>
      </w:r>
      <w:r>
        <w:rPr>
          <w:color w:val="231F20"/>
        </w:rPr>
        <w:t>alla</w:t>
      </w:r>
      <w:r>
        <w:rPr>
          <w:color w:val="231F20"/>
          <w:spacing w:val="-9"/>
        </w:rPr>
        <w:t> </w:t>
      </w:r>
      <w:r>
        <w:rPr>
          <w:color w:val="231F20"/>
        </w:rPr>
        <w:t>peculiare</w:t>
      </w:r>
      <w:r>
        <w:rPr>
          <w:color w:val="231F20"/>
          <w:spacing w:val="-9"/>
        </w:rPr>
        <w:t> </w:t>
      </w:r>
      <w:r>
        <w:rPr>
          <w:color w:val="231F20"/>
        </w:rPr>
        <w:t>posizione</w:t>
      </w:r>
      <w:r>
        <w:rPr>
          <w:color w:val="231F20"/>
          <w:spacing w:val="-9"/>
        </w:rPr>
        <w:t> </w:t>
      </w:r>
      <w:r>
        <w:rPr>
          <w:color w:val="231F20"/>
        </w:rPr>
        <w:t>occupato</w:t>
      </w:r>
      <w:r>
        <w:rPr>
          <w:color w:val="231F20"/>
          <w:spacing w:val="-9"/>
        </w:rPr>
        <w:t> </w:t>
      </w:r>
      <w:r>
        <w:rPr>
          <w:color w:val="231F20"/>
        </w:rPr>
        <w:t>dall’avvocato</w:t>
      </w:r>
      <w:r>
        <w:rPr>
          <w:color w:val="231F20"/>
          <w:spacing w:val="-9"/>
        </w:rPr>
        <w:t> </w:t>
      </w:r>
      <w:r>
        <w:rPr>
          <w:color w:val="231F20"/>
        </w:rPr>
        <w:t>nell’am- bito</w:t>
      </w:r>
      <w:r>
        <w:rPr>
          <w:color w:val="231F20"/>
          <w:spacing w:val="6"/>
        </w:rPr>
        <w:t> </w:t>
      </w:r>
      <w:r>
        <w:rPr>
          <w:color w:val="231F20"/>
        </w:rPr>
        <w:t>dell’organizzazione</w:t>
      </w:r>
      <w:r>
        <w:rPr>
          <w:color w:val="231F20"/>
          <w:spacing w:val="6"/>
        </w:rPr>
        <w:t> </w:t>
      </w:r>
      <w:r>
        <w:rPr>
          <w:color w:val="231F20"/>
        </w:rPr>
        <w:t>giudiziaria</w:t>
      </w:r>
      <w:r>
        <w:rPr>
          <w:color w:val="231F20"/>
          <w:spacing w:val="6"/>
        </w:rPr>
        <w:t> </w:t>
      </w:r>
      <w:r>
        <w:rPr>
          <w:color w:val="231F20"/>
        </w:rPr>
        <w:t>degli</w:t>
      </w:r>
      <w:r>
        <w:rPr>
          <w:color w:val="231F20"/>
          <w:spacing w:val="6"/>
        </w:rPr>
        <w:t> </w:t>
      </w:r>
      <w:r>
        <w:rPr>
          <w:color w:val="231F20"/>
        </w:rPr>
        <w:t>Stati</w:t>
      </w:r>
      <w:r>
        <w:rPr>
          <w:color w:val="231F20"/>
          <w:spacing w:val="6"/>
        </w:rPr>
        <w:t> </w:t>
      </w:r>
      <w:r>
        <w:rPr>
          <w:color w:val="231F20"/>
        </w:rPr>
        <w:t>membri»</w:t>
      </w:r>
      <w:r>
        <w:rPr>
          <w:color w:val="231F20"/>
          <w:spacing w:val="6"/>
        </w:rPr>
        <w:t> </w:t>
      </w:r>
      <w:r>
        <w:rPr>
          <w:color w:val="231F20"/>
        </w:rPr>
        <w:t>e</w:t>
      </w:r>
      <w:r>
        <w:rPr>
          <w:color w:val="231F20"/>
          <w:spacing w:val="6"/>
        </w:rPr>
        <w:t> </w:t>
      </w:r>
      <w:r>
        <w:rPr>
          <w:color w:val="231F20"/>
        </w:rPr>
        <w:t>da</w:t>
      </w:r>
      <w:r>
        <w:rPr>
          <w:color w:val="231F20"/>
          <w:spacing w:val="6"/>
        </w:rPr>
        <w:t> </w:t>
      </w:r>
      <w:r>
        <w:rPr>
          <w:color w:val="231F20"/>
        </w:rPr>
        <w:t>tale</w:t>
      </w:r>
      <w:r>
        <w:rPr>
          <w:color w:val="231F20"/>
          <w:spacing w:val="6"/>
        </w:rPr>
        <w:t> </w:t>
      </w:r>
      <w:r>
        <w:rPr>
          <w:color w:val="231F20"/>
          <w:spacing w:val="-2"/>
        </w:rPr>
        <w:t>principio</w:t>
      </w:r>
    </w:p>
    <w:p>
      <w:pPr>
        <w:pStyle w:val="BodyText"/>
        <w:spacing w:before="41"/>
        <w:rPr>
          <w:sz w:val="20"/>
        </w:rPr>
      </w:pPr>
      <w:r>
        <w:rPr/>
        <mc:AlternateContent>
          <mc:Choice Requires="wps">
            <w:drawing>
              <wp:anchor distT="0" distB="0" distL="0" distR="0" allowOverlap="1" layoutInCell="1" locked="0" behindDoc="1" simplePos="0" relativeHeight="487640064">
                <wp:simplePos x="0" y="0"/>
                <wp:positionH relativeFrom="page">
                  <wp:posOffset>864000</wp:posOffset>
                </wp:positionH>
                <wp:positionV relativeFrom="paragraph">
                  <wp:posOffset>203231</wp:posOffset>
                </wp:positionV>
                <wp:extent cx="792480" cy="1270"/>
                <wp:effectExtent l="0" t="0" r="0" b="0"/>
                <wp:wrapTopAndBottom/>
                <wp:docPr id="169" name="Graphic 169"/>
                <wp:cNvGraphicFramePr>
                  <a:graphicFrameLocks/>
                </wp:cNvGraphicFramePr>
                <a:graphic>
                  <a:graphicData uri="http://schemas.microsoft.com/office/word/2010/wordprocessingShape">
                    <wps:wsp>
                      <wps:cNvPr id="169" name="Graphic 169"/>
                      <wps:cNvSpPr/>
                      <wps:spPr>
                        <a:xfrm>
                          <a:off x="0" y="0"/>
                          <a:ext cx="792480" cy="1270"/>
                        </a:xfrm>
                        <a:custGeom>
                          <a:avLst/>
                          <a:gdLst/>
                          <a:ahLst/>
                          <a:cxnLst/>
                          <a:rect l="l" t="t" r="r" b="b"/>
                          <a:pathLst>
                            <a:path w="792480" h="0">
                              <a:moveTo>
                                <a:pt x="0" y="0"/>
                              </a:moveTo>
                              <a:lnTo>
                                <a:pt x="791997"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shape style="position:absolute;margin-left:68.031502pt;margin-top:16.002501pt;width:62.4pt;height:.1pt;mso-position-horizontal-relative:page;mso-position-vertical-relative:paragraph;z-index:-15676416;mso-wrap-distance-left:0;mso-wrap-distance-right:0" id="docshape140" coordorigin="1361,320" coordsize="1248,0" path="m1361,320l2608,320e" filled="false" stroked="true" strokeweight=".5pt" strokecolor="#231f20">
                <v:path arrowok="t"/>
                <v:stroke dashstyle="solid"/>
                <w10:wrap type="topAndBottom"/>
              </v:shape>
            </w:pict>
          </mc:Fallback>
        </mc:AlternateContent>
      </w:r>
    </w:p>
    <w:p>
      <w:pPr>
        <w:spacing w:line="235" w:lineRule="exact" w:before="190"/>
        <w:ind w:left="100" w:right="0" w:firstLine="0"/>
        <w:jc w:val="left"/>
        <w:rPr>
          <w:sz w:val="19"/>
        </w:rPr>
      </w:pPr>
      <w:r>
        <w:rPr>
          <w:color w:val="231F20"/>
          <w:position w:val="6"/>
          <w:sz w:val="11"/>
        </w:rPr>
        <w:t>120</w:t>
      </w:r>
      <w:r>
        <w:rPr>
          <w:color w:val="231F20"/>
          <w:spacing w:val="79"/>
          <w:position w:val="6"/>
          <w:sz w:val="11"/>
        </w:rPr>
        <w:t> </w:t>
      </w:r>
      <w:r>
        <w:rPr>
          <w:color w:val="231F20"/>
          <w:sz w:val="19"/>
        </w:rPr>
        <w:t>Corte Giust. UE, C-623/22,</w:t>
      </w:r>
      <w:r>
        <w:rPr>
          <w:color w:val="231F20"/>
          <w:spacing w:val="-1"/>
          <w:sz w:val="19"/>
        </w:rPr>
        <w:t> </w:t>
      </w:r>
      <w:r>
        <w:rPr>
          <w:color w:val="231F20"/>
          <w:sz w:val="19"/>
        </w:rPr>
        <w:t>ult. cit., punti 104, 106 e </w:t>
      </w:r>
      <w:r>
        <w:rPr>
          <w:color w:val="231F20"/>
          <w:spacing w:val="-4"/>
          <w:sz w:val="19"/>
        </w:rPr>
        <w:t>108.</w:t>
      </w:r>
    </w:p>
    <w:p>
      <w:pPr>
        <w:spacing w:line="225" w:lineRule="auto" w:before="4"/>
        <w:ind w:left="100" w:right="174" w:firstLine="0"/>
        <w:jc w:val="left"/>
        <w:rPr>
          <w:sz w:val="19"/>
        </w:rPr>
      </w:pPr>
      <w:r>
        <w:rPr>
          <w:color w:val="231F20"/>
          <w:position w:val="6"/>
          <w:sz w:val="11"/>
        </w:rPr>
        <w:t>121</w:t>
      </w:r>
      <w:r>
        <w:rPr>
          <w:color w:val="231F20"/>
          <w:spacing w:val="80"/>
          <w:position w:val="6"/>
          <w:sz w:val="11"/>
        </w:rPr>
        <w:t> </w:t>
      </w:r>
      <w:r>
        <w:rPr>
          <w:color w:val="231F20"/>
          <w:sz w:val="19"/>
        </w:rPr>
        <w:t>Nell’ordinamento</w:t>
      </w:r>
      <w:r>
        <w:rPr>
          <w:color w:val="231F20"/>
          <w:spacing w:val="21"/>
          <w:sz w:val="19"/>
        </w:rPr>
        <w:t> </w:t>
      </w:r>
      <w:r>
        <w:rPr>
          <w:color w:val="231F20"/>
          <w:sz w:val="19"/>
        </w:rPr>
        <w:t>italiano,</w:t>
      </w:r>
      <w:r>
        <w:rPr>
          <w:color w:val="231F20"/>
          <w:spacing w:val="21"/>
          <w:sz w:val="19"/>
        </w:rPr>
        <w:t> </w:t>
      </w:r>
      <w:r>
        <w:rPr>
          <w:color w:val="231F20"/>
          <w:sz w:val="19"/>
        </w:rPr>
        <w:t>questo</w:t>
      </w:r>
      <w:r>
        <w:rPr>
          <w:color w:val="231F20"/>
          <w:spacing w:val="21"/>
          <w:sz w:val="19"/>
        </w:rPr>
        <w:t> </w:t>
      </w:r>
      <w:r>
        <w:rPr>
          <w:color w:val="231F20"/>
          <w:sz w:val="19"/>
        </w:rPr>
        <w:t>è</w:t>
      </w:r>
      <w:r>
        <w:rPr>
          <w:color w:val="231F20"/>
          <w:spacing w:val="21"/>
          <w:sz w:val="19"/>
        </w:rPr>
        <w:t> </w:t>
      </w:r>
      <w:r>
        <w:rPr>
          <w:color w:val="231F20"/>
          <w:sz w:val="19"/>
        </w:rPr>
        <w:t>il</w:t>
      </w:r>
      <w:r>
        <w:rPr>
          <w:color w:val="231F20"/>
          <w:spacing w:val="21"/>
          <w:sz w:val="19"/>
        </w:rPr>
        <w:t> </w:t>
      </w:r>
      <w:r>
        <w:rPr>
          <w:color w:val="231F20"/>
          <w:sz w:val="19"/>
        </w:rPr>
        <w:t>caso</w:t>
      </w:r>
      <w:r>
        <w:rPr>
          <w:color w:val="231F20"/>
          <w:spacing w:val="21"/>
          <w:sz w:val="19"/>
        </w:rPr>
        <w:t> </w:t>
      </w:r>
      <w:r>
        <w:rPr>
          <w:color w:val="231F20"/>
          <w:sz w:val="19"/>
        </w:rPr>
        <w:t>dei</w:t>
      </w:r>
      <w:r>
        <w:rPr>
          <w:color w:val="231F20"/>
          <w:spacing w:val="21"/>
          <w:sz w:val="19"/>
        </w:rPr>
        <w:t> </w:t>
      </w:r>
      <w:r>
        <w:rPr>
          <w:color w:val="231F20"/>
          <w:sz w:val="19"/>
        </w:rPr>
        <w:t>professionisti</w:t>
      </w:r>
      <w:r>
        <w:rPr>
          <w:color w:val="231F20"/>
          <w:spacing w:val="21"/>
          <w:sz w:val="19"/>
        </w:rPr>
        <w:t> </w:t>
      </w:r>
      <w:r>
        <w:rPr>
          <w:color w:val="231F20"/>
          <w:sz w:val="19"/>
        </w:rPr>
        <w:t>iscritti</w:t>
      </w:r>
      <w:r>
        <w:rPr>
          <w:color w:val="231F20"/>
          <w:spacing w:val="21"/>
          <w:sz w:val="19"/>
        </w:rPr>
        <w:t> </w:t>
      </w:r>
      <w:r>
        <w:rPr>
          <w:color w:val="231F20"/>
          <w:sz w:val="19"/>
        </w:rPr>
        <w:t>all’albo</w:t>
      </w:r>
      <w:r>
        <w:rPr>
          <w:color w:val="231F20"/>
          <w:spacing w:val="21"/>
          <w:sz w:val="19"/>
        </w:rPr>
        <w:t> </w:t>
      </w:r>
      <w:r>
        <w:rPr>
          <w:color w:val="231F20"/>
          <w:sz w:val="19"/>
        </w:rPr>
        <w:t>dei</w:t>
      </w:r>
      <w:r>
        <w:rPr>
          <w:color w:val="231F20"/>
          <w:spacing w:val="21"/>
          <w:sz w:val="19"/>
        </w:rPr>
        <w:t> </w:t>
      </w:r>
      <w:r>
        <w:rPr>
          <w:color w:val="231F20"/>
          <w:sz w:val="19"/>
        </w:rPr>
        <w:t>dottori </w:t>
      </w:r>
      <w:r>
        <w:rPr>
          <w:color w:val="231F20"/>
          <w:spacing w:val="-2"/>
          <w:sz w:val="19"/>
        </w:rPr>
        <w:t>commercialisti.</w:t>
      </w:r>
    </w:p>
    <w:p>
      <w:pPr>
        <w:spacing w:line="226" w:lineRule="exact" w:before="0"/>
        <w:ind w:left="100" w:right="0" w:firstLine="0"/>
        <w:jc w:val="left"/>
        <w:rPr>
          <w:sz w:val="19"/>
        </w:rPr>
      </w:pPr>
      <w:r>
        <w:rPr>
          <w:color w:val="231F20"/>
          <w:position w:val="6"/>
          <w:sz w:val="11"/>
        </w:rPr>
        <w:t>122</w:t>
      </w:r>
      <w:r>
        <w:rPr>
          <w:color w:val="231F20"/>
          <w:spacing w:val="70"/>
          <w:w w:val="150"/>
          <w:position w:val="6"/>
          <w:sz w:val="11"/>
        </w:rPr>
        <w:t> </w:t>
      </w:r>
      <w:r>
        <w:rPr>
          <w:color w:val="231F20"/>
          <w:sz w:val="19"/>
        </w:rPr>
        <w:t>CEDU,</w:t>
      </w:r>
      <w:r>
        <w:rPr>
          <w:color w:val="231F20"/>
          <w:spacing w:val="5"/>
          <w:sz w:val="19"/>
        </w:rPr>
        <w:t> </w:t>
      </w:r>
      <w:r>
        <w:rPr>
          <w:color w:val="231F20"/>
          <w:sz w:val="19"/>
        </w:rPr>
        <w:t>sent.</w:t>
      </w:r>
      <w:r>
        <w:rPr>
          <w:color w:val="231F20"/>
          <w:spacing w:val="5"/>
          <w:sz w:val="19"/>
        </w:rPr>
        <w:t> </w:t>
      </w:r>
      <w:r>
        <w:rPr>
          <w:color w:val="231F20"/>
          <w:sz w:val="19"/>
        </w:rPr>
        <w:t>del</w:t>
      </w:r>
      <w:r>
        <w:rPr>
          <w:color w:val="231F20"/>
          <w:spacing w:val="5"/>
          <w:sz w:val="19"/>
        </w:rPr>
        <w:t> </w:t>
      </w:r>
      <w:r>
        <w:rPr>
          <w:color w:val="231F20"/>
          <w:sz w:val="19"/>
        </w:rPr>
        <w:t>6</w:t>
      </w:r>
      <w:r>
        <w:rPr>
          <w:color w:val="231F20"/>
          <w:spacing w:val="5"/>
          <w:sz w:val="19"/>
        </w:rPr>
        <w:t> </w:t>
      </w:r>
      <w:r>
        <w:rPr>
          <w:color w:val="231F20"/>
          <w:sz w:val="19"/>
        </w:rPr>
        <w:t>dicembre</w:t>
      </w:r>
      <w:r>
        <w:rPr>
          <w:color w:val="231F20"/>
          <w:spacing w:val="5"/>
          <w:sz w:val="19"/>
        </w:rPr>
        <w:t> </w:t>
      </w:r>
      <w:r>
        <w:rPr>
          <w:color w:val="231F20"/>
          <w:sz w:val="19"/>
        </w:rPr>
        <w:t>2012,</w:t>
      </w:r>
      <w:r>
        <w:rPr>
          <w:color w:val="231F20"/>
          <w:spacing w:val="5"/>
          <w:sz w:val="19"/>
        </w:rPr>
        <w:t> </w:t>
      </w:r>
      <w:r>
        <w:rPr>
          <w:i/>
          <w:color w:val="231F20"/>
          <w:sz w:val="19"/>
        </w:rPr>
        <w:t>Michaud</w:t>
      </w:r>
      <w:r>
        <w:rPr>
          <w:i/>
          <w:color w:val="231F20"/>
          <w:spacing w:val="5"/>
          <w:sz w:val="19"/>
        </w:rPr>
        <w:t> </w:t>
      </w:r>
      <w:r>
        <w:rPr>
          <w:i/>
          <w:color w:val="231F20"/>
          <w:sz w:val="19"/>
        </w:rPr>
        <w:t>c.</w:t>
      </w:r>
      <w:r>
        <w:rPr>
          <w:i/>
          <w:color w:val="231F20"/>
          <w:spacing w:val="5"/>
          <w:sz w:val="19"/>
        </w:rPr>
        <w:t> </w:t>
      </w:r>
      <w:r>
        <w:rPr>
          <w:i/>
          <w:color w:val="231F20"/>
          <w:sz w:val="19"/>
        </w:rPr>
        <w:t>Francia</w:t>
      </w:r>
      <w:r>
        <w:rPr>
          <w:i/>
          <w:color w:val="231F20"/>
          <w:spacing w:val="5"/>
          <w:sz w:val="19"/>
        </w:rPr>
        <w:t> </w:t>
      </w:r>
      <w:r>
        <w:rPr>
          <w:color w:val="231F20"/>
          <w:sz w:val="19"/>
        </w:rPr>
        <w:t>e</w:t>
      </w:r>
      <w:r>
        <w:rPr>
          <w:color w:val="231F20"/>
          <w:spacing w:val="5"/>
          <w:sz w:val="19"/>
        </w:rPr>
        <w:t> </w:t>
      </w:r>
      <w:r>
        <w:rPr>
          <w:color w:val="231F20"/>
          <w:sz w:val="19"/>
        </w:rPr>
        <w:t>CEDU,</w:t>
      </w:r>
      <w:r>
        <w:rPr>
          <w:color w:val="231F20"/>
          <w:spacing w:val="5"/>
          <w:sz w:val="19"/>
        </w:rPr>
        <w:t> </w:t>
      </w:r>
      <w:r>
        <w:rPr>
          <w:color w:val="231F20"/>
          <w:sz w:val="19"/>
        </w:rPr>
        <w:t>sent.</w:t>
      </w:r>
      <w:r>
        <w:rPr>
          <w:color w:val="231F20"/>
          <w:spacing w:val="6"/>
          <w:sz w:val="19"/>
        </w:rPr>
        <w:t> </w:t>
      </w:r>
      <w:r>
        <w:rPr>
          <w:color w:val="231F20"/>
          <w:sz w:val="19"/>
        </w:rPr>
        <w:t>del</w:t>
      </w:r>
      <w:r>
        <w:rPr>
          <w:color w:val="231F20"/>
          <w:spacing w:val="5"/>
          <w:sz w:val="19"/>
        </w:rPr>
        <w:t> </w:t>
      </w:r>
      <w:r>
        <w:rPr>
          <w:color w:val="231F20"/>
          <w:sz w:val="19"/>
        </w:rPr>
        <w:t>9</w:t>
      </w:r>
      <w:r>
        <w:rPr>
          <w:color w:val="231F20"/>
          <w:spacing w:val="5"/>
          <w:sz w:val="19"/>
        </w:rPr>
        <w:t> </w:t>
      </w:r>
      <w:r>
        <w:rPr>
          <w:color w:val="231F20"/>
          <w:sz w:val="19"/>
        </w:rPr>
        <w:t>aprile</w:t>
      </w:r>
      <w:r>
        <w:rPr>
          <w:color w:val="231F20"/>
          <w:spacing w:val="5"/>
          <w:sz w:val="19"/>
        </w:rPr>
        <w:t> </w:t>
      </w:r>
      <w:r>
        <w:rPr>
          <w:color w:val="231F20"/>
          <w:spacing w:val="-2"/>
          <w:sz w:val="19"/>
        </w:rPr>
        <w:t>2019,</w:t>
      </w:r>
    </w:p>
    <w:p>
      <w:pPr>
        <w:spacing w:line="235" w:lineRule="exact" w:before="0"/>
        <w:ind w:left="100" w:right="0" w:firstLine="0"/>
        <w:jc w:val="left"/>
        <w:rPr>
          <w:sz w:val="19"/>
        </w:rPr>
      </w:pPr>
      <w:r>
        <w:rPr>
          <w:i/>
          <w:color w:val="231F20"/>
          <w:sz w:val="19"/>
        </w:rPr>
        <w:t>Altay</w:t>
      </w:r>
      <w:r>
        <w:rPr>
          <w:i/>
          <w:color w:val="231F20"/>
          <w:spacing w:val="-3"/>
          <w:sz w:val="19"/>
        </w:rPr>
        <w:t> </w:t>
      </w:r>
      <w:r>
        <w:rPr>
          <w:i/>
          <w:color w:val="231F20"/>
          <w:sz w:val="19"/>
        </w:rPr>
        <w:t>c.</w:t>
      </w:r>
      <w:r>
        <w:rPr>
          <w:i/>
          <w:color w:val="231F20"/>
          <w:spacing w:val="-11"/>
          <w:sz w:val="19"/>
        </w:rPr>
        <w:t> </w:t>
      </w:r>
      <w:r>
        <w:rPr>
          <w:i/>
          <w:color w:val="231F20"/>
          <w:spacing w:val="-2"/>
          <w:sz w:val="19"/>
        </w:rPr>
        <w:t>Turchia</w:t>
      </w:r>
      <w:r>
        <w:rPr>
          <w:color w:val="231F20"/>
          <w:spacing w:val="-2"/>
          <w:sz w:val="19"/>
        </w:rPr>
        <w:t>.</w:t>
      </w:r>
    </w:p>
    <w:p>
      <w:pPr>
        <w:spacing w:after="0" w:line="235" w:lineRule="exact"/>
        <w:jc w:val="left"/>
        <w:rPr>
          <w:sz w:val="19"/>
        </w:rPr>
        <w:sectPr>
          <w:pgSz w:w="9640" w:h="13610"/>
          <w:pgMar w:header="0" w:footer="625" w:top="1260" w:bottom="820" w:left="1260" w:right="1240"/>
        </w:sectPr>
      </w:pPr>
    </w:p>
    <w:p>
      <w:pPr>
        <w:pStyle w:val="BodyText"/>
        <w:spacing w:line="225" w:lineRule="auto" w:before="117"/>
        <w:ind w:left="157" w:right="117"/>
        <w:jc w:val="both"/>
      </w:pPr>
      <w:r>
        <w:rPr/>
        <mc:AlternateContent>
          <mc:Choice Requires="wps">
            <w:drawing>
              <wp:anchor distT="0" distB="0" distL="0" distR="0" allowOverlap="1" layoutInCell="1" locked="0" behindDoc="0" simplePos="0" relativeHeight="15781888">
                <wp:simplePos x="0" y="0"/>
                <wp:positionH relativeFrom="page">
                  <wp:posOffset>5608609</wp:posOffset>
                </wp:positionH>
                <wp:positionV relativeFrom="page">
                  <wp:posOffset>2376001</wp:posOffset>
                </wp:positionV>
                <wp:extent cx="511809" cy="2412365"/>
                <wp:effectExtent l="0" t="0" r="0" b="0"/>
                <wp:wrapNone/>
                <wp:docPr id="170" name="Group 170"/>
                <wp:cNvGraphicFramePr>
                  <a:graphicFrameLocks/>
                </wp:cNvGraphicFramePr>
                <a:graphic>
                  <a:graphicData uri="http://schemas.microsoft.com/office/word/2010/wordprocessingGroup">
                    <wpg:wgp>
                      <wpg:cNvPr id="170" name="Group 170"/>
                      <wpg:cNvGrpSpPr/>
                      <wpg:grpSpPr>
                        <a:xfrm>
                          <a:off x="0" y="0"/>
                          <a:ext cx="511809" cy="2412365"/>
                          <a:chExt cx="511809" cy="2412365"/>
                        </a:xfrm>
                      </wpg:grpSpPr>
                      <wps:wsp>
                        <wps:cNvPr id="171" name="Graphic 171"/>
                        <wps:cNvSpPr/>
                        <wps:spPr>
                          <a:xfrm>
                            <a:off x="7393" y="3"/>
                            <a:ext cx="504190" cy="360045"/>
                          </a:xfrm>
                          <a:custGeom>
                            <a:avLst/>
                            <a:gdLst/>
                            <a:ahLst/>
                            <a:cxnLst/>
                            <a:rect l="l" t="t" r="r" b="b"/>
                            <a:pathLst>
                              <a:path w="504190" h="360045">
                                <a:moveTo>
                                  <a:pt x="503999" y="0"/>
                                </a:moveTo>
                                <a:lnTo>
                                  <a:pt x="0" y="0"/>
                                </a:lnTo>
                                <a:lnTo>
                                  <a:pt x="0" y="359994"/>
                                </a:lnTo>
                                <a:lnTo>
                                  <a:pt x="503999" y="359994"/>
                                </a:lnTo>
                                <a:lnTo>
                                  <a:pt x="503999" y="0"/>
                                </a:lnTo>
                                <a:close/>
                              </a:path>
                            </a:pathLst>
                          </a:custGeom>
                          <a:solidFill>
                            <a:srgbClr val="939598"/>
                          </a:solidFill>
                        </wps:spPr>
                        <wps:bodyPr wrap="square" lIns="0" tIns="0" rIns="0" bIns="0" rtlCol="0">
                          <a:prstTxWarp prst="textNoShape">
                            <a:avLst/>
                          </a:prstTxWarp>
                          <a:noAutofit/>
                        </wps:bodyPr>
                      </wps:wsp>
                      <wps:wsp>
                        <wps:cNvPr id="172" name="Graphic 172"/>
                        <wps:cNvSpPr/>
                        <wps:spPr>
                          <a:xfrm>
                            <a:off x="6350" y="0"/>
                            <a:ext cx="1270" cy="2412365"/>
                          </a:xfrm>
                          <a:custGeom>
                            <a:avLst/>
                            <a:gdLst/>
                            <a:ahLst/>
                            <a:cxnLst/>
                            <a:rect l="l" t="t" r="r" b="b"/>
                            <a:pathLst>
                              <a:path w="0" h="2412365">
                                <a:moveTo>
                                  <a:pt x="0" y="0"/>
                                </a:moveTo>
                                <a:lnTo>
                                  <a:pt x="0" y="2411996"/>
                                </a:lnTo>
                              </a:path>
                            </a:pathLst>
                          </a:custGeom>
                          <a:ln w="12700">
                            <a:solidFill>
                              <a:srgbClr val="939598"/>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441.622803pt;margin-top:187.0867pt;width:40.3pt;height:189.95pt;mso-position-horizontal-relative:page;mso-position-vertical-relative:page;z-index:15781888" id="docshapegroup141" coordorigin="8832,3742" coordsize="806,3799">
                <v:rect style="position:absolute;left:8844;top:3741;width:794;height:567" id="docshape142" filled="true" fillcolor="#939598" stroked="false">
                  <v:fill type="solid"/>
                </v:rect>
                <v:line style="position:absolute" from="8842,3742" to="8842,7540" stroked="true" strokeweight="1pt" strokecolor="#939598">
                  <v:stroke dashstyle="solid"/>
                </v:line>
                <w10:wrap type="none"/>
              </v:group>
            </w:pict>
          </mc:Fallback>
        </mc:AlternateContent>
      </w:r>
      <w:r>
        <w:rPr/>
        <mc:AlternateContent>
          <mc:Choice Requires="wps">
            <w:drawing>
              <wp:anchor distT="0" distB="0" distL="0" distR="0" allowOverlap="1" layoutInCell="1" locked="0" behindDoc="0" simplePos="0" relativeHeight="15782400">
                <wp:simplePos x="0" y="0"/>
                <wp:positionH relativeFrom="page">
                  <wp:posOffset>5635147</wp:posOffset>
                </wp:positionH>
                <wp:positionV relativeFrom="page">
                  <wp:posOffset>2795300</wp:posOffset>
                </wp:positionV>
                <wp:extent cx="299720" cy="1995805"/>
                <wp:effectExtent l="0" t="0" r="0" b="0"/>
                <wp:wrapNone/>
                <wp:docPr id="173" name="Textbox 173"/>
                <wp:cNvGraphicFramePr>
                  <a:graphicFrameLocks/>
                </wp:cNvGraphicFramePr>
                <a:graphic>
                  <a:graphicData uri="http://schemas.microsoft.com/office/word/2010/wordprocessingShape">
                    <wps:wsp>
                      <wps:cNvPr id="173" name="Textbox 173"/>
                      <wps:cNvSpPr txBox="1"/>
                      <wps:spPr>
                        <a:xfrm>
                          <a:off x="0" y="0"/>
                          <a:ext cx="299720" cy="1995805"/>
                        </a:xfrm>
                        <a:prstGeom prst="rect">
                          <a:avLst/>
                        </a:prstGeom>
                      </wps:spPr>
                      <wps:txbx>
                        <w:txbxContent>
                          <w:p>
                            <w:pPr>
                              <w:spacing w:before="20"/>
                              <w:ind w:left="20" w:right="0" w:firstLine="0"/>
                              <w:jc w:val="left"/>
                              <w:rPr>
                                <w:rFonts w:ascii="Minion Pro"/>
                                <w:sz w:val="32"/>
                              </w:rPr>
                            </w:pPr>
                            <w:r>
                              <w:rPr>
                                <w:rFonts w:ascii="Minion Pro"/>
                                <w:color w:val="231F20"/>
                                <w:sz w:val="32"/>
                              </w:rPr>
                              <w:t>Commented</w:t>
                            </w:r>
                            <w:r>
                              <w:rPr>
                                <w:rFonts w:ascii="Minion Pro"/>
                                <w:color w:val="231F20"/>
                                <w:spacing w:val="-10"/>
                                <w:sz w:val="32"/>
                              </w:rPr>
                              <w:t> </w:t>
                            </w:r>
                            <w:r>
                              <w:rPr>
                                <w:rFonts w:ascii="Minion Pro"/>
                                <w:color w:val="231F20"/>
                                <w:spacing w:val="-2"/>
                                <w:sz w:val="32"/>
                              </w:rPr>
                              <w:t>documents</w:t>
                            </w:r>
                          </w:p>
                        </w:txbxContent>
                      </wps:txbx>
                      <wps:bodyPr wrap="square" lIns="0" tIns="0" rIns="0" bIns="0" rtlCol="0" vert="vert">
                        <a:noAutofit/>
                      </wps:bodyPr>
                    </wps:wsp>
                  </a:graphicData>
                </a:graphic>
              </wp:anchor>
            </w:drawing>
          </mc:Choice>
          <mc:Fallback>
            <w:pict>
              <v:shape style="position:absolute;margin-left:443.712402pt;margin-top:220.102402pt;width:23.6pt;height:157.15pt;mso-position-horizontal-relative:page;mso-position-vertical-relative:page;z-index:15782400" type="#_x0000_t202" id="docshape143" filled="false" stroked="false">
                <v:textbox inset="0,0,0,0" style="layout-flow:vertical">
                  <w:txbxContent>
                    <w:p>
                      <w:pPr>
                        <w:spacing w:before="20"/>
                        <w:ind w:left="20" w:right="0" w:firstLine="0"/>
                        <w:jc w:val="left"/>
                        <w:rPr>
                          <w:rFonts w:ascii="Minion Pro"/>
                          <w:sz w:val="32"/>
                        </w:rPr>
                      </w:pPr>
                      <w:r>
                        <w:rPr>
                          <w:rFonts w:ascii="Minion Pro"/>
                          <w:color w:val="231F20"/>
                          <w:sz w:val="32"/>
                        </w:rPr>
                        <w:t>Commented</w:t>
                      </w:r>
                      <w:r>
                        <w:rPr>
                          <w:rFonts w:ascii="Minion Pro"/>
                          <w:color w:val="231F20"/>
                          <w:spacing w:val="-10"/>
                          <w:sz w:val="32"/>
                        </w:rPr>
                        <w:t> </w:t>
                      </w:r>
                      <w:r>
                        <w:rPr>
                          <w:rFonts w:ascii="Minion Pro"/>
                          <w:color w:val="231F20"/>
                          <w:spacing w:val="-2"/>
                          <w:sz w:val="32"/>
                        </w:rPr>
                        <w:t>documents</w:t>
                      </w:r>
                    </w:p>
                  </w:txbxContent>
                </v:textbox>
                <w10:wrap type="none"/>
              </v:shape>
            </w:pict>
          </mc:Fallback>
        </mc:AlternateContent>
      </w:r>
      <w:r>
        <w:rPr>
          <w:color w:val="231F20"/>
        </w:rPr>
        <w:t>generale</w:t>
      </w:r>
      <w:r>
        <w:rPr>
          <w:color w:val="231F20"/>
          <w:spacing w:val="-1"/>
        </w:rPr>
        <w:t> </w:t>
      </w:r>
      <w:r>
        <w:rPr>
          <w:color w:val="231F20"/>
        </w:rPr>
        <w:t>ha</w:t>
      </w:r>
      <w:r>
        <w:rPr>
          <w:color w:val="231F20"/>
          <w:spacing w:val="-1"/>
        </w:rPr>
        <w:t> </w:t>
      </w:r>
      <w:r>
        <w:rPr>
          <w:color w:val="231F20"/>
        </w:rPr>
        <w:t>tratto</w:t>
      </w:r>
      <w:r>
        <w:rPr>
          <w:color w:val="231F20"/>
          <w:spacing w:val="-1"/>
        </w:rPr>
        <w:t> </w:t>
      </w:r>
      <w:r>
        <w:rPr>
          <w:color w:val="231F20"/>
        </w:rPr>
        <w:t>la</w:t>
      </w:r>
      <w:r>
        <w:rPr>
          <w:color w:val="231F20"/>
          <w:spacing w:val="-1"/>
        </w:rPr>
        <w:t> </w:t>
      </w:r>
      <w:r>
        <w:rPr>
          <w:color w:val="231F20"/>
        </w:rPr>
        <w:t>conclusione</w:t>
      </w:r>
      <w:r>
        <w:rPr>
          <w:color w:val="231F20"/>
          <w:spacing w:val="-1"/>
        </w:rPr>
        <w:t> </w:t>
      </w:r>
      <w:r>
        <w:rPr>
          <w:color w:val="231F20"/>
        </w:rPr>
        <w:t>che</w:t>
      </w:r>
      <w:r>
        <w:rPr>
          <w:color w:val="231F20"/>
          <w:spacing w:val="-1"/>
        </w:rPr>
        <w:t> </w:t>
      </w:r>
      <w:r>
        <w:rPr>
          <w:color w:val="231F20"/>
        </w:rPr>
        <w:t>l’invalidità</w:t>
      </w:r>
      <w:r>
        <w:rPr>
          <w:color w:val="231F20"/>
          <w:spacing w:val="-1"/>
        </w:rPr>
        <w:t> </w:t>
      </w:r>
      <w:r>
        <w:rPr>
          <w:color w:val="231F20"/>
        </w:rPr>
        <w:t>dell’obbligo</w:t>
      </w:r>
      <w:r>
        <w:rPr>
          <w:color w:val="231F20"/>
          <w:spacing w:val="-1"/>
        </w:rPr>
        <w:t> </w:t>
      </w:r>
      <w:r>
        <w:rPr>
          <w:color w:val="231F20"/>
        </w:rPr>
        <w:t>di</w:t>
      </w:r>
      <w:r>
        <w:rPr>
          <w:color w:val="231F20"/>
          <w:spacing w:val="-1"/>
        </w:rPr>
        <w:t> </w:t>
      </w:r>
      <w:r>
        <w:rPr>
          <w:color w:val="231F20"/>
        </w:rPr>
        <w:t>notifica</w:t>
      </w:r>
      <w:r>
        <w:rPr>
          <w:color w:val="231F20"/>
          <w:spacing w:val="-1"/>
        </w:rPr>
        <w:t> </w:t>
      </w:r>
      <w:r>
        <w:rPr>
          <w:color w:val="231F20"/>
        </w:rPr>
        <w:t>ad un</w:t>
      </w:r>
      <w:r>
        <w:rPr>
          <w:color w:val="231F20"/>
          <w:spacing w:val="22"/>
        </w:rPr>
        <w:t> </w:t>
      </w:r>
      <w:r>
        <w:rPr>
          <w:color w:val="231F20"/>
        </w:rPr>
        <w:t>altro</w:t>
      </w:r>
      <w:r>
        <w:rPr>
          <w:color w:val="231F20"/>
          <w:spacing w:val="22"/>
        </w:rPr>
        <w:t> </w:t>
      </w:r>
      <w:r>
        <w:rPr>
          <w:color w:val="231F20"/>
        </w:rPr>
        <w:t>intermediario,</w:t>
      </w:r>
      <w:r>
        <w:rPr>
          <w:color w:val="231F20"/>
          <w:spacing w:val="22"/>
        </w:rPr>
        <w:t> </w:t>
      </w:r>
      <w:r>
        <w:rPr>
          <w:color w:val="231F20"/>
        </w:rPr>
        <w:t>disposto</w:t>
      </w:r>
      <w:r>
        <w:rPr>
          <w:color w:val="231F20"/>
          <w:spacing w:val="22"/>
        </w:rPr>
        <w:t> </w:t>
      </w:r>
      <w:r>
        <w:rPr>
          <w:color w:val="231F20"/>
        </w:rPr>
        <w:t>dall’art.</w:t>
      </w:r>
      <w:r>
        <w:rPr>
          <w:color w:val="231F20"/>
          <w:spacing w:val="22"/>
        </w:rPr>
        <w:t> </w:t>
      </w:r>
      <w:r>
        <w:rPr>
          <w:color w:val="231F20"/>
        </w:rPr>
        <w:t>8</w:t>
      </w:r>
      <w:r>
        <w:rPr>
          <w:color w:val="231F20"/>
          <w:spacing w:val="22"/>
        </w:rPr>
        <w:t> </w:t>
      </w:r>
      <w:r>
        <w:rPr>
          <w:i/>
          <w:color w:val="231F20"/>
        </w:rPr>
        <w:t>bis</w:t>
      </w:r>
      <w:r>
        <w:rPr>
          <w:i/>
          <w:color w:val="231F20"/>
          <w:spacing w:val="22"/>
        </w:rPr>
        <w:t> </w:t>
      </w:r>
      <w:r>
        <w:rPr>
          <w:i/>
          <w:color w:val="231F20"/>
        </w:rPr>
        <w:t>ter</w:t>
      </w:r>
      <w:r>
        <w:rPr>
          <w:color w:val="231F20"/>
        </w:rPr>
        <w:t>,</w:t>
      </w:r>
      <w:r>
        <w:rPr>
          <w:color w:val="231F20"/>
          <w:spacing w:val="22"/>
        </w:rPr>
        <w:t> </w:t>
      </w:r>
      <w:r>
        <w:rPr>
          <w:color w:val="231F20"/>
        </w:rPr>
        <w:t>par.</w:t>
      </w:r>
      <w:r>
        <w:rPr>
          <w:color w:val="231F20"/>
          <w:spacing w:val="22"/>
        </w:rPr>
        <w:t> </w:t>
      </w:r>
      <w:r>
        <w:rPr>
          <w:color w:val="231F20"/>
        </w:rPr>
        <w:t>5,</w:t>
      </w:r>
      <w:r>
        <w:rPr>
          <w:color w:val="231F20"/>
          <w:spacing w:val="22"/>
        </w:rPr>
        <w:t> </w:t>
      </w:r>
      <w:r>
        <w:rPr>
          <w:color w:val="231F20"/>
        </w:rPr>
        <w:t>della</w:t>
      </w:r>
      <w:r>
        <w:rPr>
          <w:color w:val="231F20"/>
          <w:spacing w:val="22"/>
        </w:rPr>
        <w:t> </w:t>
      </w:r>
      <w:r>
        <w:rPr>
          <w:color w:val="231F20"/>
        </w:rPr>
        <w:t>direttiva, si applica unicamente ai professionisti «che esercitano le loro attività con uno dei titoli professionali menzionati all’articolo 1 della direttiva 98/5/ CE», vale a dire la direttiva che disciplina il diritto di stabilimento degli avvocati</w:t>
      </w:r>
      <w:r>
        <w:rPr>
          <w:color w:val="231F20"/>
          <w:spacing w:val="-8"/>
        </w:rPr>
        <w:t> </w:t>
      </w:r>
      <w:r>
        <w:rPr>
          <w:color w:val="231F20"/>
        </w:rPr>
        <w:t>da</w:t>
      </w:r>
      <w:r>
        <w:rPr>
          <w:color w:val="231F20"/>
          <w:spacing w:val="-8"/>
        </w:rPr>
        <w:t> </w:t>
      </w:r>
      <w:r>
        <w:rPr>
          <w:color w:val="231F20"/>
        </w:rPr>
        <w:t>uno</w:t>
      </w:r>
      <w:r>
        <w:rPr>
          <w:color w:val="231F20"/>
          <w:spacing w:val="-8"/>
        </w:rPr>
        <w:t> </w:t>
      </w:r>
      <w:r>
        <w:rPr>
          <w:color w:val="231F20"/>
        </w:rPr>
        <w:t>Stato</w:t>
      </w:r>
      <w:r>
        <w:rPr>
          <w:color w:val="231F20"/>
          <w:spacing w:val="-8"/>
        </w:rPr>
        <w:t> </w:t>
      </w:r>
      <w:r>
        <w:rPr>
          <w:color w:val="231F20"/>
        </w:rPr>
        <w:t>membro</w:t>
      </w:r>
      <w:r>
        <w:rPr>
          <w:color w:val="231F20"/>
          <w:spacing w:val="-8"/>
        </w:rPr>
        <w:t> </w:t>
      </w:r>
      <w:r>
        <w:rPr>
          <w:color w:val="231F20"/>
        </w:rPr>
        <w:t>all’altro</w:t>
      </w:r>
      <w:r>
        <w:rPr>
          <w:color w:val="231F20"/>
          <w:spacing w:val="-8"/>
        </w:rPr>
        <w:t> </w:t>
      </w:r>
      <w:r>
        <w:rPr>
          <w:color w:val="231F20"/>
        </w:rPr>
        <w:t>dell’Unione</w:t>
      </w:r>
      <w:r>
        <w:rPr>
          <w:color w:val="231F20"/>
          <w:position w:val="8"/>
          <w:sz w:val="14"/>
        </w:rPr>
        <w:t>123</w:t>
      </w:r>
      <w:r>
        <w:rPr>
          <w:color w:val="231F20"/>
        </w:rPr>
        <w:t>.</w:t>
      </w:r>
      <w:r>
        <w:rPr>
          <w:color w:val="231F20"/>
          <w:spacing w:val="40"/>
        </w:rPr>
        <w:t> </w:t>
      </w:r>
      <w:r>
        <w:rPr>
          <w:color w:val="231F20"/>
        </w:rPr>
        <w:t>Il</w:t>
      </w:r>
      <w:r>
        <w:rPr>
          <w:color w:val="231F20"/>
          <w:spacing w:val="-8"/>
        </w:rPr>
        <w:t> </w:t>
      </w:r>
      <w:r>
        <w:rPr>
          <w:color w:val="231F20"/>
        </w:rPr>
        <w:t>riferimento</w:t>
      </w:r>
      <w:r>
        <w:rPr>
          <w:color w:val="231F20"/>
          <w:spacing w:val="-8"/>
        </w:rPr>
        <w:t> </w:t>
      </w:r>
      <w:r>
        <w:rPr>
          <w:color w:val="231F20"/>
        </w:rPr>
        <w:t>all’e- lenco</w:t>
      </w:r>
      <w:r>
        <w:rPr>
          <w:color w:val="231F20"/>
          <w:spacing w:val="-14"/>
        </w:rPr>
        <w:t> </w:t>
      </w:r>
      <w:r>
        <w:rPr>
          <w:color w:val="231F20"/>
        </w:rPr>
        <w:t>tassativo</w:t>
      </w:r>
      <w:r>
        <w:rPr>
          <w:color w:val="231F20"/>
          <w:spacing w:val="-14"/>
        </w:rPr>
        <w:t> </w:t>
      </w:r>
      <w:r>
        <w:rPr>
          <w:color w:val="231F20"/>
        </w:rPr>
        <w:t>di</w:t>
      </w:r>
      <w:r>
        <w:rPr>
          <w:color w:val="231F20"/>
          <w:spacing w:val="-14"/>
        </w:rPr>
        <w:t> </w:t>
      </w:r>
      <w:r>
        <w:rPr>
          <w:color w:val="231F20"/>
        </w:rPr>
        <w:t>cui</w:t>
      </w:r>
      <w:r>
        <w:rPr>
          <w:color w:val="231F20"/>
          <w:spacing w:val="-14"/>
        </w:rPr>
        <w:t> </w:t>
      </w:r>
      <w:r>
        <w:rPr>
          <w:color w:val="231F20"/>
        </w:rPr>
        <w:t>all’art.</w:t>
      </w:r>
      <w:r>
        <w:rPr>
          <w:color w:val="231F20"/>
          <w:spacing w:val="-14"/>
        </w:rPr>
        <w:t> </w:t>
      </w:r>
      <w:r>
        <w:rPr>
          <w:color w:val="231F20"/>
        </w:rPr>
        <w:t>1</w:t>
      </w:r>
      <w:r>
        <w:rPr>
          <w:color w:val="231F20"/>
          <w:spacing w:val="-14"/>
        </w:rPr>
        <w:t> </w:t>
      </w:r>
      <w:r>
        <w:rPr>
          <w:color w:val="231F20"/>
        </w:rPr>
        <w:t>della</w:t>
      </w:r>
      <w:r>
        <w:rPr>
          <w:color w:val="231F20"/>
          <w:spacing w:val="-14"/>
        </w:rPr>
        <w:t> </w:t>
      </w:r>
      <w:r>
        <w:rPr>
          <w:color w:val="231F20"/>
        </w:rPr>
        <w:t>direttiva</w:t>
      </w:r>
      <w:r>
        <w:rPr>
          <w:color w:val="231F20"/>
          <w:spacing w:val="-14"/>
        </w:rPr>
        <w:t> </w:t>
      </w:r>
      <w:r>
        <w:rPr>
          <w:color w:val="231F20"/>
        </w:rPr>
        <w:t>«avvocati»</w:t>
      </w:r>
      <w:r>
        <w:rPr>
          <w:color w:val="231F20"/>
          <w:spacing w:val="-14"/>
        </w:rPr>
        <w:t> </w:t>
      </w:r>
      <w:r>
        <w:rPr>
          <w:color w:val="231F20"/>
        </w:rPr>
        <w:t>98/5/CE</w:t>
      </w:r>
      <w:r>
        <w:rPr>
          <w:color w:val="231F20"/>
          <w:spacing w:val="-14"/>
        </w:rPr>
        <w:t> </w:t>
      </w:r>
      <w:r>
        <w:rPr>
          <w:color w:val="231F20"/>
        </w:rPr>
        <w:t>circoscrive in tal modo con la massima certezza del diritto l’ambito di applicazione della dichiarazione di invalidità dell’art. 8 </w:t>
      </w:r>
      <w:r>
        <w:rPr>
          <w:i/>
          <w:color w:val="231F20"/>
        </w:rPr>
        <w:t>bis ter</w:t>
      </w:r>
      <w:r>
        <w:rPr>
          <w:color w:val="231F20"/>
        </w:rPr>
        <w:t>, par. 5, direttiva (UE) 2011/16,</w:t>
      </w:r>
      <w:r>
        <w:rPr>
          <w:color w:val="231F20"/>
          <w:spacing w:val="-13"/>
        </w:rPr>
        <w:t> </w:t>
      </w:r>
      <w:r>
        <w:rPr>
          <w:color w:val="231F20"/>
        </w:rPr>
        <w:t>pronunciata</w:t>
      </w:r>
      <w:r>
        <w:rPr>
          <w:color w:val="231F20"/>
          <w:spacing w:val="-13"/>
        </w:rPr>
        <w:t> </w:t>
      </w:r>
      <w:r>
        <w:rPr>
          <w:color w:val="231F20"/>
        </w:rPr>
        <w:t>dalla</w:t>
      </w:r>
      <w:r>
        <w:rPr>
          <w:color w:val="231F20"/>
          <w:spacing w:val="-13"/>
        </w:rPr>
        <w:t> </w:t>
      </w:r>
      <w:r>
        <w:rPr>
          <w:color w:val="231F20"/>
        </w:rPr>
        <w:t>Corte</w:t>
      </w:r>
      <w:r>
        <w:rPr>
          <w:color w:val="231F20"/>
          <w:spacing w:val="-13"/>
        </w:rPr>
        <w:t> </w:t>
      </w:r>
      <w:r>
        <w:rPr>
          <w:color w:val="231F20"/>
        </w:rPr>
        <w:t>di</w:t>
      </w:r>
      <w:r>
        <w:rPr>
          <w:color w:val="231F20"/>
          <w:spacing w:val="-13"/>
        </w:rPr>
        <w:t> </w:t>
      </w:r>
      <w:r>
        <w:rPr>
          <w:color w:val="231F20"/>
        </w:rPr>
        <w:t>giustizia</w:t>
      </w:r>
      <w:r>
        <w:rPr>
          <w:color w:val="231F20"/>
          <w:spacing w:val="-13"/>
        </w:rPr>
        <w:t> </w:t>
      </w:r>
      <w:r>
        <w:rPr>
          <w:color w:val="231F20"/>
        </w:rPr>
        <w:t>nella</w:t>
      </w:r>
      <w:r>
        <w:rPr>
          <w:color w:val="231F20"/>
          <w:spacing w:val="-13"/>
        </w:rPr>
        <w:t> </w:t>
      </w:r>
      <w:r>
        <w:rPr>
          <w:color w:val="231F20"/>
        </w:rPr>
        <w:t>sua</w:t>
      </w:r>
      <w:r>
        <w:rPr>
          <w:color w:val="231F20"/>
          <w:spacing w:val="-13"/>
        </w:rPr>
        <w:t> </w:t>
      </w:r>
      <w:r>
        <w:rPr>
          <w:color w:val="231F20"/>
        </w:rPr>
        <w:t>precedente</w:t>
      </w:r>
      <w:r>
        <w:rPr>
          <w:color w:val="231F20"/>
          <w:spacing w:val="-13"/>
        </w:rPr>
        <w:t> </w:t>
      </w:r>
      <w:r>
        <w:rPr>
          <w:color w:val="231F20"/>
        </w:rPr>
        <w:t>sentenza C-694/20 sopra esaminata. Dal confronto fra tale precisazione formulata dalla</w:t>
      </w:r>
      <w:r>
        <w:rPr>
          <w:color w:val="231F20"/>
          <w:spacing w:val="-8"/>
        </w:rPr>
        <w:t> </w:t>
      </w:r>
      <w:r>
        <w:rPr>
          <w:color w:val="231F20"/>
        </w:rPr>
        <w:t>Corte</w:t>
      </w:r>
      <w:r>
        <w:rPr>
          <w:color w:val="231F20"/>
          <w:spacing w:val="-8"/>
        </w:rPr>
        <w:t> </w:t>
      </w:r>
      <w:r>
        <w:rPr>
          <w:color w:val="231F20"/>
        </w:rPr>
        <w:t>nella</w:t>
      </w:r>
      <w:r>
        <w:rPr>
          <w:color w:val="231F20"/>
          <w:spacing w:val="-8"/>
        </w:rPr>
        <w:t> </w:t>
      </w:r>
      <w:r>
        <w:rPr>
          <w:color w:val="231F20"/>
        </w:rPr>
        <w:t>sua</w:t>
      </w:r>
      <w:r>
        <w:rPr>
          <w:color w:val="231F20"/>
          <w:spacing w:val="-8"/>
        </w:rPr>
        <w:t> </w:t>
      </w:r>
      <w:r>
        <w:rPr>
          <w:color w:val="231F20"/>
        </w:rPr>
        <w:t>sentenza</w:t>
      </w:r>
      <w:r>
        <w:rPr>
          <w:color w:val="231F20"/>
          <w:spacing w:val="-8"/>
        </w:rPr>
        <w:t> </w:t>
      </w:r>
      <w:r>
        <w:rPr>
          <w:i/>
          <w:color w:val="231F20"/>
        </w:rPr>
        <w:t>BATL</w:t>
      </w:r>
      <w:r>
        <w:rPr>
          <w:i/>
          <w:color w:val="231F20"/>
          <w:spacing w:val="-8"/>
        </w:rPr>
        <w:t> </w:t>
      </w:r>
      <w:r>
        <w:rPr>
          <w:color w:val="231F20"/>
        </w:rPr>
        <w:t>del</w:t>
      </w:r>
      <w:r>
        <w:rPr>
          <w:color w:val="231F20"/>
          <w:spacing w:val="-8"/>
        </w:rPr>
        <w:t> </w:t>
      </w:r>
      <w:r>
        <w:rPr>
          <w:color w:val="231F20"/>
        </w:rPr>
        <w:t>29</w:t>
      </w:r>
      <w:r>
        <w:rPr>
          <w:color w:val="231F20"/>
          <w:spacing w:val="-8"/>
        </w:rPr>
        <w:t> </w:t>
      </w:r>
      <w:r>
        <w:rPr>
          <w:color w:val="231F20"/>
        </w:rPr>
        <w:t>luglio</w:t>
      </w:r>
      <w:r>
        <w:rPr>
          <w:color w:val="231F20"/>
          <w:spacing w:val="-8"/>
        </w:rPr>
        <w:t> </w:t>
      </w:r>
      <w:r>
        <w:rPr>
          <w:color w:val="231F20"/>
        </w:rPr>
        <w:t>2024</w:t>
      </w:r>
      <w:r>
        <w:rPr>
          <w:color w:val="231F20"/>
          <w:spacing w:val="-8"/>
        </w:rPr>
        <w:t> </w:t>
      </w:r>
      <w:r>
        <w:rPr>
          <w:color w:val="231F20"/>
        </w:rPr>
        <w:t>e</w:t>
      </w:r>
      <w:r>
        <w:rPr>
          <w:color w:val="231F20"/>
          <w:spacing w:val="-8"/>
        </w:rPr>
        <w:t> </w:t>
      </w:r>
      <w:r>
        <w:rPr>
          <w:color w:val="231F20"/>
        </w:rPr>
        <w:t>il</w:t>
      </w:r>
      <w:r>
        <w:rPr>
          <w:color w:val="231F20"/>
          <w:spacing w:val="-8"/>
        </w:rPr>
        <w:t> </w:t>
      </w:r>
      <w:r>
        <w:rPr>
          <w:color w:val="231F20"/>
        </w:rPr>
        <w:t>testo</w:t>
      </w:r>
      <w:r>
        <w:rPr>
          <w:color w:val="231F20"/>
          <w:spacing w:val="-8"/>
        </w:rPr>
        <w:t> </w:t>
      </w:r>
      <w:r>
        <w:rPr>
          <w:color w:val="231F20"/>
        </w:rPr>
        <w:t>del</w:t>
      </w:r>
      <w:r>
        <w:rPr>
          <w:color w:val="231F20"/>
          <w:spacing w:val="-8"/>
        </w:rPr>
        <w:t> </w:t>
      </w:r>
      <w:r>
        <w:rPr>
          <w:color w:val="231F20"/>
        </w:rPr>
        <w:t>nuovo par.</w:t>
      </w:r>
      <w:r>
        <w:rPr>
          <w:color w:val="231F20"/>
          <w:spacing w:val="-2"/>
        </w:rPr>
        <w:t> </w:t>
      </w:r>
      <w:r>
        <w:rPr>
          <w:color w:val="231F20"/>
        </w:rPr>
        <w:t>5</w:t>
      </w:r>
      <w:r>
        <w:rPr>
          <w:color w:val="231F20"/>
          <w:spacing w:val="-2"/>
        </w:rPr>
        <w:t> </w:t>
      </w:r>
      <w:r>
        <w:rPr>
          <w:color w:val="231F20"/>
        </w:rPr>
        <w:t>dell’art.</w:t>
      </w:r>
      <w:r>
        <w:rPr>
          <w:color w:val="231F20"/>
          <w:spacing w:val="-2"/>
        </w:rPr>
        <w:t> </w:t>
      </w:r>
      <w:r>
        <w:rPr>
          <w:color w:val="231F20"/>
        </w:rPr>
        <w:t>8</w:t>
      </w:r>
      <w:r>
        <w:rPr>
          <w:color w:val="231F20"/>
          <w:spacing w:val="-2"/>
        </w:rPr>
        <w:t> </w:t>
      </w:r>
      <w:r>
        <w:rPr>
          <w:i/>
          <w:color w:val="231F20"/>
        </w:rPr>
        <w:t>bis</w:t>
      </w:r>
      <w:r>
        <w:rPr>
          <w:i/>
          <w:color w:val="231F20"/>
          <w:spacing w:val="-2"/>
        </w:rPr>
        <w:t> </w:t>
      </w:r>
      <w:r>
        <w:rPr>
          <w:i/>
          <w:color w:val="231F20"/>
        </w:rPr>
        <w:t>ter</w:t>
      </w:r>
      <w:r>
        <w:rPr>
          <w:color w:val="231F20"/>
        </w:rPr>
        <w:t>,</w:t>
      </w:r>
      <w:r>
        <w:rPr>
          <w:color w:val="231F20"/>
          <w:spacing w:val="-2"/>
        </w:rPr>
        <w:t> </w:t>
      </w:r>
      <w:r>
        <w:rPr>
          <w:color w:val="231F20"/>
        </w:rPr>
        <w:t>direttiva</w:t>
      </w:r>
      <w:r>
        <w:rPr>
          <w:color w:val="231F20"/>
          <w:spacing w:val="-2"/>
        </w:rPr>
        <w:t> </w:t>
      </w:r>
      <w:r>
        <w:rPr>
          <w:color w:val="231F20"/>
        </w:rPr>
        <w:t>(UE)</w:t>
      </w:r>
      <w:r>
        <w:rPr>
          <w:color w:val="231F20"/>
          <w:spacing w:val="-2"/>
        </w:rPr>
        <w:t> </w:t>
      </w:r>
      <w:r>
        <w:rPr>
          <w:color w:val="231F20"/>
        </w:rPr>
        <w:t>2023/2226,</w:t>
      </w:r>
      <w:r>
        <w:rPr>
          <w:color w:val="231F20"/>
          <w:spacing w:val="-2"/>
        </w:rPr>
        <w:t> </w:t>
      </w:r>
      <w:r>
        <w:rPr>
          <w:color w:val="231F20"/>
        </w:rPr>
        <w:t>c.d.</w:t>
      </w:r>
      <w:r>
        <w:rPr>
          <w:color w:val="231F20"/>
          <w:spacing w:val="-2"/>
        </w:rPr>
        <w:t> </w:t>
      </w:r>
      <w:r>
        <w:rPr>
          <w:color w:val="231F20"/>
        </w:rPr>
        <w:t>DAC</w:t>
      </w:r>
      <w:r>
        <w:rPr>
          <w:color w:val="231F20"/>
          <w:spacing w:val="-2"/>
        </w:rPr>
        <w:t> </w:t>
      </w:r>
      <w:r>
        <w:rPr>
          <w:color w:val="231F20"/>
        </w:rPr>
        <w:t>8,</w:t>
      </w:r>
      <w:r>
        <w:rPr>
          <w:color w:val="231F20"/>
          <w:spacing w:val="-2"/>
        </w:rPr>
        <w:t> </w:t>
      </w:r>
      <w:r>
        <w:rPr>
          <w:color w:val="231F20"/>
        </w:rPr>
        <w:t>adottata</w:t>
      </w:r>
      <w:r>
        <w:rPr>
          <w:color w:val="231F20"/>
          <w:spacing w:val="-2"/>
        </w:rPr>
        <w:t> </w:t>
      </w:r>
      <w:r>
        <w:rPr>
          <w:color w:val="231F20"/>
        </w:rPr>
        <w:t>il 17</w:t>
      </w:r>
      <w:r>
        <w:rPr>
          <w:color w:val="231F20"/>
          <w:spacing w:val="-1"/>
        </w:rPr>
        <w:t> </w:t>
      </w:r>
      <w:r>
        <w:rPr>
          <w:color w:val="231F20"/>
        </w:rPr>
        <w:t>ottobre</w:t>
      </w:r>
      <w:r>
        <w:rPr>
          <w:color w:val="231F20"/>
          <w:spacing w:val="-1"/>
        </w:rPr>
        <w:t> </w:t>
      </w:r>
      <w:r>
        <w:rPr>
          <w:color w:val="231F20"/>
        </w:rPr>
        <w:t>2023,</w:t>
      </w:r>
      <w:r>
        <w:rPr>
          <w:color w:val="231F20"/>
          <w:spacing w:val="-1"/>
        </w:rPr>
        <w:t> </w:t>
      </w:r>
      <w:r>
        <w:rPr>
          <w:color w:val="231F20"/>
        </w:rPr>
        <w:t>risulta</w:t>
      </w:r>
      <w:r>
        <w:rPr>
          <w:color w:val="231F20"/>
          <w:spacing w:val="-1"/>
        </w:rPr>
        <w:t> </w:t>
      </w:r>
      <w:r>
        <w:rPr>
          <w:color w:val="231F20"/>
        </w:rPr>
        <w:t>che</w:t>
      </w:r>
      <w:r>
        <w:rPr>
          <w:color w:val="231F20"/>
          <w:spacing w:val="-1"/>
        </w:rPr>
        <w:t> </w:t>
      </w:r>
      <w:r>
        <w:rPr>
          <w:color w:val="231F20"/>
        </w:rPr>
        <w:t>probabilmente</w:t>
      </w:r>
      <w:r>
        <w:rPr>
          <w:color w:val="231F20"/>
          <w:spacing w:val="-1"/>
        </w:rPr>
        <w:t> </w:t>
      </w:r>
      <w:r>
        <w:rPr>
          <w:color w:val="231F20"/>
        </w:rPr>
        <w:t>il</w:t>
      </w:r>
      <w:r>
        <w:rPr>
          <w:color w:val="231F20"/>
          <w:spacing w:val="-1"/>
        </w:rPr>
        <w:t> </w:t>
      </w:r>
      <w:r>
        <w:rPr>
          <w:color w:val="231F20"/>
        </w:rPr>
        <w:t>legislatore</w:t>
      </w:r>
      <w:r>
        <w:rPr>
          <w:color w:val="231F20"/>
          <w:spacing w:val="-1"/>
        </w:rPr>
        <w:t> </w:t>
      </w:r>
      <w:r>
        <w:rPr>
          <w:color w:val="231F20"/>
        </w:rPr>
        <w:t>dell’Unione</w:t>
      </w:r>
      <w:r>
        <w:rPr>
          <w:color w:val="231F20"/>
          <w:spacing w:val="-1"/>
        </w:rPr>
        <w:t> </w:t>
      </w:r>
      <w:r>
        <w:rPr>
          <w:color w:val="231F20"/>
        </w:rPr>
        <w:t>è</w:t>
      </w:r>
      <w:r>
        <w:rPr>
          <w:color w:val="231F20"/>
          <w:spacing w:val="-1"/>
        </w:rPr>
        <w:t> </w:t>
      </w:r>
      <w:r>
        <w:rPr>
          <w:color w:val="231F20"/>
        </w:rPr>
        <w:t>an- dato</w:t>
      </w:r>
      <w:r>
        <w:rPr>
          <w:color w:val="231F20"/>
          <w:spacing w:val="-10"/>
        </w:rPr>
        <w:t> </w:t>
      </w:r>
      <w:r>
        <w:rPr>
          <w:color w:val="231F20"/>
        </w:rPr>
        <w:t>oltre</w:t>
      </w:r>
      <w:r>
        <w:rPr>
          <w:color w:val="231F20"/>
          <w:spacing w:val="-10"/>
        </w:rPr>
        <w:t> </w:t>
      </w:r>
      <w:r>
        <w:rPr>
          <w:color w:val="231F20"/>
        </w:rPr>
        <w:t>le</w:t>
      </w:r>
      <w:r>
        <w:rPr>
          <w:color w:val="231F20"/>
          <w:spacing w:val="-10"/>
        </w:rPr>
        <w:t> </w:t>
      </w:r>
      <w:r>
        <w:rPr>
          <w:color w:val="231F20"/>
        </w:rPr>
        <w:t>esigenze</w:t>
      </w:r>
      <w:r>
        <w:rPr>
          <w:color w:val="231F20"/>
          <w:spacing w:val="-10"/>
        </w:rPr>
        <w:t> </w:t>
      </w:r>
      <w:r>
        <w:rPr>
          <w:color w:val="231F20"/>
        </w:rPr>
        <w:t>imposte</w:t>
      </w:r>
      <w:r>
        <w:rPr>
          <w:color w:val="231F20"/>
          <w:spacing w:val="-10"/>
        </w:rPr>
        <w:t> </w:t>
      </w:r>
      <w:r>
        <w:rPr>
          <w:color w:val="231F20"/>
        </w:rPr>
        <w:t>dalla</w:t>
      </w:r>
      <w:r>
        <w:rPr>
          <w:color w:val="231F20"/>
          <w:spacing w:val="-10"/>
        </w:rPr>
        <w:t> </w:t>
      </w:r>
      <w:r>
        <w:rPr>
          <w:color w:val="231F20"/>
        </w:rPr>
        <w:t>sentenza</w:t>
      </w:r>
      <w:r>
        <w:rPr>
          <w:color w:val="231F20"/>
          <w:spacing w:val="-10"/>
        </w:rPr>
        <w:t> </w:t>
      </w:r>
      <w:r>
        <w:rPr>
          <w:i/>
          <w:color w:val="231F20"/>
        </w:rPr>
        <w:t>Ordine</w:t>
      </w:r>
      <w:r>
        <w:rPr>
          <w:i/>
          <w:color w:val="231F20"/>
          <w:spacing w:val="-10"/>
        </w:rPr>
        <w:t> </w:t>
      </w:r>
      <w:r>
        <w:rPr>
          <w:i/>
          <w:color w:val="231F20"/>
        </w:rPr>
        <w:t>degli</w:t>
      </w:r>
      <w:r>
        <w:rPr>
          <w:i/>
          <w:color w:val="231F20"/>
          <w:spacing w:val="-10"/>
        </w:rPr>
        <w:t> </w:t>
      </w:r>
      <w:r>
        <w:rPr>
          <w:i/>
          <w:color w:val="231F20"/>
        </w:rPr>
        <w:t>avvocati</w:t>
      </w:r>
      <w:r>
        <w:rPr>
          <w:i/>
          <w:color w:val="231F20"/>
          <w:spacing w:val="-10"/>
        </w:rPr>
        <w:t> </w:t>
      </w:r>
      <w:r>
        <w:rPr>
          <w:i/>
          <w:color w:val="231F20"/>
        </w:rPr>
        <w:t>fiammin-</w:t>
      </w:r>
      <w:r>
        <w:rPr>
          <w:i/>
          <w:color w:val="231F20"/>
        </w:rPr>
        <w:t> ghi </w:t>
      </w:r>
      <w:r>
        <w:rPr>
          <w:color w:val="231F20"/>
        </w:rPr>
        <w:t>dell’8 dicembre 2022 nella misura in cui detto legislatore ha esentato dall’obbligo di notifica ad un altro intermediario del proprio obbligo di comunicazione</w:t>
      </w:r>
      <w:r>
        <w:rPr>
          <w:color w:val="231F20"/>
          <w:spacing w:val="-15"/>
        </w:rPr>
        <w:t> </w:t>
      </w:r>
      <w:r>
        <w:rPr>
          <w:color w:val="231F20"/>
        </w:rPr>
        <w:t>all’amministrazione,</w:t>
      </w:r>
      <w:r>
        <w:rPr>
          <w:color w:val="231F20"/>
          <w:spacing w:val="-15"/>
        </w:rPr>
        <w:t> </w:t>
      </w:r>
      <w:r>
        <w:rPr>
          <w:color w:val="231F20"/>
        </w:rPr>
        <w:t>tutti</w:t>
      </w:r>
      <w:r>
        <w:rPr>
          <w:color w:val="231F20"/>
          <w:spacing w:val="-15"/>
        </w:rPr>
        <w:t> </w:t>
      </w:r>
      <w:r>
        <w:rPr>
          <w:color w:val="231F20"/>
        </w:rPr>
        <w:t>i</w:t>
      </w:r>
      <w:r>
        <w:rPr>
          <w:color w:val="231F20"/>
          <w:spacing w:val="-15"/>
        </w:rPr>
        <w:t> </w:t>
      </w:r>
      <w:r>
        <w:rPr>
          <w:color w:val="231F20"/>
        </w:rPr>
        <w:t>professionisti</w:t>
      </w:r>
      <w:r>
        <w:rPr>
          <w:color w:val="231F20"/>
          <w:spacing w:val="-15"/>
        </w:rPr>
        <w:t> </w:t>
      </w:r>
      <w:r>
        <w:rPr>
          <w:color w:val="231F20"/>
        </w:rPr>
        <w:t>vincolati</w:t>
      </w:r>
      <w:r>
        <w:rPr>
          <w:color w:val="231F20"/>
          <w:spacing w:val="-15"/>
        </w:rPr>
        <w:t> </w:t>
      </w:r>
      <w:r>
        <w:rPr>
          <w:color w:val="231F20"/>
        </w:rPr>
        <w:t>in</w:t>
      </w:r>
      <w:r>
        <w:rPr>
          <w:color w:val="231F20"/>
          <w:spacing w:val="-15"/>
        </w:rPr>
        <w:t> </w:t>
      </w:r>
      <w:r>
        <w:rPr>
          <w:color w:val="231F20"/>
        </w:rPr>
        <w:t>diritto nazionale dal segreto professionale e non soltanto gli avvocati.</w:t>
      </w:r>
    </w:p>
    <w:p>
      <w:pPr>
        <w:pStyle w:val="BodyText"/>
        <w:spacing w:before="55"/>
      </w:pPr>
    </w:p>
    <w:p>
      <w:pPr>
        <w:pStyle w:val="ListParagraph"/>
        <w:numPr>
          <w:ilvl w:val="2"/>
          <w:numId w:val="4"/>
        </w:numPr>
        <w:tabs>
          <w:tab w:pos="757" w:val="left" w:leader="none"/>
        </w:tabs>
        <w:spacing w:line="230" w:lineRule="auto" w:before="0" w:after="0"/>
        <w:ind w:left="157" w:right="181" w:firstLine="0"/>
        <w:jc w:val="left"/>
        <w:rPr>
          <w:i/>
          <w:sz w:val="24"/>
        </w:rPr>
      </w:pPr>
      <w:r>
        <w:rPr>
          <w:i/>
          <w:color w:val="231F20"/>
          <w:sz w:val="24"/>
        </w:rPr>
        <w:t>Legittimità,</w:t>
      </w:r>
      <w:r>
        <w:rPr>
          <w:i/>
          <w:color w:val="231F20"/>
          <w:spacing w:val="-10"/>
          <w:sz w:val="24"/>
        </w:rPr>
        <w:t> </w:t>
      </w:r>
      <w:r>
        <w:rPr>
          <w:i/>
          <w:color w:val="231F20"/>
          <w:sz w:val="24"/>
        </w:rPr>
        <w:t>in</w:t>
      </w:r>
      <w:r>
        <w:rPr>
          <w:i/>
          <w:color w:val="231F20"/>
          <w:spacing w:val="-10"/>
          <w:sz w:val="24"/>
        </w:rPr>
        <w:t> </w:t>
      </w:r>
      <w:r>
        <w:rPr>
          <w:i/>
          <w:color w:val="231F20"/>
          <w:sz w:val="24"/>
        </w:rPr>
        <w:t>relazione</w:t>
      </w:r>
      <w:r>
        <w:rPr>
          <w:i/>
          <w:color w:val="231F20"/>
          <w:spacing w:val="-10"/>
          <w:sz w:val="24"/>
        </w:rPr>
        <w:t> </w:t>
      </w:r>
      <w:r>
        <w:rPr>
          <w:i/>
          <w:color w:val="231F20"/>
          <w:sz w:val="24"/>
        </w:rPr>
        <w:t>all’art.</w:t>
      </w:r>
      <w:r>
        <w:rPr>
          <w:i/>
          <w:color w:val="231F20"/>
          <w:spacing w:val="-10"/>
          <w:sz w:val="24"/>
        </w:rPr>
        <w:t> </w:t>
      </w:r>
      <w:r>
        <w:rPr>
          <w:i/>
          <w:color w:val="231F20"/>
          <w:sz w:val="24"/>
        </w:rPr>
        <w:t>7</w:t>
      </w:r>
      <w:r>
        <w:rPr>
          <w:i/>
          <w:color w:val="231F20"/>
          <w:spacing w:val="-10"/>
          <w:sz w:val="24"/>
        </w:rPr>
        <w:t> </w:t>
      </w:r>
      <w:r>
        <w:rPr>
          <w:i/>
          <w:color w:val="231F20"/>
          <w:sz w:val="24"/>
        </w:rPr>
        <w:t>CDF,</w:t>
      </w:r>
      <w:r>
        <w:rPr>
          <w:i/>
          <w:color w:val="231F20"/>
          <w:spacing w:val="-10"/>
          <w:sz w:val="24"/>
        </w:rPr>
        <w:t> </w:t>
      </w:r>
      <w:r>
        <w:rPr>
          <w:i/>
          <w:color w:val="231F20"/>
          <w:sz w:val="24"/>
        </w:rPr>
        <w:t>dell’obbligo</w:t>
      </w:r>
      <w:r>
        <w:rPr>
          <w:i/>
          <w:color w:val="231F20"/>
          <w:spacing w:val="-10"/>
          <w:sz w:val="24"/>
        </w:rPr>
        <w:t> </w:t>
      </w:r>
      <w:r>
        <w:rPr>
          <w:i/>
          <w:color w:val="231F20"/>
          <w:sz w:val="24"/>
        </w:rPr>
        <w:t>di</w:t>
      </w:r>
      <w:r>
        <w:rPr>
          <w:i/>
          <w:color w:val="231F20"/>
          <w:spacing w:val="-10"/>
          <w:sz w:val="24"/>
        </w:rPr>
        <w:t> </w:t>
      </w:r>
      <w:r>
        <w:rPr>
          <w:i/>
          <w:color w:val="231F20"/>
          <w:sz w:val="24"/>
        </w:rPr>
        <w:t>comunicazione</w:t>
      </w:r>
      <w:r>
        <w:rPr>
          <w:i/>
          <w:color w:val="231F20"/>
          <w:sz w:val="24"/>
        </w:rPr>
        <w:t> all’amministrazione dei «meccanismi di pianificazione fiscale aggressiva»</w:t>
      </w:r>
    </w:p>
    <w:p>
      <w:pPr>
        <w:pStyle w:val="BodyText"/>
        <w:spacing w:line="225" w:lineRule="auto" w:before="172"/>
        <w:ind w:left="157" w:right="117"/>
        <w:jc w:val="both"/>
      </w:pPr>
      <w:r>
        <w:rPr>
          <w:color w:val="231F20"/>
        </w:rPr>
        <w:t>L’ultima questione di validità sollevata dalla Corte costituzionale belga </w:t>
      </w:r>
      <w:r>
        <w:rPr>
          <w:color w:val="231F20"/>
        </w:rPr>
        <w:t>ri- guarda</w:t>
      </w:r>
      <w:r>
        <w:rPr>
          <w:color w:val="231F20"/>
          <w:spacing w:val="-6"/>
        </w:rPr>
        <w:t> </w:t>
      </w:r>
      <w:r>
        <w:rPr>
          <w:color w:val="231F20"/>
        </w:rPr>
        <w:t>la</w:t>
      </w:r>
      <w:r>
        <w:rPr>
          <w:color w:val="231F20"/>
          <w:spacing w:val="-6"/>
        </w:rPr>
        <w:t> </w:t>
      </w:r>
      <w:r>
        <w:rPr>
          <w:color w:val="231F20"/>
        </w:rPr>
        <w:t>compatibilità</w:t>
      </w:r>
      <w:r>
        <w:rPr>
          <w:color w:val="231F20"/>
          <w:spacing w:val="-6"/>
        </w:rPr>
        <w:t> </w:t>
      </w:r>
      <w:r>
        <w:rPr>
          <w:color w:val="231F20"/>
        </w:rPr>
        <w:t>con</w:t>
      </w:r>
      <w:r>
        <w:rPr>
          <w:color w:val="231F20"/>
          <w:spacing w:val="-6"/>
        </w:rPr>
        <w:t> </w:t>
      </w:r>
      <w:r>
        <w:rPr>
          <w:color w:val="231F20"/>
        </w:rPr>
        <w:t>l’art.</w:t>
      </w:r>
      <w:r>
        <w:rPr>
          <w:color w:val="231F20"/>
          <w:spacing w:val="-6"/>
        </w:rPr>
        <w:t> </w:t>
      </w:r>
      <w:r>
        <w:rPr>
          <w:color w:val="231F20"/>
        </w:rPr>
        <w:t>7</w:t>
      </w:r>
      <w:r>
        <w:rPr>
          <w:color w:val="231F20"/>
          <w:spacing w:val="-6"/>
        </w:rPr>
        <w:t> </w:t>
      </w:r>
      <w:r>
        <w:rPr>
          <w:color w:val="231F20"/>
        </w:rPr>
        <w:t>della</w:t>
      </w:r>
      <w:r>
        <w:rPr>
          <w:color w:val="231F20"/>
          <w:spacing w:val="-6"/>
        </w:rPr>
        <w:t> </w:t>
      </w:r>
      <w:r>
        <w:rPr>
          <w:color w:val="231F20"/>
        </w:rPr>
        <w:t>Carta</w:t>
      </w:r>
      <w:r>
        <w:rPr>
          <w:color w:val="231F20"/>
          <w:spacing w:val="-6"/>
        </w:rPr>
        <w:t> </w:t>
      </w:r>
      <w:r>
        <w:rPr>
          <w:color w:val="231F20"/>
        </w:rPr>
        <w:t>dei</w:t>
      </w:r>
      <w:r>
        <w:rPr>
          <w:color w:val="231F20"/>
          <w:spacing w:val="-6"/>
        </w:rPr>
        <w:t> </w:t>
      </w:r>
      <w:r>
        <w:rPr>
          <w:color w:val="231F20"/>
        </w:rPr>
        <w:t>diritti</w:t>
      </w:r>
      <w:r>
        <w:rPr>
          <w:color w:val="231F20"/>
          <w:spacing w:val="-6"/>
        </w:rPr>
        <w:t> </w:t>
      </w:r>
      <w:r>
        <w:rPr>
          <w:color w:val="231F20"/>
        </w:rPr>
        <w:t>fondamentali</w:t>
      </w:r>
      <w:r>
        <w:rPr>
          <w:color w:val="231F20"/>
          <w:spacing w:val="-6"/>
        </w:rPr>
        <w:t> </w:t>
      </w:r>
      <w:r>
        <w:rPr>
          <w:color w:val="231F20"/>
        </w:rPr>
        <w:t>(di- ritto alla tutela della vita privata) dell’obbligo nel suo complesso, imposto dall’art.</w:t>
      </w:r>
      <w:r>
        <w:rPr>
          <w:color w:val="231F20"/>
          <w:spacing w:val="-7"/>
        </w:rPr>
        <w:t> </w:t>
      </w:r>
      <w:r>
        <w:rPr>
          <w:color w:val="231F20"/>
        </w:rPr>
        <w:t>8</w:t>
      </w:r>
      <w:r>
        <w:rPr>
          <w:color w:val="231F20"/>
          <w:spacing w:val="-7"/>
        </w:rPr>
        <w:t> </w:t>
      </w:r>
      <w:r>
        <w:rPr>
          <w:i/>
          <w:color w:val="231F20"/>
        </w:rPr>
        <w:t>bis</w:t>
      </w:r>
      <w:r>
        <w:rPr>
          <w:i/>
          <w:color w:val="231F20"/>
          <w:spacing w:val="-7"/>
        </w:rPr>
        <w:t> </w:t>
      </w:r>
      <w:r>
        <w:rPr>
          <w:i/>
          <w:color w:val="231F20"/>
        </w:rPr>
        <w:t>ter</w:t>
      </w:r>
      <w:r>
        <w:rPr>
          <w:color w:val="231F20"/>
        </w:rPr>
        <w:t>,</w:t>
      </w:r>
      <w:r>
        <w:rPr>
          <w:color w:val="231F20"/>
          <w:spacing w:val="-7"/>
        </w:rPr>
        <w:t> </w:t>
      </w:r>
      <w:r>
        <w:rPr>
          <w:color w:val="231F20"/>
        </w:rPr>
        <w:t>parr.</w:t>
      </w:r>
      <w:r>
        <w:rPr>
          <w:color w:val="231F20"/>
          <w:spacing w:val="-7"/>
        </w:rPr>
        <w:t> </w:t>
      </w:r>
      <w:r>
        <w:rPr>
          <w:color w:val="231F20"/>
        </w:rPr>
        <w:t>1,</w:t>
      </w:r>
      <w:r>
        <w:rPr>
          <w:color w:val="231F20"/>
          <w:spacing w:val="-7"/>
        </w:rPr>
        <w:t> </w:t>
      </w:r>
      <w:r>
        <w:rPr>
          <w:color w:val="231F20"/>
        </w:rPr>
        <w:t>6</w:t>
      </w:r>
      <w:r>
        <w:rPr>
          <w:color w:val="231F20"/>
          <w:spacing w:val="-7"/>
        </w:rPr>
        <w:t> </w:t>
      </w:r>
      <w:r>
        <w:rPr>
          <w:color w:val="231F20"/>
        </w:rPr>
        <w:t>e</w:t>
      </w:r>
      <w:r>
        <w:rPr>
          <w:color w:val="231F20"/>
          <w:spacing w:val="-7"/>
        </w:rPr>
        <w:t> </w:t>
      </w:r>
      <w:r>
        <w:rPr>
          <w:color w:val="231F20"/>
        </w:rPr>
        <w:t>7,</w:t>
      </w:r>
      <w:r>
        <w:rPr>
          <w:color w:val="231F20"/>
          <w:spacing w:val="-7"/>
        </w:rPr>
        <w:t> </w:t>
      </w:r>
      <w:r>
        <w:rPr>
          <w:color w:val="231F20"/>
        </w:rPr>
        <w:t>della</w:t>
      </w:r>
      <w:r>
        <w:rPr>
          <w:color w:val="231F20"/>
          <w:spacing w:val="-7"/>
        </w:rPr>
        <w:t> </w:t>
      </w:r>
      <w:r>
        <w:rPr>
          <w:color w:val="231F20"/>
        </w:rPr>
        <w:t>direttiva</w:t>
      </w:r>
      <w:r>
        <w:rPr>
          <w:color w:val="231F20"/>
          <w:spacing w:val="-7"/>
        </w:rPr>
        <w:t> </w:t>
      </w:r>
      <w:r>
        <w:rPr>
          <w:color w:val="231F20"/>
        </w:rPr>
        <w:t>DAC</w:t>
      </w:r>
      <w:r>
        <w:rPr>
          <w:color w:val="231F20"/>
          <w:spacing w:val="-7"/>
        </w:rPr>
        <w:t> </w:t>
      </w:r>
      <w:r>
        <w:rPr>
          <w:color w:val="231F20"/>
        </w:rPr>
        <w:t>a</w:t>
      </w:r>
      <w:r>
        <w:rPr>
          <w:color w:val="231F20"/>
          <w:spacing w:val="-7"/>
        </w:rPr>
        <w:t> </w:t>
      </w:r>
      <w:r>
        <w:rPr>
          <w:color w:val="231F20"/>
        </w:rPr>
        <w:t>tutti</w:t>
      </w:r>
      <w:r>
        <w:rPr>
          <w:color w:val="231F20"/>
          <w:spacing w:val="-7"/>
        </w:rPr>
        <w:t> </w:t>
      </w:r>
      <w:r>
        <w:rPr>
          <w:color w:val="231F20"/>
        </w:rPr>
        <w:t>gli</w:t>
      </w:r>
      <w:r>
        <w:rPr>
          <w:color w:val="231F20"/>
          <w:spacing w:val="-7"/>
        </w:rPr>
        <w:t> </w:t>
      </w:r>
      <w:r>
        <w:rPr>
          <w:color w:val="231F20"/>
        </w:rPr>
        <w:t>intermediari/ consulenti tributari - con la sola e limitata eccezione degli avvocati – di comunicare all’amministrazione finanziaria i «meccanismi transfrontalieri di</w:t>
      </w:r>
      <w:r>
        <w:rPr>
          <w:color w:val="231F20"/>
          <w:spacing w:val="-12"/>
        </w:rPr>
        <w:t> </w:t>
      </w:r>
      <w:r>
        <w:rPr>
          <w:color w:val="231F20"/>
        </w:rPr>
        <w:t>pianificazione</w:t>
      </w:r>
      <w:r>
        <w:rPr>
          <w:color w:val="231F20"/>
          <w:spacing w:val="-9"/>
        </w:rPr>
        <w:t> </w:t>
      </w:r>
      <w:r>
        <w:rPr>
          <w:color w:val="231F20"/>
        </w:rPr>
        <w:t>fiscale»</w:t>
      </w:r>
      <w:r>
        <w:rPr>
          <w:color w:val="231F20"/>
          <w:spacing w:val="-9"/>
        </w:rPr>
        <w:t> </w:t>
      </w:r>
      <w:r>
        <w:rPr>
          <w:color w:val="231F20"/>
        </w:rPr>
        <w:t>consigliati</w:t>
      </w:r>
      <w:r>
        <w:rPr>
          <w:color w:val="231F20"/>
          <w:spacing w:val="-9"/>
        </w:rPr>
        <w:t> </w:t>
      </w:r>
      <w:r>
        <w:rPr>
          <w:color w:val="231F20"/>
        </w:rPr>
        <w:t>ai</w:t>
      </w:r>
      <w:r>
        <w:rPr>
          <w:color w:val="231F20"/>
          <w:spacing w:val="-9"/>
        </w:rPr>
        <w:t> </w:t>
      </w:r>
      <w:r>
        <w:rPr>
          <w:color w:val="231F20"/>
        </w:rPr>
        <w:t>propri</w:t>
      </w:r>
      <w:r>
        <w:rPr>
          <w:color w:val="231F20"/>
          <w:spacing w:val="-9"/>
        </w:rPr>
        <w:t> </w:t>
      </w:r>
      <w:r>
        <w:rPr>
          <w:color w:val="231F20"/>
        </w:rPr>
        <w:t>clienti.</w:t>
      </w:r>
      <w:r>
        <w:rPr>
          <w:color w:val="231F20"/>
          <w:spacing w:val="-15"/>
        </w:rPr>
        <w:t> </w:t>
      </w:r>
      <w:r>
        <w:rPr>
          <w:color w:val="231F20"/>
        </w:rPr>
        <w:t>Tale</w:t>
      </w:r>
      <w:r>
        <w:rPr>
          <w:color w:val="231F20"/>
          <w:spacing w:val="-9"/>
        </w:rPr>
        <w:t> </w:t>
      </w:r>
      <w:r>
        <w:rPr>
          <w:color w:val="231F20"/>
        </w:rPr>
        <w:t>obbligo</w:t>
      </w:r>
      <w:r>
        <w:rPr>
          <w:color w:val="231F20"/>
          <w:spacing w:val="-9"/>
        </w:rPr>
        <w:t> </w:t>
      </w:r>
      <w:r>
        <w:rPr>
          <w:color w:val="231F20"/>
        </w:rPr>
        <w:t>di</w:t>
      </w:r>
      <w:r>
        <w:rPr>
          <w:color w:val="231F20"/>
          <w:spacing w:val="-9"/>
        </w:rPr>
        <w:t> </w:t>
      </w:r>
      <w:r>
        <w:rPr>
          <w:color w:val="231F20"/>
        </w:rPr>
        <w:t>comu- nicazione</w:t>
      </w:r>
      <w:r>
        <w:rPr>
          <w:color w:val="231F20"/>
          <w:spacing w:val="-15"/>
        </w:rPr>
        <w:t> </w:t>
      </w:r>
      <w:r>
        <w:rPr>
          <w:color w:val="231F20"/>
        </w:rPr>
        <w:t>all’amministrazione</w:t>
      </w:r>
      <w:r>
        <w:rPr>
          <w:color w:val="231F20"/>
          <w:spacing w:val="-15"/>
        </w:rPr>
        <w:t> </w:t>
      </w:r>
      <w:r>
        <w:rPr>
          <w:color w:val="231F20"/>
        </w:rPr>
        <w:t>finanziaria,</w:t>
      </w:r>
      <w:r>
        <w:rPr>
          <w:color w:val="231F20"/>
          <w:spacing w:val="-15"/>
        </w:rPr>
        <w:t> </w:t>
      </w:r>
      <w:r>
        <w:rPr>
          <w:color w:val="231F20"/>
        </w:rPr>
        <w:t>secondo</w:t>
      </w:r>
      <w:r>
        <w:rPr>
          <w:color w:val="231F20"/>
          <w:spacing w:val="-15"/>
        </w:rPr>
        <w:t> </w:t>
      </w:r>
      <w:r>
        <w:rPr>
          <w:color w:val="231F20"/>
        </w:rPr>
        <w:t>le</w:t>
      </w:r>
      <w:r>
        <w:rPr>
          <w:color w:val="231F20"/>
          <w:spacing w:val="-15"/>
        </w:rPr>
        <w:t> </w:t>
      </w:r>
      <w:r>
        <w:rPr>
          <w:color w:val="231F20"/>
        </w:rPr>
        <w:t>associazioni</w:t>
      </w:r>
      <w:r>
        <w:rPr>
          <w:color w:val="231F20"/>
          <w:spacing w:val="-15"/>
        </w:rPr>
        <w:t> </w:t>
      </w:r>
      <w:r>
        <w:rPr>
          <w:color w:val="231F20"/>
        </w:rPr>
        <w:t>ricorrenti nella</w:t>
      </w:r>
      <w:r>
        <w:rPr>
          <w:color w:val="231F20"/>
          <w:spacing w:val="-6"/>
        </w:rPr>
        <w:t> </w:t>
      </w:r>
      <w:r>
        <w:rPr>
          <w:color w:val="231F20"/>
        </w:rPr>
        <w:t>causa</w:t>
      </w:r>
      <w:r>
        <w:rPr>
          <w:color w:val="231F20"/>
          <w:spacing w:val="-5"/>
        </w:rPr>
        <w:t> </w:t>
      </w:r>
      <w:r>
        <w:rPr>
          <w:i/>
          <w:color w:val="231F20"/>
        </w:rPr>
        <w:t>a</w:t>
      </w:r>
      <w:r>
        <w:rPr>
          <w:i/>
          <w:color w:val="231F20"/>
          <w:spacing w:val="-5"/>
        </w:rPr>
        <w:t> </w:t>
      </w:r>
      <w:r>
        <w:rPr>
          <w:i/>
          <w:color w:val="231F20"/>
        </w:rPr>
        <w:t>quo</w:t>
      </w:r>
      <w:r>
        <w:rPr>
          <w:color w:val="231F20"/>
        </w:rPr>
        <w:t>,</w:t>
      </w:r>
      <w:r>
        <w:rPr>
          <w:color w:val="231F20"/>
          <w:spacing w:val="-5"/>
        </w:rPr>
        <w:t> </w:t>
      </w:r>
      <w:r>
        <w:rPr>
          <w:color w:val="231F20"/>
        </w:rPr>
        <w:t>limiterebbe</w:t>
      </w:r>
      <w:r>
        <w:rPr>
          <w:color w:val="231F20"/>
          <w:spacing w:val="-5"/>
        </w:rPr>
        <w:t> </w:t>
      </w:r>
      <w:r>
        <w:rPr>
          <w:color w:val="231F20"/>
        </w:rPr>
        <w:t>infatti</w:t>
      </w:r>
      <w:r>
        <w:rPr>
          <w:color w:val="231F20"/>
          <w:spacing w:val="-6"/>
        </w:rPr>
        <w:t> </w:t>
      </w:r>
      <w:r>
        <w:rPr>
          <w:color w:val="231F20"/>
        </w:rPr>
        <w:t>la</w:t>
      </w:r>
      <w:r>
        <w:rPr>
          <w:color w:val="231F20"/>
          <w:spacing w:val="-5"/>
        </w:rPr>
        <w:t> </w:t>
      </w:r>
      <w:r>
        <w:rPr>
          <w:color w:val="231F20"/>
        </w:rPr>
        <w:t>libertà</w:t>
      </w:r>
      <w:r>
        <w:rPr>
          <w:color w:val="231F20"/>
          <w:spacing w:val="-5"/>
        </w:rPr>
        <w:t> </w:t>
      </w:r>
      <w:r>
        <w:rPr>
          <w:color w:val="231F20"/>
        </w:rPr>
        <w:t>del</w:t>
      </w:r>
      <w:r>
        <w:rPr>
          <w:color w:val="231F20"/>
          <w:spacing w:val="-5"/>
        </w:rPr>
        <w:t> </w:t>
      </w:r>
      <w:r>
        <w:rPr>
          <w:color w:val="231F20"/>
        </w:rPr>
        <w:t>contribuente</w:t>
      </w:r>
      <w:r>
        <w:rPr>
          <w:color w:val="231F20"/>
          <w:spacing w:val="-5"/>
        </w:rPr>
        <w:t> </w:t>
      </w:r>
      <w:r>
        <w:rPr>
          <w:color w:val="231F20"/>
        </w:rPr>
        <w:t>di</w:t>
      </w:r>
      <w:r>
        <w:rPr>
          <w:color w:val="231F20"/>
          <w:spacing w:val="-5"/>
        </w:rPr>
        <w:t> </w:t>
      </w:r>
      <w:r>
        <w:rPr>
          <w:color w:val="231F20"/>
          <w:spacing w:val="-2"/>
        </w:rPr>
        <w:t>scegliere,</w:t>
      </w:r>
    </w:p>
    <w:p>
      <w:pPr>
        <w:pStyle w:val="BodyText"/>
        <w:spacing w:before="10"/>
        <w:rPr>
          <w:sz w:val="5"/>
        </w:rPr>
      </w:pPr>
      <w:r>
        <w:rPr/>
        <mc:AlternateContent>
          <mc:Choice Requires="wps">
            <w:drawing>
              <wp:anchor distT="0" distB="0" distL="0" distR="0" allowOverlap="1" layoutInCell="1" locked="0" behindDoc="1" simplePos="0" relativeHeight="487640576">
                <wp:simplePos x="0" y="0"/>
                <wp:positionH relativeFrom="page">
                  <wp:posOffset>899999</wp:posOffset>
                </wp:positionH>
                <wp:positionV relativeFrom="paragraph">
                  <wp:posOffset>62538</wp:posOffset>
                </wp:positionV>
                <wp:extent cx="792480" cy="1270"/>
                <wp:effectExtent l="0" t="0" r="0" b="0"/>
                <wp:wrapTopAndBottom/>
                <wp:docPr id="174" name="Graphic 174"/>
                <wp:cNvGraphicFramePr>
                  <a:graphicFrameLocks/>
                </wp:cNvGraphicFramePr>
                <a:graphic>
                  <a:graphicData uri="http://schemas.microsoft.com/office/word/2010/wordprocessingShape">
                    <wps:wsp>
                      <wps:cNvPr id="174" name="Graphic 174"/>
                      <wps:cNvSpPr/>
                      <wps:spPr>
                        <a:xfrm>
                          <a:off x="0" y="0"/>
                          <a:ext cx="792480" cy="1270"/>
                        </a:xfrm>
                        <a:custGeom>
                          <a:avLst/>
                          <a:gdLst/>
                          <a:ahLst/>
                          <a:cxnLst/>
                          <a:rect l="l" t="t" r="r" b="b"/>
                          <a:pathLst>
                            <a:path w="792480" h="0">
                              <a:moveTo>
                                <a:pt x="0" y="0"/>
                              </a:moveTo>
                              <a:lnTo>
                                <a:pt x="791997"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shape style="position:absolute;margin-left:70.866096pt;margin-top:4.924260pt;width:62.4pt;height:.1pt;mso-position-horizontal-relative:page;mso-position-vertical-relative:paragraph;z-index:-15675904;mso-wrap-distance-left:0;mso-wrap-distance-right:0" id="docshape144" coordorigin="1417,98" coordsize="1248,0" path="m1417,98l2665,98e" filled="false" stroked="true" strokeweight=".5pt" strokecolor="#231f20">
                <v:path arrowok="t"/>
                <v:stroke dashstyle="solid"/>
                <w10:wrap type="topAndBottom"/>
              </v:shape>
            </w:pict>
          </mc:Fallback>
        </mc:AlternateContent>
      </w:r>
    </w:p>
    <w:p>
      <w:pPr>
        <w:spacing w:line="225" w:lineRule="auto" w:before="201"/>
        <w:ind w:left="157" w:right="119" w:firstLine="0"/>
        <w:jc w:val="both"/>
        <w:rPr>
          <w:sz w:val="19"/>
        </w:rPr>
      </w:pPr>
      <w:r>
        <w:rPr>
          <w:color w:val="231F20"/>
          <w:position w:val="6"/>
          <w:sz w:val="11"/>
        </w:rPr>
        <w:t>123</w:t>
      </w:r>
      <w:r>
        <w:rPr>
          <w:color w:val="231F20"/>
          <w:spacing w:val="80"/>
          <w:position w:val="6"/>
          <w:sz w:val="11"/>
        </w:rPr>
        <w:t> </w:t>
      </w:r>
      <w:r>
        <w:rPr>
          <w:color w:val="231F20"/>
          <w:sz w:val="19"/>
        </w:rPr>
        <w:t>Direttiva</w:t>
      </w:r>
      <w:r>
        <w:rPr>
          <w:color w:val="231F20"/>
          <w:spacing w:val="11"/>
          <w:sz w:val="19"/>
        </w:rPr>
        <w:t> </w:t>
      </w:r>
      <w:r>
        <w:rPr>
          <w:color w:val="231F20"/>
          <w:sz w:val="19"/>
        </w:rPr>
        <w:t>(CE)</w:t>
      </w:r>
      <w:r>
        <w:rPr>
          <w:color w:val="231F20"/>
          <w:spacing w:val="11"/>
          <w:sz w:val="19"/>
        </w:rPr>
        <w:t> </w:t>
      </w:r>
      <w:r>
        <w:rPr>
          <w:color w:val="231F20"/>
          <w:sz w:val="19"/>
        </w:rPr>
        <w:t>98/5</w:t>
      </w:r>
      <w:r>
        <w:rPr>
          <w:color w:val="231F20"/>
          <w:spacing w:val="11"/>
          <w:sz w:val="19"/>
        </w:rPr>
        <w:t> </w:t>
      </w:r>
      <w:r>
        <w:rPr>
          <w:color w:val="231F20"/>
          <w:sz w:val="19"/>
        </w:rPr>
        <w:t>del</w:t>
      </w:r>
      <w:r>
        <w:rPr>
          <w:color w:val="231F20"/>
          <w:spacing w:val="11"/>
          <w:sz w:val="19"/>
        </w:rPr>
        <w:t> </w:t>
      </w:r>
      <w:r>
        <w:rPr>
          <w:color w:val="231F20"/>
          <w:sz w:val="19"/>
        </w:rPr>
        <w:t>Parlamento</w:t>
      </w:r>
      <w:r>
        <w:rPr>
          <w:color w:val="231F20"/>
          <w:spacing w:val="11"/>
          <w:sz w:val="19"/>
        </w:rPr>
        <w:t> </w:t>
      </w:r>
      <w:r>
        <w:rPr>
          <w:color w:val="231F20"/>
          <w:sz w:val="19"/>
        </w:rPr>
        <w:t>europeo</w:t>
      </w:r>
      <w:r>
        <w:rPr>
          <w:color w:val="231F20"/>
          <w:spacing w:val="11"/>
          <w:sz w:val="19"/>
        </w:rPr>
        <w:t> </w:t>
      </w:r>
      <w:r>
        <w:rPr>
          <w:color w:val="231F20"/>
          <w:sz w:val="19"/>
        </w:rPr>
        <w:t>e</w:t>
      </w:r>
      <w:r>
        <w:rPr>
          <w:color w:val="231F20"/>
          <w:spacing w:val="11"/>
          <w:sz w:val="19"/>
        </w:rPr>
        <w:t> </w:t>
      </w:r>
      <w:r>
        <w:rPr>
          <w:color w:val="231F20"/>
          <w:sz w:val="19"/>
        </w:rPr>
        <w:t>del</w:t>
      </w:r>
      <w:r>
        <w:rPr>
          <w:color w:val="231F20"/>
          <w:spacing w:val="11"/>
          <w:sz w:val="19"/>
        </w:rPr>
        <w:t> </w:t>
      </w:r>
      <w:r>
        <w:rPr>
          <w:color w:val="231F20"/>
          <w:sz w:val="19"/>
        </w:rPr>
        <w:t>Consiglio</w:t>
      </w:r>
      <w:r>
        <w:rPr>
          <w:color w:val="231F20"/>
          <w:spacing w:val="11"/>
          <w:sz w:val="19"/>
        </w:rPr>
        <w:t> </w:t>
      </w:r>
      <w:r>
        <w:rPr>
          <w:color w:val="231F20"/>
          <w:sz w:val="19"/>
        </w:rPr>
        <w:t>del</w:t>
      </w:r>
      <w:r>
        <w:rPr>
          <w:color w:val="231F20"/>
          <w:spacing w:val="11"/>
          <w:sz w:val="19"/>
        </w:rPr>
        <w:t> </w:t>
      </w:r>
      <w:r>
        <w:rPr>
          <w:color w:val="231F20"/>
          <w:sz w:val="19"/>
        </w:rPr>
        <w:t>16</w:t>
      </w:r>
      <w:r>
        <w:rPr>
          <w:color w:val="231F20"/>
          <w:spacing w:val="11"/>
          <w:sz w:val="19"/>
        </w:rPr>
        <w:t> </w:t>
      </w:r>
      <w:r>
        <w:rPr>
          <w:color w:val="231F20"/>
          <w:sz w:val="19"/>
        </w:rPr>
        <w:t>febbraio</w:t>
      </w:r>
      <w:r>
        <w:rPr>
          <w:color w:val="231F20"/>
          <w:spacing w:val="11"/>
          <w:sz w:val="19"/>
        </w:rPr>
        <w:t> </w:t>
      </w:r>
      <w:r>
        <w:rPr>
          <w:color w:val="231F20"/>
          <w:sz w:val="19"/>
        </w:rPr>
        <w:t>1988</w:t>
      </w:r>
      <w:r>
        <w:rPr>
          <w:color w:val="231F20"/>
          <w:spacing w:val="11"/>
          <w:sz w:val="19"/>
        </w:rPr>
        <w:t> </w:t>
      </w:r>
      <w:r>
        <w:rPr>
          <w:color w:val="231F20"/>
          <w:sz w:val="19"/>
        </w:rPr>
        <w:t>volta a facilitare l’esercizio permanente della professione di avvocato in uno Stato membro diverso da quello in cui è stata acquistata la qualifica (G.U.C.E. L 77, 14 marzo 1998, p. 36). L’art.</w:t>
      </w:r>
      <w:r>
        <w:rPr>
          <w:color w:val="231F20"/>
          <w:spacing w:val="40"/>
          <w:sz w:val="19"/>
        </w:rPr>
        <w:t> </w:t>
      </w:r>
      <w:r>
        <w:rPr>
          <w:color w:val="231F20"/>
          <w:sz w:val="19"/>
        </w:rPr>
        <w:t>1,</w:t>
      </w:r>
      <w:r>
        <w:rPr>
          <w:color w:val="231F20"/>
          <w:spacing w:val="-2"/>
          <w:sz w:val="19"/>
        </w:rPr>
        <w:t> </w:t>
      </w:r>
      <w:r>
        <w:rPr>
          <w:color w:val="231F20"/>
          <w:sz w:val="19"/>
        </w:rPr>
        <w:t>par.</w:t>
      </w:r>
      <w:r>
        <w:rPr>
          <w:color w:val="231F20"/>
          <w:spacing w:val="-2"/>
          <w:sz w:val="19"/>
        </w:rPr>
        <w:t> </w:t>
      </w:r>
      <w:r>
        <w:rPr>
          <w:color w:val="231F20"/>
          <w:sz w:val="19"/>
        </w:rPr>
        <w:t>2</w:t>
      </w:r>
      <w:r>
        <w:rPr>
          <w:color w:val="231F20"/>
          <w:spacing w:val="-2"/>
          <w:sz w:val="19"/>
        </w:rPr>
        <w:t> </w:t>
      </w:r>
      <w:r>
        <w:rPr>
          <w:color w:val="231F20"/>
          <w:sz w:val="19"/>
        </w:rPr>
        <w:t>prevede</w:t>
      </w:r>
      <w:r>
        <w:rPr>
          <w:color w:val="231F20"/>
          <w:spacing w:val="-2"/>
          <w:sz w:val="19"/>
        </w:rPr>
        <w:t> </w:t>
      </w:r>
      <w:r>
        <w:rPr>
          <w:color w:val="231F20"/>
          <w:sz w:val="19"/>
        </w:rPr>
        <w:t>che</w:t>
      </w:r>
      <w:r>
        <w:rPr>
          <w:color w:val="231F20"/>
          <w:spacing w:val="-2"/>
          <w:sz w:val="19"/>
        </w:rPr>
        <w:t> </w:t>
      </w:r>
      <w:r>
        <w:rPr>
          <w:color w:val="231F20"/>
          <w:sz w:val="19"/>
        </w:rPr>
        <w:t>«Ai</w:t>
      </w:r>
      <w:r>
        <w:rPr>
          <w:color w:val="231F20"/>
          <w:spacing w:val="-2"/>
          <w:sz w:val="19"/>
        </w:rPr>
        <w:t> </w:t>
      </w:r>
      <w:r>
        <w:rPr>
          <w:color w:val="231F20"/>
          <w:sz w:val="19"/>
        </w:rPr>
        <w:t>fini</w:t>
      </w:r>
      <w:r>
        <w:rPr>
          <w:color w:val="231F20"/>
          <w:spacing w:val="-2"/>
          <w:sz w:val="19"/>
        </w:rPr>
        <w:t> </w:t>
      </w:r>
      <w:r>
        <w:rPr>
          <w:color w:val="231F20"/>
          <w:sz w:val="19"/>
        </w:rPr>
        <w:t>della</w:t>
      </w:r>
      <w:r>
        <w:rPr>
          <w:color w:val="231F20"/>
          <w:spacing w:val="-2"/>
          <w:sz w:val="19"/>
        </w:rPr>
        <w:t> </w:t>
      </w:r>
      <w:r>
        <w:rPr>
          <w:color w:val="231F20"/>
          <w:sz w:val="19"/>
        </w:rPr>
        <w:t>presente</w:t>
      </w:r>
      <w:r>
        <w:rPr>
          <w:color w:val="231F20"/>
          <w:spacing w:val="-2"/>
          <w:sz w:val="19"/>
        </w:rPr>
        <w:t> </w:t>
      </w:r>
      <w:r>
        <w:rPr>
          <w:color w:val="231F20"/>
          <w:sz w:val="19"/>
        </w:rPr>
        <w:t>direttiva,</w:t>
      </w:r>
      <w:r>
        <w:rPr>
          <w:color w:val="231F20"/>
          <w:spacing w:val="-2"/>
          <w:sz w:val="19"/>
        </w:rPr>
        <w:t> </w:t>
      </w:r>
      <w:r>
        <w:rPr>
          <w:color w:val="231F20"/>
          <w:sz w:val="19"/>
        </w:rPr>
        <w:t>si</w:t>
      </w:r>
      <w:r>
        <w:rPr>
          <w:color w:val="231F20"/>
          <w:spacing w:val="-2"/>
          <w:sz w:val="19"/>
        </w:rPr>
        <w:t> </w:t>
      </w:r>
      <w:r>
        <w:rPr>
          <w:color w:val="231F20"/>
          <w:sz w:val="19"/>
        </w:rPr>
        <w:t>intende</w:t>
      </w:r>
      <w:r>
        <w:rPr>
          <w:color w:val="231F20"/>
          <w:spacing w:val="-2"/>
          <w:sz w:val="19"/>
        </w:rPr>
        <w:t> </w:t>
      </w:r>
      <w:r>
        <w:rPr>
          <w:color w:val="231F20"/>
          <w:sz w:val="19"/>
        </w:rPr>
        <w:t>per:</w:t>
      </w:r>
      <w:r>
        <w:rPr>
          <w:color w:val="231F20"/>
          <w:spacing w:val="-2"/>
          <w:sz w:val="19"/>
        </w:rPr>
        <w:t> </w:t>
      </w:r>
      <w:r>
        <w:rPr>
          <w:color w:val="231F20"/>
          <w:sz w:val="19"/>
        </w:rPr>
        <w:t>a)</w:t>
      </w:r>
      <w:r>
        <w:rPr>
          <w:color w:val="231F20"/>
          <w:spacing w:val="-2"/>
          <w:sz w:val="19"/>
        </w:rPr>
        <w:t> </w:t>
      </w:r>
      <w:r>
        <w:rPr>
          <w:color w:val="231F20"/>
          <w:sz w:val="19"/>
        </w:rPr>
        <w:t>avvocato,</w:t>
      </w:r>
      <w:r>
        <w:rPr>
          <w:color w:val="231F20"/>
          <w:spacing w:val="-2"/>
          <w:sz w:val="19"/>
        </w:rPr>
        <w:t> </w:t>
      </w:r>
      <w:r>
        <w:rPr>
          <w:color w:val="231F20"/>
          <w:sz w:val="19"/>
        </w:rPr>
        <w:t>ogni</w:t>
      </w:r>
      <w:r>
        <w:rPr>
          <w:color w:val="231F20"/>
          <w:spacing w:val="-2"/>
          <w:sz w:val="19"/>
        </w:rPr>
        <w:t> </w:t>
      </w:r>
      <w:r>
        <w:rPr>
          <w:color w:val="231F20"/>
          <w:sz w:val="19"/>
        </w:rPr>
        <w:t>persona avente la cittadinanza di uno Stato membro, che sia abilitata ad esercitare le proprie attività professionali facendo uso di uno dei seguenti titoli professionali: (seguono 27 titoli, uno per ogni Stato membro)».</w:t>
      </w:r>
    </w:p>
    <w:p>
      <w:pPr>
        <w:spacing w:after="0" w:line="225" w:lineRule="auto"/>
        <w:jc w:val="both"/>
        <w:rPr>
          <w:sz w:val="19"/>
        </w:rPr>
        <w:sectPr>
          <w:pgSz w:w="9640" w:h="13610"/>
          <w:pgMar w:header="0" w:footer="625" w:top="1260" w:bottom="820" w:left="1260" w:right="1240"/>
        </w:sectPr>
      </w:pPr>
    </w:p>
    <w:p>
      <w:pPr>
        <w:pStyle w:val="BodyText"/>
        <w:spacing w:line="225" w:lineRule="auto" w:before="117"/>
        <w:ind w:left="100" w:right="174"/>
        <w:jc w:val="both"/>
      </w:pPr>
      <w:r>
        <w:rPr>
          <w:color w:val="231F20"/>
        </w:rPr>
        <w:t>e quella dell’intermediario di elaborare e di consigliare, un meccanismo transfrontaliero che persegue sì l’obiettivo di conseguire un vantaggio fi- scale, ma in modo legale e non abusivo. Il ragionamento della Corte di giustizia per rispondere a tale delicato quesito della Corte </w:t>
      </w:r>
      <w:r>
        <w:rPr>
          <w:color w:val="231F20"/>
        </w:rPr>
        <w:t>costituzionale del</w:t>
      </w:r>
      <w:r>
        <w:rPr>
          <w:color w:val="231F20"/>
          <w:spacing w:val="-8"/>
        </w:rPr>
        <w:t> </w:t>
      </w:r>
      <w:r>
        <w:rPr>
          <w:color w:val="231F20"/>
        </w:rPr>
        <w:t>Belgio</w:t>
      </w:r>
      <w:r>
        <w:rPr>
          <w:color w:val="231F20"/>
          <w:spacing w:val="-8"/>
        </w:rPr>
        <w:t> </w:t>
      </w:r>
      <w:r>
        <w:rPr>
          <w:color w:val="231F20"/>
        </w:rPr>
        <w:t>si</w:t>
      </w:r>
      <w:r>
        <w:rPr>
          <w:color w:val="231F20"/>
          <w:spacing w:val="-8"/>
        </w:rPr>
        <w:t> </w:t>
      </w:r>
      <w:r>
        <w:rPr>
          <w:color w:val="231F20"/>
        </w:rPr>
        <w:t>articola</w:t>
      </w:r>
      <w:r>
        <w:rPr>
          <w:color w:val="231F20"/>
          <w:spacing w:val="-8"/>
        </w:rPr>
        <w:t> </w:t>
      </w:r>
      <w:r>
        <w:rPr>
          <w:color w:val="231F20"/>
        </w:rPr>
        <w:t>anch’esso</w:t>
      </w:r>
      <w:r>
        <w:rPr>
          <w:color w:val="231F20"/>
          <w:spacing w:val="-8"/>
        </w:rPr>
        <w:t> </w:t>
      </w:r>
      <w:r>
        <w:rPr>
          <w:color w:val="231F20"/>
        </w:rPr>
        <w:t>in</w:t>
      </w:r>
      <w:r>
        <w:rPr>
          <w:color w:val="231F20"/>
          <w:spacing w:val="-8"/>
        </w:rPr>
        <w:t> </w:t>
      </w:r>
      <w:r>
        <w:rPr>
          <w:color w:val="231F20"/>
        </w:rPr>
        <w:t>due</w:t>
      </w:r>
      <w:r>
        <w:rPr>
          <w:color w:val="231F20"/>
          <w:spacing w:val="-8"/>
        </w:rPr>
        <w:t> </w:t>
      </w:r>
      <w:r>
        <w:rPr>
          <w:color w:val="231F20"/>
        </w:rPr>
        <w:t>fasi.</w:t>
      </w:r>
      <w:r>
        <w:rPr>
          <w:color w:val="231F20"/>
          <w:spacing w:val="-8"/>
        </w:rPr>
        <w:t> </w:t>
      </w:r>
      <w:r>
        <w:rPr>
          <w:color w:val="231F20"/>
        </w:rPr>
        <w:t>I</w:t>
      </w:r>
      <w:r>
        <w:rPr>
          <w:color w:val="231F20"/>
          <w:spacing w:val="-8"/>
        </w:rPr>
        <w:t> </w:t>
      </w:r>
      <w:r>
        <w:rPr>
          <w:color w:val="231F20"/>
        </w:rPr>
        <w:t>giudici</w:t>
      </w:r>
      <w:r>
        <w:rPr>
          <w:color w:val="231F20"/>
          <w:spacing w:val="-9"/>
        </w:rPr>
        <w:t> </w:t>
      </w:r>
      <w:r>
        <w:rPr>
          <w:color w:val="231F20"/>
        </w:rPr>
        <w:t>dell’Unione</w:t>
      </w:r>
      <w:r>
        <w:rPr>
          <w:color w:val="231F20"/>
          <w:spacing w:val="-8"/>
        </w:rPr>
        <w:t> </w:t>
      </w:r>
      <w:r>
        <w:rPr>
          <w:color w:val="231F20"/>
        </w:rPr>
        <w:t>partono</w:t>
      </w:r>
      <w:r>
        <w:rPr>
          <w:color w:val="231F20"/>
          <w:spacing w:val="-8"/>
        </w:rPr>
        <w:t> </w:t>
      </w:r>
      <w:r>
        <w:rPr>
          <w:color w:val="231F20"/>
        </w:rPr>
        <w:t>da un’accezione ampia, comprensiva delle attività professionali, data al con- cetto di «vita privata» di cui all’art. 7 della Carta dei diritti fondamentali</w:t>
      </w:r>
      <w:r>
        <w:rPr>
          <w:color w:val="231F20"/>
          <w:spacing w:val="80"/>
          <w:w w:val="150"/>
        </w:rPr>
        <w:t> </w:t>
      </w:r>
      <w:r>
        <w:rPr>
          <w:color w:val="231F20"/>
        </w:rPr>
        <w:t>e dall’affermazione del diritto del contribuente, riconosciuto al punto 11 della</w:t>
      </w:r>
      <w:r>
        <w:rPr>
          <w:color w:val="231F20"/>
          <w:spacing w:val="-13"/>
        </w:rPr>
        <w:t> </w:t>
      </w:r>
      <w:r>
        <w:rPr>
          <w:color w:val="231F20"/>
        </w:rPr>
        <w:t>motivazione</w:t>
      </w:r>
      <w:r>
        <w:rPr>
          <w:color w:val="231F20"/>
          <w:spacing w:val="-13"/>
        </w:rPr>
        <w:t> </w:t>
      </w:r>
      <w:r>
        <w:rPr>
          <w:color w:val="231F20"/>
        </w:rPr>
        <w:t>della</w:t>
      </w:r>
      <w:r>
        <w:rPr>
          <w:color w:val="231F20"/>
          <w:spacing w:val="-13"/>
        </w:rPr>
        <w:t> </w:t>
      </w:r>
      <w:r>
        <w:rPr>
          <w:color w:val="231F20"/>
        </w:rPr>
        <w:t>direttiva</w:t>
      </w:r>
      <w:r>
        <w:rPr>
          <w:color w:val="231F20"/>
          <w:spacing w:val="-13"/>
        </w:rPr>
        <w:t> </w:t>
      </w:r>
      <w:r>
        <w:rPr>
          <w:color w:val="231F20"/>
        </w:rPr>
        <w:t>(UE)</w:t>
      </w:r>
      <w:r>
        <w:rPr>
          <w:color w:val="231F20"/>
          <w:spacing w:val="-13"/>
        </w:rPr>
        <w:t> </w:t>
      </w:r>
      <w:r>
        <w:rPr>
          <w:color w:val="231F20"/>
        </w:rPr>
        <w:t>2011/16,</w:t>
      </w:r>
      <w:r>
        <w:rPr>
          <w:color w:val="231F20"/>
          <w:spacing w:val="-13"/>
        </w:rPr>
        <w:t> </w:t>
      </w:r>
      <w:r>
        <w:rPr>
          <w:color w:val="231F20"/>
        </w:rPr>
        <w:t>di</w:t>
      </w:r>
      <w:r>
        <w:rPr>
          <w:color w:val="231F20"/>
          <w:spacing w:val="-13"/>
        </w:rPr>
        <w:t> </w:t>
      </w:r>
      <w:r>
        <w:rPr>
          <w:color w:val="231F20"/>
        </w:rPr>
        <w:t>scegliere</w:t>
      </w:r>
      <w:r>
        <w:rPr>
          <w:color w:val="231F20"/>
          <w:spacing w:val="-13"/>
        </w:rPr>
        <w:t> </w:t>
      </w:r>
      <w:r>
        <w:rPr>
          <w:color w:val="231F20"/>
        </w:rPr>
        <w:t>il</w:t>
      </w:r>
      <w:r>
        <w:rPr>
          <w:color w:val="231F20"/>
          <w:spacing w:val="-13"/>
        </w:rPr>
        <w:t> </w:t>
      </w:r>
      <w:r>
        <w:rPr>
          <w:color w:val="231F20"/>
        </w:rPr>
        <w:t>regime</w:t>
      </w:r>
      <w:r>
        <w:rPr>
          <w:color w:val="231F20"/>
          <w:spacing w:val="-13"/>
        </w:rPr>
        <w:t> </w:t>
      </w:r>
      <w:r>
        <w:rPr>
          <w:color w:val="231F20"/>
        </w:rPr>
        <w:t>fiscale più vantaggioso ai fini dell’esercizio della propria attività economica, per arrivare alla constatazione che l’obbligo di comunicazione imposto dalla direttiva «costituisce un’ingerenza nel diritto al rispetto della vita privata e delle</w:t>
      </w:r>
      <w:r>
        <w:rPr>
          <w:color w:val="231F20"/>
          <w:spacing w:val="-3"/>
        </w:rPr>
        <w:t> </w:t>
      </w:r>
      <w:r>
        <w:rPr>
          <w:color w:val="231F20"/>
        </w:rPr>
        <w:t>comunicazioni,</w:t>
      </w:r>
      <w:r>
        <w:rPr>
          <w:color w:val="231F20"/>
          <w:spacing w:val="-3"/>
        </w:rPr>
        <w:t> </w:t>
      </w:r>
      <w:r>
        <w:rPr>
          <w:color w:val="231F20"/>
        </w:rPr>
        <w:t>che</w:t>
      </w:r>
      <w:r>
        <w:rPr>
          <w:color w:val="231F20"/>
          <w:spacing w:val="-3"/>
        </w:rPr>
        <w:t> </w:t>
      </w:r>
      <w:r>
        <w:rPr>
          <w:color w:val="231F20"/>
        </w:rPr>
        <w:t>porta</w:t>
      </w:r>
      <w:r>
        <w:rPr>
          <w:color w:val="231F20"/>
          <w:spacing w:val="-3"/>
        </w:rPr>
        <w:t> </w:t>
      </w:r>
      <w:r>
        <w:rPr>
          <w:color w:val="231F20"/>
        </w:rPr>
        <w:t>a</w:t>
      </w:r>
      <w:r>
        <w:rPr>
          <w:color w:val="231F20"/>
          <w:spacing w:val="-3"/>
        </w:rPr>
        <w:t> </w:t>
      </w:r>
      <w:r>
        <w:rPr>
          <w:color w:val="231F20"/>
        </w:rPr>
        <w:t>rivelare</w:t>
      </w:r>
      <w:r>
        <w:rPr>
          <w:color w:val="231F20"/>
          <w:spacing w:val="-3"/>
        </w:rPr>
        <w:t> </w:t>
      </w:r>
      <w:r>
        <w:rPr>
          <w:color w:val="231F20"/>
        </w:rPr>
        <w:t>all’amministrazione</w:t>
      </w:r>
      <w:r>
        <w:rPr>
          <w:color w:val="231F20"/>
          <w:spacing w:val="-3"/>
        </w:rPr>
        <w:t> </w:t>
      </w:r>
      <w:r>
        <w:rPr>
          <w:color w:val="231F20"/>
        </w:rPr>
        <w:t>il</w:t>
      </w:r>
      <w:r>
        <w:rPr>
          <w:color w:val="231F20"/>
          <w:spacing w:val="-3"/>
        </w:rPr>
        <w:t> </w:t>
      </w:r>
      <w:r>
        <w:rPr>
          <w:color w:val="231F20"/>
        </w:rPr>
        <w:t>risultato</w:t>
      </w:r>
      <w:r>
        <w:rPr>
          <w:color w:val="231F20"/>
          <w:spacing w:val="-3"/>
        </w:rPr>
        <w:t> </w:t>
      </w:r>
      <w:r>
        <w:rPr>
          <w:color w:val="231F20"/>
        </w:rPr>
        <w:t>di lavori di elaborazione e di ingegneria fiscale, condotti nel contesto di atti- vità</w:t>
      </w:r>
      <w:r>
        <w:rPr>
          <w:color w:val="231F20"/>
          <w:spacing w:val="-4"/>
        </w:rPr>
        <w:t> </w:t>
      </w:r>
      <w:r>
        <w:rPr>
          <w:color w:val="231F20"/>
        </w:rPr>
        <w:t>professionali</w:t>
      </w:r>
      <w:r>
        <w:rPr>
          <w:color w:val="231F20"/>
          <w:spacing w:val="-4"/>
        </w:rPr>
        <w:t> </w:t>
      </w:r>
      <w:r>
        <w:rPr>
          <w:color w:val="231F20"/>
        </w:rPr>
        <w:t>dal</w:t>
      </w:r>
      <w:r>
        <w:rPr>
          <w:color w:val="231F20"/>
          <w:spacing w:val="-4"/>
        </w:rPr>
        <w:t> </w:t>
      </w:r>
      <w:r>
        <w:rPr>
          <w:color w:val="231F20"/>
        </w:rPr>
        <w:t>contribuente</w:t>
      </w:r>
      <w:r>
        <w:rPr>
          <w:color w:val="231F20"/>
          <w:spacing w:val="-4"/>
        </w:rPr>
        <w:t> </w:t>
      </w:r>
      <w:r>
        <w:rPr>
          <w:color w:val="231F20"/>
        </w:rPr>
        <w:t>stesso</w:t>
      </w:r>
      <w:r>
        <w:rPr>
          <w:color w:val="231F20"/>
          <w:spacing w:val="-4"/>
        </w:rPr>
        <w:t> </w:t>
      </w:r>
      <w:r>
        <w:rPr>
          <w:color w:val="231F20"/>
        </w:rPr>
        <w:t>o,</w:t>
      </w:r>
      <w:r>
        <w:rPr>
          <w:color w:val="231F20"/>
          <w:spacing w:val="-4"/>
        </w:rPr>
        <w:t> </w:t>
      </w:r>
      <w:r>
        <w:rPr>
          <w:color w:val="231F20"/>
        </w:rPr>
        <w:t>nella</w:t>
      </w:r>
      <w:r>
        <w:rPr>
          <w:color w:val="231F20"/>
          <w:spacing w:val="-4"/>
        </w:rPr>
        <w:t> </w:t>
      </w:r>
      <w:r>
        <w:rPr>
          <w:color w:val="231F20"/>
        </w:rPr>
        <w:t>maggior</w:t>
      </w:r>
      <w:r>
        <w:rPr>
          <w:color w:val="231F20"/>
          <w:spacing w:val="-4"/>
        </w:rPr>
        <w:t> </w:t>
      </w:r>
      <w:r>
        <w:rPr>
          <w:color w:val="231F20"/>
        </w:rPr>
        <w:t>parte</w:t>
      </w:r>
      <w:r>
        <w:rPr>
          <w:color w:val="231F20"/>
          <w:spacing w:val="-4"/>
        </w:rPr>
        <w:t> </w:t>
      </w:r>
      <w:r>
        <w:rPr>
          <w:color w:val="231F20"/>
        </w:rPr>
        <w:t>dei</w:t>
      </w:r>
      <w:r>
        <w:rPr>
          <w:color w:val="231F20"/>
          <w:spacing w:val="-4"/>
        </w:rPr>
        <w:t> </w:t>
      </w:r>
      <w:r>
        <w:rPr>
          <w:color w:val="231F20"/>
        </w:rPr>
        <w:t>casi,</w:t>
      </w:r>
      <w:r>
        <w:rPr>
          <w:color w:val="231F20"/>
          <w:spacing w:val="-4"/>
        </w:rPr>
        <w:t> </w:t>
      </w:r>
      <w:r>
        <w:rPr>
          <w:color w:val="231F20"/>
        </w:rPr>
        <w:t>da uno</w:t>
      </w:r>
      <w:r>
        <w:rPr>
          <w:color w:val="231F20"/>
          <w:spacing w:val="-9"/>
        </w:rPr>
        <w:t> </w:t>
      </w:r>
      <w:r>
        <w:rPr>
          <w:color w:val="231F20"/>
        </w:rPr>
        <w:t>o</w:t>
      </w:r>
      <w:r>
        <w:rPr>
          <w:color w:val="231F20"/>
          <w:spacing w:val="-9"/>
        </w:rPr>
        <w:t> </w:t>
      </w:r>
      <w:r>
        <w:rPr>
          <w:color w:val="231F20"/>
        </w:rPr>
        <w:t>più</w:t>
      </w:r>
      <w:r>
        <w:rPr>
          <w:color w:val="231F20"/>
          <w:spacing w:val="-9"/>
        </w:rPr>
        <w:t> </w:t>
      </w:r>
      <w:r>
        <w:rPr>
          <w:color w:val="231F20"/>
        </w:rPr>
        <w:t>intermediari</w:t>
      </w:r>
      <w:r>
        <w:rPr>
          <w:color w:val="231F20"/>
          <w:spacing w:val="-9"/>
        </w:rPr>
        <w:t> </w:t>
      </w:r>
      <w:r>
        <w:rPr>
          <w:color w:val="231F20"/>
        </w:rPr>
        <w:t>(consulenti)</w:t>
      </w:r>
      <w:r>
        <w:rPr>
          <w:color w:val="231F20"/>
          <w:spacing w:val="-9"/>
        </w:rPr>
        <w:t> </w:t>
      </w:r>
      <w:r>
        <w:rPr>
          <w:color w:val="231F20"/>
        </w:rPr>
        <w:t>ai</w:t>
      </w:r>
      <w:r>
        <w:rPr>
          <w:color w:val="231F20"/>
          <w:spacing w:val="-9"/>
        </w:rPr>
        <w:t> </w:t>
      </w:r>
      <w:r>
        <w:rPr>
          <w:color w:val="231F20"/>
        </w:rPr>
        <w:t>sensi</w:t>
      </w:r>
      <w:r>
        <w:rPr>
          <w:color w:val="231F20"/>
          <w:spacing w:val="-9"/>
        </w:rPr>
        <w:t> </w:t>
      </w:r>
      <w:r>
        <w:rPr>
          <w:color w:val="231F20"/>
        </w:rPr>
        <w:t>dell’articolo,</w:t>
      </w:r>
      <w:r>
        <w:rPr>
          <w:color w:val="231F20"/>
          <w:spacing w:val="-9"/>
        </w:rPr>
        <w:t> </w:t>
      </w:r>
      <w:r>
        <w:rPr>
          <w:color w:val="231F20"/>
        </w:rPr>
        <w:t>3,</w:t>
      </w:r>
      <w:r>
        <w:rPr>
          <w:color w:val="231F20"/>
          <w:spacing w:val="-9"/>
        </w:rPr>
        <w:t> </w:t>
      </w:r>
      <w:r>
        <w:rPr>
          <w:color w:val="231F20"/>
        </w:rPr>
        <w:t>punto</w:t>
      </w:r>
      <w:r>
        <w:rPr>
          <w:color w:val="231F20"/>
          <w:spacing w:val="-9"/>
        </w:rPr>
        <w:t> </w:t>
      </w:r>
      <w:r>
        <w:rPr>
          <w:color w:val="231F20"/>
        </w:rPr>
        <w:t>21,</w:t>
      </w:r>
      <w:r>
        <w:rPr>
          <w:color w:val="231F20"/>
          <w:spacing w:val="-9"/>
        </w:rPr>
        <w:t> </w:t>
      </w:r>
      <w:r>
        <w:rPr>
          <w:color w:val="231F20"/>
        </w:rPr>
        <w:t>della direttiva»</w:t>
      </w:r>
      <w:r>
        <w:rPr>
          <w:rFonts w:ascii="Times New Roman" w:hAnsi="Times New Roman"/>
          <w:color w:val="231F20"/>
          <w:position w:val="8"/>
          <w:sz w:val="14"/>
        </w:rPr>
        <w:t>124</w:t>
      </w:r>
      <w:r>
        <w:rPr>
          <w:color w:val="231F20"/>
        </w:rPr>
        <w:t>.</w:t>
      </w:r>
      <w:r>
        <w:rPr>
          <w:color w:val="231F20"/>
          <w:spacing w:val="40"/>
        </w:rPr>
        <w:t> </w:t>
      </w:r>
      <w:r>
        <w:rPr>
          <w:color w:val="231F20"/>
        </w:rPr>
        <w:t>Tale medesimo obbligo, precisa ancora la Corte, «è pertanto idoneo a dissuadere, sia detti contribuenti, sia i loro consulenti, dall’ela- borare e dall’attuare meccanismi di pianificazione fiscale transfrontaliera che,</w:t>
      </w:r>
      <w:r>
        <w:rPr>
          <w:color w:val="231F20"/>
          <w:spacing w:val="-4"/>
        </w:rPr>
        <w:t> </w:t>
      </w:r>
      <w:r>
        <w:rPr>
          <w:color w:val="231F20"/>
        </w:rPr>
        <w:t>pur</w:t>
      </w:r>
      <w:r>
        <w:rPr>
          <w:color w:val="231F20"/>
          <w:spacing w:val="-4"/>
        </w:rPr>
        <w:t> </w:t>
      </w:r>
      <w:r>
        <w:rPr>
          <w:color w:val="231F20"/>
        </w:rPr>
        <w:t>essendo</w:t>
      </w:r>
      <w:r>
        <w:rPr>
          <w:color w:val="231F20"/>
          <w:spacing w:val="-4"/>
        </w:rPr>
        <w:t> </w:t>
      </w:r>
      <w:r>
        <w:rPr>
          <w:color w:val="231F20"/>
        </w:rPr>
        <w:t>legittimi,</w:t>
      </w:r>
      <w:r>
        <w:rPr>
          <w:color w:val="231F20"/>
          <w:spacing w:val="-4"/>
        </w:rPr>
        <w:t> </w:t>
      </w:r>
      <w:r>
        <w:rPr>
          <w:color w:val="231F20"/>
        </w:rPr>
        <w:t>sono</w:t>
      </w:r>
      <w:r>
        <w:rPr>
          <w:color w:val="231F20"/>
          <w:spacing w:val="-4"/>
        </w:rPr>
        <w:t> </w:t>
      </w:r>
      <w:r>
        <w:rPr>
          <w:color w:val="231F20"/>
        </w:rPr>
        <w:t>basati</w:t>
      </w:r>
      <w:r>
        <w:rPr>
          <w:color w:val="231F20"/>
          <w:spacing w:val="-4"/>
        </w:rPr>
        <w:t> </w:t>
      </w:r>
      <w:r>
        <w:rPr>
          <w:color w:val="231F20"/>
        </w:rPr>
        <w:t>sulle</w:t>
      </w:r>
      <w:r>
        <w:rPr>
          <w:color w:val="231F20"/>
          <w:spacing w:val="-4"/>
        </w:rPr>
        <w:t> </w:t>
      </w:r>
      <w:r>
        <w:rPr>
          <w:color w:val="231F20"/>
        </w:rPr>
        <w:t>disparità</w:t>
      </w:r>
      <w:r>
        <w:rPr>
          <w:color w:val="231F20"/>
          <w:spacing w:val="-4"/>
        </w:rPr>
        <w:t> </w:t>
      </w:r>
      <w:r>
        <w:rPr>
          <w:color w:val="231F20"/>
        </w:rPr>
        <w:t>esistenti</w:t>
      </w:r>
      <w:r>
        <w:rPr>
          <w:color w:val="231F20"/>
          <w:spacing w:val="-4"/>
        </w:rPr>
        <w:t> </w:t>
      </w:r>
      <w:r>
        <w:rPr>
          <w:color w:val="231F20"/>
        </w:rPr>
        <w:t>tra</w:t>
      </w:r>
      <w:r>
        <w:rPr>
          <w:color w:val="231F20"/>
          <w:spacing w:val="-4"/>
        </w:rPr>
        <w:t> </w:t>
      </w:r>
      <w:r>
        <w:rPr>
          <w:color w:val="231F20"/>
        </w:rPr>
        <w:t>le</w:t>
      </w:r>
      <w:r>
        <w:rPr>
          <w:color w:val="231F20"/>
          <w:spacing w:val="-4"/>
        </w:rPr>
        <w:t> </w:t>
      </w:r>
      <w:r>
        <w:rPr>
          <w:color w:val="231F20"/>
        </w:rPr>
        <w:t>diverse normative nazionali applicabili»</w:t>
      </w:r>
      <w:r>
        <w:rPr>
          <w:rFonts w:ascii="Times New Roman" w:hAnsi="Times New Roman"/>
          <w:color w:val="231F20"/>
          <w:position w:val="8"/>
          <w:sz w:val="14"/>
        </w:rPr>
        <w:t>125</w:t>
      </w:r>
      <w:r>
        <w:rPr>
          <w:color w:val="231F20"/>
        </w:rPr>
        <w:t>.</w:t>
      </w:r>
    </w:p>
    <w:p>
      <w:pPr>
        <w:pStyle w:val="BodyText"/>
        <w:spacing w:line="225" w:lineRule="auto" w:before="27"/>
        <w:ind w:left="100" w:right="174" w:firstLine="340"/>
        <w:jc w:val="both"/>
      </w:pPr>
      <w:r>
        <w:rPr>
          <w:color w:val="231F20"/>
        </w:rPr>
        <w:t>È</w:t>
      </w:r>
      <w:r>
        <w:rPr>
          <w:color w:val="231F20"/>
          <w:spacing w:val="-4"/>
        </w:rPr>
        <w:t> </w:t>
      </w:r>
      <w:r>
        <w:rPr>
          <w:color w:val="231F20"/>
        </w:rPr>
        <w:t>tuttavia</w:t>
      </w:r>
      <w:r>
        <w:rPr>
          <w:color w:val="231F20"/>
          <w:spacing w:val="-4"/>
        </w:rPr>
        <w:t> </w:t>
      </w:r>
      <w:r>
        <w:rPr>
          <w:color w:val="231F20"/>
        </w:rPr>
        <w:t>nella</w:t>
      </w:r>
      <w:r>
        <w:rPr>
          <w:color w:val="231F20"/>
          <w:spacing w:val="-4"/>
        </w:rPr>
        <w:t> </w:t>
      </w:r>
      <w:r>
        <w:rPr>
          <w:color w:val="231F20"/>
        </w:rPr>
        <w:t>seconda</w:t>
      </w:r>
      <w:r>
        <w:rPr>
          <w:color w:val="231F20"/>
          <w:spacing w:val="-4"/>
        </w:rPr>
        <w:t> </w:t>
      </w:r>
      <w:r>
        <w:rPr>
          <w:color w:val="231F20"/>
        </w:rPr>
        <w:t>parte</w:t>
      </w:r>
      <w:r>
        <w:rPr>
          <w:color w:val="231F20"/>
          <w:spacing w:val="-4"/>
        </w:rPr>
        <w:t> </w:t>
      </w:r>
      <w:r>
        <w:rPr>
          <w:color w:val="231F20"/>
        </w:rPr>
        <w:t>della</w:t>
      </w:r>
      <w:r>
        <w:rPr>
          <w:color w:val="231F20"/>
          <w:spacing w:val="-4"/>
        </w:rPr>
        <w:t> </w:t>
      </w:r>
      <w:r>
        <w:rPr>
          <w:color w:val="231F20"/>
        </w:rPr>
        <w:t>risposta</w:t>
      </w:r>
      <w:r>
        <w:rPr>
          <w:color w:val="231F20"/>
          <w:spacing w:val="-4"/>
        </w:rPr>
        <w:t> </w:t>
      </w:r>
      <w:r>
        <w:rPr>
          <w:color w:val="231F20"/>
        </w:rPr>
        <w:t>alla</w:t>
      </w:r>
      <w:r>
        <w:rPr>
          <w:color w:val="231F20"/>
          <w:spacing w:val="-4"/>
        </w:rPr>
        <w:t> </w:t>
      </w:r>
      <w:r>
        <w:rPr>
          <w:color w:val="231F20"/>
        </w:rPr>
        <w:t>suddetta</w:t>
      </w:r>
      <w:r>
        <w:rPr>
          <w:color w:val="231F20"/>
          <w:spacing w:val="-4"/>
        </w:rPr>
        <w:t> </w:t>
      </w:r>
      <w:r>
        <w:rPr>
          <w:color w:val="231F20"/>
        </w:rPr>
        <w:t>fondamentale questione</w:t>
      </w:r>
      <w:r>
        <w:rPr>
          <w:color w:val="231F20"/>
          <w:spacing w:val="-13"/>
        </w:rPr>
        <w:t> </w:t>
      </w:r>
      <w:r>
        <w:rPr>
          <w:color w:val="231F20"/>
        </w:rPr>
        <w:t>di</w:t>
      </w:r>
      <w:r>
        <w:rPr>
          <w:color w:val="231F20"/>
          <w:spacing w:val="-13"/>
        </w:rPr>
        <w:t> </w:t>
      </w:r>
      <w:r>
        <w:rPr>
          <w:color w:val="231F20"/>
        </w:rPr>
        <w:t>validità</w:t>
      </w:r>
      <w:r>
        <w:rPr>
          <w:color w:val="231F20"/>
          <w:spacing w:val="-13"/>
        </w:rPr>
        <w:t> </w:t>
      </w:r>
      <w:r>
        <w:rPr>
          <w:color w:val="231F20"/>
        </w:rPr>
        <w:t>che</w:t>
      </w:r>
      <w:r>
        <w:rPr>
          <w:color w:val="231F20"/>
          <w:spacing w:val="-13"/>
        </w:rPr>
        <w:t> </w:t>
      </w:r>
      <w:r>
        <w:rPr>
          <w:color w:val="231F20"/>
        </w:rPr>
        <w:t>i</w:t>
      </w:r>
      <w:r>
        <w:rPr>
          <w:color w:val="231F20"/>
          <w:spacing w:val="-13"/>
        </w:rPr>
        <w:t> </w:t>
      </w:r>
      <w:r>
        <w:rPr>
          <w:color w:val="231F20"/>
        </w:rPr>
        <w:t>giudici</w:t>
      </w:r>
      <w:r>
        <w:rPr>
          <w:color w:val="231F20"/>
          <w:spacing w:val="-13"/>
        </w:rPr>
        <w:t> </w:t>
      </w:r>
      <w:r>
        <w:rPr>
          <w:color w:val="231F20"/>
        </w:rPr>
        <w:t>dell’Unione</w:t>
      </w:r>
      <w:r>
        <w:rPr>
          <w:color w:val="231F20"/>
          <w:spacing w:val="-13"/>
        </w:rPr>
        <w:t> </w:t>
      </w:r>
      <w:r>
        <w:rPr>
          <w:color w:val="231F20"/>
        </w:rPr>
        <w:t>sviluppano</w:t>
      </w:r>
      <w:r>
        <w:rPr>
          <w:color w:val="231F20"/>
          <w:spacing w:val="-13"/>
        </w:rPr>
        <w:t> </w:t>
      </w:r>
      <w:r>
        <w:rPr>
          <w:color w:val="231F20"/>
        </w:rPr>
        <w:t>un</w:t>
      </w:r>
      <w:r>
        <w:rPr>
          <w:color w:val="231F20"/>
          <w:spacing w:val="-13"/>
        </w:rPr>
        <w:t> </w:t>
      </w:r>
      <w:r>
        <w:rPr>
          <w:color w:val="231F20"/>
        </w:rPr>
        <w:t>ragionamento particolarmente approfondito e dettagliato riguardante la giustificazione, </w:t>
      </w:r>
      <w:r>
        <w:rPr>
          <w:i/>
          <w:color w:val="231F20"/>
        </w:rPr>
        <w:t>ex </w:t>
      </w:r>
      <w:r>
        <w:rPr>
          <w:color w:val="231F20"/>
        </w:rPr>
        <w:t>art. 52, par. 1, della Carta dei diritti fondamentali, dell’obbligo di co- municazione</w:t>
      </w:r>
      <w:r>
        <w:rPr>
          <w:color w:val="231F20"/>
          <w:spacing w:val="-13"/>
        </w:rPr>
        <w:t> </w:t>
      </w:r>
      <w:r>
        <w:rPr>
          <w:color w:val="231F20"/>
        </w:rPr>
        <w:t>contestato</w:t>
      </w:r>
      <w:r>
        <w:rPr>
          <w:color w:val="231F20"/>
          <w:spacing w:val="-13"/>
        </w:rPr>
        <w:t> </w:t>
      </w:r>
      <w:r>
        <w:rPr>
          <w:color w:val="231F20"/>
        </w:rPr>
        <w:t>dalle</w:t>
      </w:r>
      <w:r>
        <w:rPr>
          <w:color w:val="231F20"/>
          <w:spacing w:val="-13"/>
        </w:rPr>
        <w:t> </w:t>
      </w:r>
      <w:r>
        <w:rPr>
          <w:color w:val="231F20"/>
        </w:rPr>
        <w:t>associazioni</w:t>
      </w:r>
      <w:r>
        <w:rPr>
          <w:color w:val="231F20"/>
          <w:spacing w:val="-13"/>
        </w:rPr>
        <w:t> </w:t>
      </w:r>
      <w:r>
        <w:rPr>
          <w:color w:val="231F20"/>
        </w:rPr>
        <w:t>belghe</w:t>
      </w:r>
      <w:r>
        <w:rPr>
          <w:color w:val="231F20"/>
          <w:spacing w:val="-13"/>
        </w:rPr>
        <w:t> </w:t>
      </w:r>
      <w:r>
        <w:rPr>
          <w:color w:val="231F20"/>
        </w:rPr>
        <w:t>dei</w:t>
      </w:r>
      <w:r>
        <w:rPr>
          <w:color w:val="231F20"/>
          <w:spacing w:val="-13"/>
        </w:rPr>
        <w:t> </w:t>
      </w:r>
      <w:r>
        <w:rPr>
          <w:color w:val="231F20"/>
        </w:rPr>
        <w:t>consulenti</w:t>
      </w:r>
      <w:r>
        <w:rPr>
          <w:color w:val="231F20"/>
          <w:spacing w:val="-13"/>
        </w:rPr>
        <w:t> </w:t>
      </w:r>
      <w:r>
        <w:rPr>
          <w:color w:val="231F20"/>
        </w:rPr>
        <w:t>tributari.</w:t>
      </w:r>
      <w:r>
        <w:rPr>
          <w:color w:val="231F20"/>
          <w:spacing w:val="-13"/>
        </w:rPr>
        <w:t> </w:t>
      </w:r>
      <w:r>
        <w:rPr>
          <w:color w:val="231F20"/>
        </w:rPr>
        <w:t>Il punto</w:t>
      </w:r>
      <w:r>
        <w:rPr>
          <w:color w:val="231F20"/>
          <w:spacing w:val="-7"/>
        </w:rPr>
        <w:t> </w:t>
      </w:r>
      <w:r>
        <w:rPr>
          <w:color w:val="231F20"/>
        </w:rPr>
        <w:t>di</w:t>
      </w:r>
      <w:r>
        <w:rPr>
          <w:color w:val="231F20"/>
          <w:spacing w:val="-7"/>
        </w:rPr>
        <w:t> </w:t>
      </w:r>
      <w:r>
        <w:rPr>
          <w:color w:val="231F20"/>
        </w:rPr>
        <w:t>partenza</w:t>
      </w:r>
      <w:r>
        <w:rPr>
          <w:color w:val="231F20"/>
          <w:spacing w:val="-7"/>
        </w:rPr>
        <w:t> </w:t>
      </w:r>
      <w:r>
        <w:rPr>
          <w:color w:val="231F20"/>
        </w:rPr>
        <w:t>di</w:t>
      </w:r>
      <w:r>
        <w:rPr>
          <w:color w:val="231F20"/>
          <w:spacing w:val="-7"/>
        </w:rPr>
        <w:t> </w:t>
      </w:r>
      <w:r>
        <w:rPr>
          <w:color w:val="231F20"/>
        </w:rPr>
        <w:t>questa</w:t>
      </w:r>
      <w:r>
        <w:rPr>
          <w:color w:val="231F20"/>
          <w:spacing w:val="-7"/>
        </w:rPr>
        <w:t> </w:t>
      </w:r>
      <w:r>
        <w:rPr>
          <w:color w:val="231F20"/>
        </w:rPr>
        <w:t>parte</w:t>
      </w:r>
      <w:r>
        <w:rPr>
          <w:color w:val="231F20"/>
          <w:spacing w:val="-7"/>
        </w:rPr>
        <w:t> </w:t>
      </w:r>
      <w:r>
        <w:rPr>
          <w:color w:val="231F20"/>
        </w:rPr>
        <w:t>della</w:t>
      </w:r>
      <w:r>
        <w:rPr>
          <w:color w:val="231F20"/>
          <w:spacing w:val="-7"/>
        </w:rPr>
        <w:t> </w:t>
      </w:r>
      <w:r>
        <w:rPr>
          <w:color w:val="231F20"/>
        </w:rPr>
        <w:t>motivazione</w:t>
      </w:r>
      <w:r>
        <w:rPr>
          <w:color w:val="231F20"/>
          <w:spacing w:val="-7"/>
        </w:rPr>
        <w:t> </w:t>
      </w:r>
      <w:r>
        <w:rPr>
          <w:color w:val="231F20"/>
        </w:rPr>
        <w:t>della</w:t>
      </w:r>
      <w:r>
        <w:rPr>
          <w:color w:val="231F20"/>
          <w:spacing w:val="-7"/>
        </w:rPr>
        <w:t> </w:t>
      </w:r>
      <w:r>
        <w:rPr>
          <w:color w:val="231F20"/>
        </w:rPr>
        <w:t>sentenza</w:t>
      </w:r>
      <w:r>
        <w:rPr>
          <w:color w:val="231F20"/>
          <w:spacing w:val="-7"/>
        </w:rPr>
        <w:t> </w:t>
      </w:r>
      <w:r>
        <w:rPr>
          <w:color w:val="231F20"/>
        </w:rPr>
        <w:t>è</w:t>
      </w:r>
      <w:r>
        <w:rPr>
          <w:color w:val="231F20"/>
          <w:spacing w:val="-7"/>
        </w:rPr>
        <w:t> </w:t>
      </w:r>
      <w:r>
        <w:rPr>
          <w:color w:val="231F20"/>
        </w:rPr>
        <w:t>l’affer- mazione</w:t>
      </w:r>
      <w:r>
        <w:rPr>
          <w:color w:val="231F20"/>
          <w:spacing w:val="-13"/>
        </w:rPr>
        <w:t> </w:t>
      </w:r>
      <w:r>
        <w:rPr>
          <w:color w:val="231F20"/>
        </w:rPr>
        <w:t>secondo</w:t>
      </w:r>
      <w:r>
        <w:rPr>
          <w:color w:val="231F20"/>
          <w:spacing w:val="-13"/>
        </w:rPr>
        <w:t> </w:t>
      </w:r>
      <w:r>
        <w:rPr>
          <w:color w:val="231F20"/>
        </w:rPr>
        <w:t>la</w:t>
      </w:r>
      <w:r>
        <w:rPr>
          <w:color w:val="231F20"/>
          <w:spacing w:val="-13"/>
        </w:rPr>
        <w:t> </w:t>
      </w:r>
      <w:r>
        <w:rPr>
          <w:color w:val="231F20"/>
        </w:rPr>
        <w:t>quale</w:t>
      </w:r>
      <w:r>
        <w:rPr>
          <w:color w:val="231F20"/>
          <w:spacing w:val="-13"/>
        </w:rPr>
        <w:t> </w:t>
      </w:r>
      <w:r>
        <w:rPr>
          <w:color w:val="231F20"/>
        </w:rPr>
        <w:t>«la</w:t>
      </w:r>
      <w:r>
        <w:rPr>
          <w:color w:val="231F20"/>
          <w:spacing w:val="-13"/>
        </w:rPr>
        <w:t> </w:t>
      </w:r>
      <w:r>
        <w:rPr>
          <w:color w:val="231F20"/>
        </w:rPr>
        <w:t>lotta</w:t>
      </w:r>
      <w:r>
        <w:rPr>
          <w:color w:val="231F20"/>
          <w:spacing w:val="-13"/>
        </w:rPr>
        <w:t> </w:t>
      </w:r>
      <w:r>
        <w:rPr>
          <w:color w:val="231F20"/>
        </w:rPr>
        <w:t>contro</w:t>
      </w:r>
      <w:r>
        <w:rPr>
          <w:color w:val="231F20"/>
          <w:spacing w:val="-13"/>
        </w:rPr>
        <w:t> </w:t>
      </w:r>
      <w:r>
        <w:rPr>
          <w:color w:val="231F20"/>
        </w:rPr>
        <w:t>la</w:t>
      </w:r>
      <w:r>
        <w:rPr>
          <w:color w:val="231F20"/>
          <w:spacing w:val="-13"/>
        </w:rPr>
        <w:t> </w:t>
      </w:r>
      <w:r>
        <w:rPr>
          <w:color w:val="231F20"/>
        </w:rPr>
        <w:t>pianificazione</w:t>
      </w:r>
      <w:r>
        <w:rPr>
          <w:color w:val="231F20"/>
          <w:spacing w:val="-13"/>
        </w:rPr>
        <w:t> </w:t>
      </w:r>
      <w:r>
        <w:rPr>
          <w:color w:val="231F20"/>
        </w:rPr>
        <w:t>fiscale</w:t>
      </w:r>
      <w:r>
        <w:rPr>
          <w:color w:val="231F20"/>
          <w:spacing w:val="-13"/>
        </w:rPr>
        <w:t> </w:t>
      </w:r>
      <w:r>
        <w:rPr>
          <w:color w:val="231F20"/>
        </w:rPr>
        <w:t>aggressiva e la prevenzione dei rischi di elusione e di evasione fiscali rappresentano finalità di interesse generale riconosciute dall’Unione». Ne consegue che l’obbligo di comunicazione del meccanismo di pianificazione fiscale nel termine</w:t>
      </w:r>
      <w:r>
        <w:rPr>
          <w:color w:val="231F20"/>
          <w:spacing w:val="-10"/>
        </w:rPr>
        <w:t> </w:t>
      </w:r>
      <w:r>
        <w:rPr>
          <w:color w:val="231F20"/>
        </w:rPr>
        <w:t>di</w:t>
      </w:r>
      <w:r>
        <w:rPr>
          <w:color w:val="231F20"/>
          <w:spacing w:val="-10"/>
        </w:rPr>
        <w:t> </w:t>
      </w:r>
      <w:r>
        <w:rPr>
          <w:color w:val="231F20"/>
        </w:rPr>
        <w:t>trenta</w:t>
      </w:r>
      <w:r>
        <w:rPr>
          <w:color w:val="231F20"/>
          <w:spacing w:val="-10"/>
        </w:rPr>
        <w:t> </w:t>
      </w:r>
      <w:r>
        <w:rPr>
          <w:color w:val="231F20"/>
        </w:rPr>
        <w:t>giorni</w:t>
      </w:r>
      <w:r>
        <w:rPr>
          <w:color w:val="231F20"/>
          <w:spacing w:val="-10"/>
        </w:rPr>
        <w:t> </w:t>
      </w:r>
      <w:r>
        <w:rPr>
          <w:color w:val="231F20"/>
        </w:rPr>
        <w:t>dalla</w:t>
      </w:r>
      <w:r>
        <w:rPr>
          <w:color w:val="231F20"/>
          <w:spacing w:val="-10"/>
        </w:rPr>
        <w:t> </w:t>
      </w:r>
      <w:r>
        <w:rPr>
          <w:color w:val="231F20"/>
        </w:rPr>
        <w:t>sua</w:t>
      </w:r>
      <w:r>
        <w:rPr>
          <w:color w:val="231F20"/>
          <w:spacing w:val="-10"/>
        </w:rPr>
        <w:t> </w:t>
      </w:r>
      <w:r>
        <w:rPr>
          <w:color w:val="231F20"/>
        </w:rPr>
        <w:t>«messa</w:t>
      </w:r>
      <w:r>
        <w:rPr>
          <w:color w:val="231F20"/>
          <w:spacing w:val="-10"/>
        </w:rPr>
        <w:t> </w:t>
      </w:r>
      <w:r>
        <w:rPr>
          <w:color w:val="231F20"/>
        </w:rPr>
        <w:t>a</w:t>
      </w:r>
      <w:r>
        <w:rPr>
          <w:color w:val="231F20"/>
          <w:spacing w:val="-10"/>
        </w:rPr>
        <w:t> </w:t>
      </w:r>
      <w:r>
        <w:rPr>
          <w:color w:val="231F20"/>
        </w:rPr>
        <w:t>disposizione»</w:t>
      </w:r>
      <w:r>
        <w:rPr>
          <w:color w:val="231F20"/>
          <w:spacing w:val="-10"/>
        </w:rPr>
        <w:t> </w:t>
      </w:r>
      <w:r>
        <w:rPr>
          <w:color w:val="231F20"/>
        </w:rPr>
        <w:t>o</w:t>
      </w:r>
      <w:r>
        <w:rPr>
          <w:color w:val="231F20"/>
          <w:spacing w:val="-10"/>
        </w:rPr>
        <w:t> </w:t>
      </w:r>
      <w:r>
        <w:rPr>
          <w:color w:val="231F20"/>
        </w:rPr>
        <w:t>attuazione,</w:t>
      </w:r>
      <w:r>
        <w:rPr>
          <w:color w:val="231F20"/>
          <w:spacing w:val="-10"/>
        </w:rPr>
        <w:t> </w:t>
      </w:r>
      <w:r>
        <w:rPr>
          <w:color w:val="231F20"/>
        </w:rPr>
        <w:t>fissa- to</w:t>
      </w:r>
      <w:r>
        <w:rPr>
          <w:color w:val="231F20"/>
          <w:spacing w:val="-8"/>
        </w:rPr>
        <w:t> </w:t>
      </w:r>
      <w:r>
        <w:rPr>
          <w:color w:val="231F20"/>
        </w:rPr>
        <w:t>dall’art.</w:t>
      </w:r>
      <w:r>
        <w:rPr>
          <w:color w:val="231F20"/>
          <w:spacing w:val="-8"/>
        </w:rPr>
        <w:t> </w:t>
      </w:r>
      <w:r>
        <w:rPr>
          <w:color w:val="231F20"/>
        </w:rPr>
        <w:t>8</w:t>
      </w:r>
      <w:r>
        <w:rPr>
          <w:color w:val="231F20"/>
          <w:spacing w:val="-8"/>
        </w:rPr>
        <w:t> </w:t>
      </w:r>
      <w:r>
        <w:rPr>
          <w:i/>
          <w:color w:val="231F20"/>
        </w:rPr>
        <w:t>bis</w:t>
      </w:r>
      <w:r>
        <w:rPr>
          <w:i/>
          <w:color w:val="231F20"/>
          <w:spacing w:val="-8"/>
        </w:rPr>
        <w:t> </w:t>
      </w:r>
      <w:r>
        <w:rPr>
          <w:i/>
          <w:color w:val="231F20"/>
        </w:rPr>
        <w:t>ter</w:t>
      </w:r>
      <w:r>
        <w:rPr>
          <w:color w:val="231F20"/>
        </w:rPr>
        <w:t>,</w:t>
      </w:r>
      <w:r>
        <w:rPr>
          <w:color w:val="231F20"/>
          <w:spacing w:val="-8"/>
        </w:rPr>
        <w:t> </w:t>
      </w:r>
      <w:r>
        <w:rPr>
          <w:color w:val="231F20"/>
        </w:rPr>
        <w:t>par.</w:t>
      </w:r>
      <w:r>
        <w:rPr>
          <w:color w:val="231F20"/>
          <w:spacing w:val="-8"/>
        </w:rPr>
        <w:t> </w:t>
      </w:r>
      <w:r>
        <w:rPr>
          <w:color w:val="231F20"/>
        </w:rPr>
        <w:t>1,</w:t>
      </w:r>
      <w:r>
        <w:rPr>
          <w:color w:val="231F20"/>
          <w:spacing w:val="-8"/>
        </w:rPr>
        <w:t> </w:t>
      </w:r>
      <w:r>
        <w:rPr>
          <w:color w:val="231F20"/>
        </w:rPr>
        <w:t>della</w:t>
      </w:r>
      <w:r>
        <w:rPr>
          <w:color w:val="231F20"/>
          <w:spacing w:val="-8"/>
        </w:rPr>
        <w:t> </w:t>
      </w:r>
      <w:r>
        <w:rPr>
          <w:color w:val="231F20"/>
        </w:rPr>
        <w:t>direttiva,</w:t>
      </w:r>
      <w:r>
        <w:rPr>
          <w:color w:val="231F20"/>
          <w:spacing w:val="-8"/>
        </w:rPr>
        <w:t> </w:t>
      </w:r>
      <w:r>
        <w:rPr>
          <w:color w:val="231F20"/>
        </w:rPr>
        <w:t>«è</w:t>
      </w:r>
      <w:r>
        <w:rPr>
          <w:color w:val="231F20"/>
          <w:spacing w:val="-8"/>
        </w:rPr>
        <w:t> </w:t>
      </w:r>
      <w:r>
        <w:rPr>
          <w:color w:val="231F20"/>
        </w:rPr>
        <w:t>particolarmente</w:t>
      </w:r>
      <w:r>
        <w:rPr>
          <w:color w:val="231F20"/>
          <w:spacing w:val="-8"/>
        </w:rPr>
        <w:t> </w:t>
      </w:r>
      <w:r>
        <w:rPr>
          <w:color w:val="231F20"/>
        </w:rPr>
        <w:t>idoneo</w:t>
      </w:r>
      <w:r>
        <w:rPr>
          <w:color w:val="231F20"/>
          <w:spacing w:val="-8"/>
        </w:rPr>
        <w:t> </w:t>
      </w:r>
      <w:r>
        <w:rPr>
          <w:color w:val="231F20"/>
        </w:rPr>
        <w:t>a</w:t>
      </w:r>
      <w:r>
        <w:rPr>
          <w:color w:val="231F20"/>
          <w:spacing w:val="-8"/>
        </w:rPr>
        <w:t> </w:t>
      </w:r>
      <w:r>
        <w:rPr>
          <w:color w:val="231F20"/>
        </w:rPr>
        <w:t>con- sentire agli Stati membri di reagire rapidamente contro le pratiche fiscali dannose,</w:t>
      </w:r>
      <w:r>
        <w:rPr>
          <w:color w:val="231F20"/>
          <w:spacing w:val="-12"/>
        </w:rPr>
        <w:t> </w:t>
      </w:r>
      <w:r>
        <w:rPr>
          <w:color w:val="231F20"/>
        </w:rPr>
        <w:t>anche</w:t>
      </w:r>
      <w:r>
        <w:rPr>
          <w:color w:val="231F20"/>
          <w:spacing w:val="-11"/>
        </w:rPr>
        <w:t> </w:t>
      </w:r>
      <w:r>
        <w:rPr>
          <w:color w:val="231F20"/>
        </w:rPr>
        <w:t>legali,</w:t>
      </w:r>
      <w:r>
        <w:rPr>
          <w:color w:val="231F20"/>
          <w:spacing w:val="-11"/>
        </w:rPr>
        <w:t> </w:t>
      </w:r>
      <w:r>
        <w:rPr>
          <w:color w:val="231F20"/>
        </w:rPr>
        <w:t>e</w:t>
      </w:r>
      <w:r>
        <w:rPr>
          <w:color w:val="231F20"/>
          <w:spacing w:val="-11"/>
        </w:rPr>
        <w:t> </w:t>
      </w:r>
      <w:r>
        <w:rPr>
          <w:color w:val="231F20"/>
        </w:rPr>
        <w:t>di</w:t>
      </w:r>
      <w:r>
        <w:rPr>
          <w:color w:val="231F20"/>
          <w:spacing w:val="-12"/>
        </w:rPr>
        <w:t> </w:t>
      </w:r>
      <w:r>
        <w:rPr>
          <w:color w:val="231F20"/>
        </w:rPr>
        <w:t>porre</w:t>
      </w:r>
      <w:r>
        <w:rPr>
          <w:color w:val="231F20"/>
          <w:spacing w:val="-11"/>
        </w:rPr>
        <w:t> </w:t>
      </w:r>
      <w:r>
        <w:rPr>
          <w:color w:val="231F20"/>
        </w:rPr>
        <w:t>rimedio</w:t>
      </w:r>
      <w:r>
        <w:rPr>
          <w:color w:val="231F20"/>
          <w:spacing w:val="-11"/>
        </w:rPr>
        <w:t> </w:t>
      </w:r>
      <w:r>
        <w:rPr>
          <w:color w:val="231F20"/>
        </w:rPr>
        <w:t>alle</w:t>
      </w:r>
      <w:r>
        <w:rPr>
          <w:color w:val="231F20"/>
          <w:spacing w:val="-11"/>
        </w:rPr>
        <w:t> </w:t>
      </w:r>
      <w:r>
        <w:rPr>
          <w:color w:val="231F20"/>
        </w:rPr>
        <w:t>disparità</w:t>
      </w:r>
      <w:r>
        <w:rPr>
          <w:color w:val="231F20"/>
          <w:spacing w:val="-12"/>
        </w:rPr>
        <w:t> </w:t>
      </w:r>
      <w:r>
        <w:rPr>
          <w:color w:val="231F20"/>
        </w:rPr>
        <w:t>e</w:t>
      </w:r>
      <w:r>
        <w:rPr>
          <w:color w:val="231F20"/>
          <w:spacing w:val="-11"/>
        </w:rPr>
        <w:t> </w:t>
      </w:r>
      <w:r>
        <w:rPr>
          <w:color w:val="231F20"/>
        </w:rPr>
        <w:t>alle</w:t>
      </w:r>
      <w:r>
        <w:rPr>
          <w:color w:val="231F20"/>
          <w:spacing w:val="-11"/>
        </w:rPr>
        <w:t> </w:t>
      </w:r>
      <w:r>
        <w:rPr>
          <w:color w:val="231F20"/>
        </w:rPr>
        <w:t>lacune</w:t>
      </w:r>
      <w:r>
        <w:rPr>
          <w:color w:val="231F20"/>
          <w:spacing w:val="-11"/>
        </w:rPr>
        <w:t> </w:t>
      </w:r>
      <w:r>
        <w:rPr>
          <w:color w:val="231F20"/>
          <w:spacing w:val="-2"/>
        </w:rPr>
        <w:t>legislati-</w:t>
      </w:r>
    </w:p>
    <w:p>
      <w:pPr>
        <w:pStyle w:val="BodyText"/>
        <w:spacing w:before="36"/>
        <w:rPr>
          <w:sz w:val="20"/>
        </w:rPr>
      </w:pPr>
      <w:r>
        <w:rPr/>
        <mc:AlternateContent>
          <mc:Choice Requires="wps">
            <w:drawing>
              <wp:anchor distT="0" distB="0" distL="0" distR="0" allowOverlap="1" layoutInCell="1" locked="0" behindDoc="1" simplePos="0" relativeHeight="487642112">
                <wp:simplePos x="0" y="0"/>
                <wp:positionH relativeFrom="page">
                  <wp:posOffset>864000</wp:posOffset>
                </wp:positionH>
                <wp:positionV relativeFrom="paragraph">
                  <wp:posOffset>199812</wp:posOffset>
                </wp:positionV>
                <wp:extent cx="792480" cy="1270"/>
                <wp:effectExtent l="0" t="0" r="0" b="0"/>
                <wp:wrapTopAndBottom/>
                <wp:docPr id="175" name="Graphic 175"/>
                <wp:cNvGraphicFramePr>
                  <a:graphicFrameLocks/>
                </wp:cNvGraphicFramePr>
                <a:graphic>
                  <a:graphicData uri="http://schemas.microsoft.com/office/word/2010/wordprocessingShape">
                    <wps:wsp>
                      <wps:cNvPr id="175" name="Graphic 175"/>
                      <wps:cNvSpPr/>
                      <wps:spPr>
                        <a:xfrm>
                          <a:off x="0" y="0"/>
                          <a:ext cx="792480" cy="1270"/>
                        </a:xfrm>
                        <a:custGeom>
                          <a:avLst/>
                          <a:gdLst/>
                          <a:ahLst/>
                          <a:cxnLst/>
                          <a:rect l="l" t="t" r="r" b="b"/>
                          <a:pathLst>
                            <a:path w="792480" h="0">
                              <a:moveTo>
                                <a:pt x="0" y="0"/>
                              </a:moveTo>
                              <a:lnTo>
                                <a:pt x="791997"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shape style="position:absolute;margin-left:68.031502pt;margin-top:15.7333pt;width:62.4pt;height:.1pt;mso-position-horizontal-relative:page;mso-position-vertical-relative:paragraph;z-index:-15674368;mso-wrap-distance-left:0;mso-wrap-distance-right:0" id="docshape145" coordorigin="1361,315" coordsize="1248,0" path="m1361,315l2608,315e" filled="false" stroked="true" strokeweight=".5pt" strokecolor="#231f20">
                <v:path arrowok="t"/>
                <v:stroke dashstyle="solid"/>
                <w10:wrap type="topAndBottom"/>
              </v:shape>
            </w:pict>
          </mc:Fallback>
        </mc:AlternateContent>
      </w:r>
    </w:p>
    <w:p>
      <w:pPr>
        <w:spacing w:line="235" w:lineRule="exact" w:before="190"/>
        <w:ind w:left="100" w:right="0" w:firstLine="0"/>
        <w:jc w:val="left"/>
        <w:rPr>
          <w:sz w:val="19"/>
        </w:rPr>
      </w:pPr>
      <w:r>
        <w:rPr>
          <w:color w:val="231F20"/>
          <w:position w:val="6"/>
          <w:sz w:val="11"/>
        </w:rPr>
        <w:t>124</w:t>
      </w:r>
      <w:r>
        <w:rPr>
          <w:color w:val="231F20"/>
          <w:spacing w:val="79"/>
          <w:position w:val="6"/>
          <w:sz w:val="11"/>
        </w:rPr>
        <w:t> </w:t>
      </w:r>
      <w:r>
        <w:rPr>
          <w:color w:val="231F20"/>
          <w:sz w:val="19"/>
        </w:rPr>
        <w:t>Corte Giust. UE, sent. del</w:t>
      </w:r>
      <w:r>
        <w:rPr>
          <w:color w:val="231F20"/>
          <w:spacing w:val="-1"/>
          <w:sz w:val="19"/>
        </w:rPr>
        <w:t> </w:t>
      </w:r>
      <w:r>
        <w:rPr>
          <w:color w:val="231F20"/>
          <w:sz w:val="19"/>
        </w:rPr>
        <w:t>29 luglio 2024, C-623/22, cit</w:t>
      </w:r>
      <w:r>
        <w:rPr>
          <w:i/>
          <w:color w:val="231F20"/>
          <w:sz w:val="19"/>
        </w:rPr>
        <w:t>.</w:t>
      </w:r>
      <w:r>
        <w:rPr>
          <w:color w:val="231F20"/>
          <w:sz w:val="19"/>
        </w:rPr>
        <w:t>, punto </w:t>
      </w:r>
      <w:r>
        <w:rPr>
          <w:color w:val="231F20"/>
          <w:spacing w:val="-4"/>
          <w:sz w:val="19"/>
        </w:rPr>
        <w:t>129.</w:t>
      </w:r>
    </w:p>
    <w:p>
      <w:pPr>
        <w:spacing w:line="235" w:lineRule="exact" w:before="0"/>
        <w:ind w:left="100" w:right="0" w:firstLine="0"/>
        <w:jc w:val="left"/>
        <w:rPr>
          <w:sz w:val="19"/>
        </w:rPr>
      </w:pPr>
      <w:r>
        <w:rPr>
          <w:color w:val="231F20"/>
          <w:position w:val="6"/>
          <w:sz w:val="11"/>
        </w:rPr>
        <w:t>125</w:t>
      </w:r>
      <w:r>
        <w:rPr>
          <w:color w:val="231F20"/>
          <w:spacing w:val="79"/>
          <w:position w:val="6"/>
          <w:sz w:val="11"/>
        </w:rPr>
        <w:t> </w:t>
      </w:r>
      <w:r>
        <w:rPr>
          <w:color w:val="231F20"/>
          <w:sz w:val="19"/>
        </w:rPr>
        <w:t>Corte Giust. UE,</w:t>
      </w:r>
      <w:r>
        <w:rPr>
          <w:color w:val="231F20"/>
          <w:spacing w:val="-1"/>
          <w:sz w:val="19"/>
        </w:rPr>
        <w:t> </w:t>
      </w:r>
      <w:r>
        <w:rPr>
          <w:color w:val="231F20"/>
          <w:sz w:val="19"/>
        </w:rPr>
        <w:t>C-623/22, ult. cit., punto </w:t>
      </w:r>
      <w:r>
        <w:rPr>
          <w:color w:val="231F20"/>
          <w:spacing w:val="-4"/>
          <w:sz w:val="19"/>
        </w:rPr>
        <w:t>131.</w:t>
      </w:r>
    </w:p>
    <w:p>
      <w:pPr>
        <w:spacing w:after="0" w:line="235" w:lineRule="exact"/>
        <w:jc w:val="left"/>
        <w:rPr>
          <w:sz w:val="19"/>
        </w:rPr>
        <w:sectPr>
          <w:pgSz w:w="9640" w:h="13610"/>
          <w:pgMar w:header="0" w:footer="625" w:top="1260" w:bottom="820" w:left="1260" w:right="1240"/>
        </w:sectPr>
      </w:pPr>
    </w:p>
    <w:p>
      <w:pPr>
        <w:pStyle w:val="BodyText"/>
        <w:spacing w:line="225" w:lineRule="auto" w:before="117"/>
        <w:ind w:left="157" w:right="118"/>
        <w:jc w:val="both"/>
      </w:pPr>
      <w:r>
        <w:rPr/>
        <mc:AlternateContent>
          <mc:Choice Requires="wps">
            <w:drawing>
              <wp:anchor distT="0" distB="0" distL="0" distR="0" allowOverlap="1" layoutInCell="1" locked="0" behindDoc="0" simplePos="0" relativeHeight="15783936">
                <wp:simplePos x="0" y="0"/>
                <wp:positionH relativeFrom="page">
                  <wp:posOffset>5608609</wp:posOffset>
                </wp:positionH>
                <wp:positionV relativeFrom="page">
                  <wp:posOffset>2376001</wp:posOffset>
                </wp:positionV>
                <wp:extent cx="511809" cy="2412365"/>
                <wp:effectExtent l="0" t="0" r="0" b="0"/>
                <wp:wrapNone/>
                <wp:docPr id="176" name="Group 176"/>
                <wp:cNvGraphicFramePr>
                  <a:graphicFrameLocks/>
                </wp:cNvGraphicFramePr>
                <a:graphic>
                  <a:graphicData uri="http://schemas.microsoft.com/office/word/2010/wordprocessingGroup">
                    <wpg:wgp>
                      <wpg:cNvPr id="176" name="Group 176"/>
                      <wpg:cNvGrpSpPr/>
                      <wpg:grpSpPr>
                        <a:xfrm>
                          <a:off x="0" y="0"/>
                          <a:ext cx="511809" cy="2412365"/>
                          <a:chExt cx="511809" cy="2412365"/>
                        </a:xfrm>
                      </wpg:grpSpPr>
                      <wps:wsp>
                        <wps:cNvPr id="177" name="Graphic 177"/>
                        <wps:cNvSpPr/>
                        <wps:spPr>
                          <a:xfrm>
                            <a:off x="7393" y="3"/>
                            <a:ext cx="504190" cy="360045"/>
                          </a:xfrm>
                          <a:custGeom>
                            <a:avLst/>
                            <a:gdLst/>
                            <a:ahLst/>
                            <a:cxnLst/>
                            <a:rect l="l" t="t" r="r" b="b"/>
                            <a:pathLst>
                              <a:path w="504190" h="360045">
                                <a:moveTo>
                                  <a:pt x="503999" y="0"/>
                                </a:moveTo>
                                <a:lnTo>
                                  <a:pt x="0" y="0"/>
                                </a:lnTo>
                                <a:lnTo>
                                  <a:pt x="0" y="359994"/>
                                </a:lnTo>
                                <a:lnTo>
                                  <a:pt x="503999" y="359994"/>
                                </a:lnTo>
                                <a:lnTo>
                                  <a:pt x="503999" y="0"/>
                                </a:lnTo>
                                <a:close/>
                              </a:path>
                            </a:pathLst>
                          </a:custGeom>
                          <a:solidFill>
                            <a:srgbClr val="939598"/>
                          </a:solidFill>
                        </wps:spPr>
                        <wps:bodyPr wrap="square" lIns="0" tIns="0" rIns="0" bIns="0" rtlCol="0">
                          <a:prstTxWarp prst="textNoShape">
                            <a:avLst/>
                          </a:prstTxWarp>
                          <a:noAutofit/>
                        </wps:bodyPr>
                      </wps:wsp>
                      <wps:wsp>
                        <wps:cNvPr id="178" name="Graphic 178"/>
                        <wps:cNvSpPr/>
                        <wps:spPr>
                          <a:xfrm>
                            <a:off x="6350" y="0"/>
                            <a:ext cx="1270" cy="2412365"/>
                          </a:xfrm>
                          <a:custGeom>
                            <a:avLst/>
                            <a:gdLst/>
                            <a:ahLst/>
                            <a:cxnLst/>
                            <a:rect l="l" t="t" r="r" b="b"/>
                            <a:pathLst>
                              <a:path w="0" h="2412365">
                                <a:moveTo>
                                  <a:pt x="0" y="0"/>
                                </a:moveTo>
                                <a:lnTo>
                                  <a:pt x="0" y="2411996"/>
                                </a:lnTo>
                              </a:path>
                            </a:pathLst>
                          </a:custGeom>
                          <a:ln w="12700">
                            <a:solidFill>
                              <a:srgbClr val="939598"/>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441.622803pt;margin-top:187.0867pt;width:40.3pt;height:189.95pt;mso-position-horizontal-relative:page;mso-position-vertical-relative:page;z-index:15783936" id="docshapegroup146" coordorigin="8832,3742" coordsize="806,3799">
                <v:rect style="position:absolute;left:8844;top:3741;width:794;height:567" id="docshape147" filled="true" fillcolor="#939598" stroked="false">
                  <v:fill type="solid"/>
                </v:rect>
                <v:line style="position:absolute" from="8842,3742" to="8842,7540" stroked="true" strokeweight="1pt" strokecolor="#939598">
                  <v:stroke dashstyle="solid"/>
                </v:line>
                <w10:wrap type="none"/>
              </v:group>
            </w:pict>
          </mc:Fallback>
        </mc:AlternateContent>
      </w:r>
      <w:r>
        <w:rPr/>
        <mc:AlternateContent>
          <mc:Choice Requires="wps">
            <w:drawing>
              <wp:anchor distT="0" distB="0" distL="0" distR="0" allowOverlap="1" layoutInCell="1" locked="0" behindDoc="0" simplePos="0" relativeHeight="15784448">
                <wp:simplePos x="0" y="0"/>
                <wp:positionH relativeFrom="page">
                  <wp:posOffset>5635147</wp:posOffset>
                </wp:positionH>
                <wp:positionV relativeFrom="page">
                  <wp:posOffset>2795300</wp:posOffset>
                </wp:positionV>
                <wp:extent cx="299720" cy="1995805"/>
                <wp:effectExtent l="0" t="0" r="0" b="0"/>
                <wp:wrapNone/>
                <wp:docPr id="179" name="Textbox 179"/>
                <wp:cNvGraphicFramePr>
                  <a:graphicFrameLocks/>
                </wp:cNvGraphicFramePr>
                <a:graphic>
                  <a:graphicData uri="http://schemas.microsoft.com/office/word/2010/wordprocessingShape">
                    <wps:wsp>
                      <wps:cNvPr id="179" name="Textbox 179"/>
                      <wps:cNvSpPr txBox="1"/>
                      <wps:spPr>
                        <a:xfrm>
                          <a:off x="0" y="0"/>
                          <a:ext cx="299720" cy="1995805"/>
                        </a:xfrm>
                        <a:prstGeom prst="rect">
                          <a:avLst/>
                        </a:prstGeom>
                      </wps:spPr>
                      <wps:txbx>
                        <w:txbxContent>
                          <w:p>
                            <w:pPr>
                              <w:spacing w:before="20"/>
                              <w:ind w:left="20" w:right="0" w:firstLine="0"/>
                              <w:jc w:val="left"/>
                              <w:rPr>
                                <w:rFonts w:ascii="Minion Pro"/>
                                <w:sz w:val="32"/>
                              </w:rPr>
                            </w:pPr>
                            <w:r>
                              <w:rPr>
                                <w:rFonts w:ascii="Minion Pro"/>
                                <w:color w:val="231F20"/>
                                <w:sz w:val="32"/>
                              </w:rPr>
                              <w:t>Commented</w:t>
                            </w:r>
                            <w:r>
                              <w:rPr>
                                <w:rFonts w:ascii="Minion Pro"/>
                                <w:color w:val="231F20"/>
                                <w:spacing w:val="-10"/>
                                <w:sz w:val="32"/>
                              </w:rPr>
                              <w:t> </w:t>
                            </w:r>
                            <w:r>
                              <w:rPr>
                                <w:rFonts w:ascii="Minion Pro"/>
                                <w:color w:val="231F20"/>
                                <w:spacing w:val="-2"/>
                                <w:sz w:val="32"/>
                              </w:rPr>
                              <w:t>documents</w:t>
                            </w:r>
                          </w:p>
                        </w:txbxContent>
                      </wps:txbx>
                      <wps:bodyPr wrap="square" lIns="0" tIns="0" rIns="0" bIns="0" rtlCol="0" vert="vert">
                        <a:noAutofit/>
                      </wps:bodyPr>
                    </wps:wsp>
                  </a:graphicData>
                </a:graphic>
              </wp:anchor>
            </w:drawing>
          </mc:Choice>
          <mc:Fallback>
            <w:pict>
              <v:shape style="position:absolute;margin-left:443.712402pt;margin-top:220.102402pt;width:23.6pt;height:157.15pt;mso-position-horizontal-relative:page;mso-position-vertical-relative:page;z-index:15784448" type="#_x0000_t202" id="docshape148" filled="false" stroked="false">
                <v:textbox inset="0,0,0,0" style="layout-flow:vertical">
                  <w:txbxContent>
                    <w:p>
                      <w:pPr>
                        <w:spacing w:before="20"/>
                        <w:ind w:left="20" w:right="0" w:firstLine="0"/>
                        <w:jc w:val="left"/>
                        <w:rPr>
                          <w:rFonts w:ascii="Minion Pro"/>
                          <w:sz w:val="32"/>
                        </w:rPr>
                      </w:pPr>
                      <w:r>
                        <w:rPr>
                          <w:rFonts w:ascii="Minion Pro"/>
                          <w:color w:val="231F20"/>
                          <w:sz w:val="32"/>
                        </w:rPr>
                        <w:t>Commented</w:t>
                      </w:r>
                      <w:r>
                        <w:rPr>
                          <w:rFonts w:ascii="Minion Pro"/>
                          <w:color w:val="231F20"/>
                          <w:spacing w:val="-10"/>
                          <w:sz w:val="32"/>
                        </w:rPr>
                        <w:t> </w:t>
                      </w:r>
                      <w:r>
                        <w:rPr>
                          <w:rFonts w:ascii="Minion Pro"/>
                          <w:color w:val="231F20"/>
                          <w:spacing w:val="-2"/>
                          <w:sz w:val="32"/>
                        </w:rPr>
                        <w:t>documents</w:t>
                      </w:r>
                    </w:p>
                  </w:txbxContent>
                </v:textbox>
                <w10:wrap type="none"/>
              </v:shape>
            </w:pict>
          </mc:Fallback>
        </mc:AlternateContent>
      </w:r>
      <w:r>
        <w:rPr>
          <w:color w:val="231F20"/>
        </w:rPr>
        <w:t>ve</w:t>
      </w:r>
      <w:r>
        <w:rPr>
          <w:color w:val="231F20"/>
          <w:spacing w:val="-9"/>
        </w:rPr>
        <w:t> </w:t>
      </w:r>
      <w:r>
        <w:rPr>
          <w:color w:val="231F20"/>
        </w:rPr>
        <w:t>o</w:t>
      </w:r>
      <w:r>
        <w:rPr>
          <w:color w:val="231F20"/>
          <w:spacing w:val="-9"/>
        </w:rPr>
        <w:t> </w:t>
      </w:r>
      <w:r>
        <w:rPr>
          <w:color w:val="231F20"/>
        </w:rPr>
        <w:t>regolamentari</w:t>
      </w:r>
      <w:r>
        <w:rPr>
          <w:color w:val="231F20"/>
          <w:spacing w:val="-9"/>
        </w:rPr>
        <w:t> </w:t>
      </w:r>
      <w:r>
        <w:rPr>
          <w:color w:val="231F20"/>
        </w:rPr>
        <w:t>atte</w:t>
      </w:r>
      <w:r>
        <w:rPr>
          <w:color w:val="231F20"/>
          <w:spacing w:val="-9"/>
        </w:rPr>
        <w:t> </w:t>
      </w:r>
      <w:r>
        <w:rPr>
          <w:color w:val="231F20"/>
        </w:rPr>
        <w:t>a</w:t>
      </w:r>
      <w:r>
        <w:rPr>
          <w:color w:val="231F20"/>
          <w:spacing w:val="-9"/>
        </w:rPr>
        <w:t> </w:t>
      </w:r>
      <w:r>
        <w:rPr>
          <w:color w:val="231F20"/>
        </w:rPr>
        <w:t>facilitare</w:t>
      </w:r>
      <w:r>
        <w:rPr>
          <w:color w:val="231F20"/>
          <w:spacing w:val="-9"/>
        </w:rPr>
        <w:t> </w:t>
      </w:r>
      <w:r>
        <w:rPr>
          <w:color w:val="231F20"/>
        </w:rPr>
        <w:t>lo</w:t>
      </w:r>
      <w:r>
        <w:rPr>
          <w:color w:val="231F20"/>
          <w:spacing w:val="-9"/>
        </w:rPr>
        <w:t> </w:t>
      </w:r>
      <w:r>
        <w:rPr>
          <w:color w:val="231F20"/>
        </w:rPr>
        <w:t>sviluppo</w:t>
      </w:r>
      <w:r>
        <w:rPr>
          <w:color w:val="231F20"/>
          <w:spacing w:val="-9"/>
        </w:rPr>
        <w:t> </w:t>
      </w:r>
      <w:r>
        <w:rPr>
          <w:color w:val="231F20"/>
        </w:rPr>
        <w:t>di</w:t>
      </w:r>
      <w:r>
        <w:rPr>
          <w:color w:val="231F20"/>
          <w:spacing w:val="-9"/>
        </w:rPr>
        <w:t> </w:t>
      </w:r>
      <w:r>
        <w:rPr>
          <w:color w:val="231F20"/>
        </w:rPr>
        <w:t>tali</w:t>
      </w:r>
      <w:r>
        <w:rPr>
          <w:color w:val="231F20"/>
          <w:spacing w:val="-9"/>
        </w:rPr>
        <w:t> </w:t>
      </w:r>
      <w:r>
        <w:rPr>
          <w:color w:val="231F20"/>
        </w:rPr>
        <w:t>pratiche»</w:t>
      </w:r>
      <w:r>
        <w:rPr>
          <w:rFonts w:ascii="Times New Roman" w:hAnsi="Times New Roman"/>
          <w:color w:val="231F20"/>
          <w:position w:val="8"/>
          <w:sz w:val="14"/>
        </w:rPr>
        <w:t>126</w:t>
      </w:r>
      <w:r>
        <w:rPr>
          <w:color w:val="231F20"/>
        </w:rPr>
        <w:t>.</w:t>
      </w:r>
      <w:r>
        <w:rPr>
          <w:color w:val="231F20"/>
          <w:spacing w:val="-9"/>
        </w:rPr>
        <w:t> </w:t>
      </w:r>
      <w:r>
        <w:rPr>
          <w:color w:val="231F20"/>
        </w:rPr>
        <w:t>Per</w:t>
      </w:r>
      <w:r>
        <w:rPr>
          <w:color w:val="231F20"/>
          <w:spacing w:val="-9"/>
        </w:rPr>
        <w:t> </w:t>
      </w:r>
      <w:r>
        <w:rPr>
          <w:color w:val="231F20"/>
        </w:rPr>
        <w:t>di</w:t>
      </w:r>
      <w:r>
        <w:rPr>
          <w:color w:val="231F20"/>
          <w:spacing w:val="-9"/>
        </w:rPr>
        <w:t> </w:t>
      </w:r>
      <w:r>
        <w:rPr>
          <w:color w:val="231F20"/>
        </w:rPr>
        <w:t>più tale</w:t>
      </w:r>
      <w:r>
        <w:rPr>
          <w:color w:val="231F20"/>
          <w:spacing w:val="-13"/>
        </w:rPr>
        <w:t> </w:t>
      </w:r>
      <w:r>
        <w:rPr>
          <w:color w:val="231F20"/>
        </w:rPr>
        <w:t>obbligo</w:t>
      </w:r>
      <w:r>
        <w:rPr>
          <w:color w:val="231F20"/>
          <w:spacing w:val="-13"/>
        </w:rPr>
        <w:t> </w:t>
      </w:r>
      <w:r>
        <w:rPr>
          <w:color w:val="231F20"/>
        </w:rPr>
        <w:t>di</w:t>
      </w:r>
      <w:r>
        <w:rPr>
          <w:color w:val="231F20"/>
          <w:spacing w:val="-13"/>
        </w:rPr>
        <w:t> </w:t>
      </w:r>
      <w:r>
        <w:rPr>
          <w:color w:val="231F20"/>
        </w:rPr>
        <w:t>comunicazione</w:t>
      </w:r>
      <w:r>
        <w:rPr>
          <w:color w:val="231F20"/>
          <w:spacing w:val="-13"/>
        </w:rPr>
        <w:t> </w:t>
      </w:r>
      <w:r>
        <w:rPr>
          <w:color w:val="231F20"/>
        </w:rPr>
        <w:t>non</w:t>
      </w:r>
      <w:r>
        <w:rPr>
          <w:color w:val="231F20"/>
          <w:spacing w:val="-13"/>
        </w:rPr>
        <w:t> </w:t>
      </w:r>
      <w:r>
        <w:rPr>
          <w:color w:val="231F20"/>
        </w:rPr>
        <w:t>si</w:t>
      </w:r>
      <w:r>
        <w:rPr>
          <w:color w:val="231F20"/>
          <w:spacing w:val="-13"/>
        </w:rPr>
        <w:t> </w:t>
      </w:r>
      <w:r>
        <w:rPr>
          <w:color w:val="231F20"/>
        </w:rPr>
        <w:t>sovrappone</w:t>
      </w:r>
      <w:r>
        <w:rPr>
          <w:color w:val="231F20"/>
          <w:spacing w:val="-13"/>
        </w:rPr>
        <w:t> </w:t>
      </w:r>
      <w:r>
        <w:rPr>
          <w:color w:val="231F20"/>
        </w:rPr>
        <w:t>alle</w:t>
      </w:r>
      <w:r>
        <w:rPr>
          <w:color w:val="231F20"/>
          <w:spacing w:val="-13"/>
        </w:rPr>
        <w:t> </w:t>
      </w:r>
      <w:r>
        <w:rPr>
          <w:color w:val="231F20"/>
        </w:rPr>
        <w:t>procedure</w:t>
      </w:r>
      <w:r>
        <w:rPr>
          <w:color w:val="231F20"/>
          <w:spacing w:val="-13"/>
        </w:rPr>
        <w:t> </w:t>
      </w:r>
      <w:r>
        <w:rPr>
          <w:color w:val="231F20"/>
        </w:rPr>
        <w:t>di</w:t>
      </w:r>
      <w:r>
        <w:rPr>
          <w:color w:val="231F20"/>
          <w:spacing w:val="-13"/>
        </w:rPr>
        <w:t> </w:t>
      </w:r>
      <w:r>
        <w:rPr>
          <w:color w:val="231F20"/>
        </w:rPr>
        <w:t>scambio automatico delle informazioni fra le amministrazioni degli Stati membri, già</w:t>
      </w:r>
      <w:r>
        <w:rPr>
          <w:color w:val="231F20"/>
          <w:spacing w:val="-12"/>
        </w:rPr>
        <w:t> </w:t>
      </w:r>
      <w:r>
        <w:rPr>
          <w:color w:val="231F20"/>
        </w:rPr>
        <w:t>previste</w:t>
      </w:r>
      <w:r>
        <w:rPr>
          <w:color w:val="231F20"/>
          <w:spacing w:val="-12"/>
        </w:rPr>
        <w:t> </w:t>
      </w:r>
      <w:r>
        <w:rPr>
          <w:color w:val="231F20"/>
        </w:rPr>
        <w:t>nelle</w:t>
      </w:r>
      <w:r>
        <w:rPr>
          <w:color w:val="231F20"/>
          <w:spacing w:val="-12"/>
        </w:rPr>
        <w:t> </w:t>
      </w:r>
      <w:r>
        <w:rPr>
          <w:color w:val="231F20"/>
        </w:rPr>
        <w:t>direttive</w:t>
      </w:r>
      <w:r>
        <w:rPr>
          <w:color w:val="231F20"/>
          <w:spacing w:val="-12"/>
        </w:rPr>
        <w:t> </w:t>
      </w:r>
      <w:r>
        <w:rPr>
          <w:color w:val="231F20"/>
        </w:rPr>
        <w:t>DAC</w:t>
      </w:r>
      <w:r>
        <w:rPr>
          <w:color w:val="231F20"/>
          <w:spacing w:val="-12"/>
        </w:rPr>
        <w:t> </w:t>
      </w:r>
      <w:r>
        <w:rPr>
          <w:color w:val="231F20"/>
        </w:rPr>
        <w:t>anteriori</w:t>
      </w:r>
      <w:r>
        <w:rPr>
          <w:color w:val="231F20"/>
          <w:spacing w:val="-12"/>
        </w:rPr>
        <w:t> </w:t>
      </w:r>
      <w:r>
        <w:rPr>
          <w:color w:val="231F20"/>
        </w:rPr>
        <w:t>alla</w:t>
      </w:r>
      <w:r>
        <w:rPr>
          <w:color w:val="231F20"/>
          <w:spacing w:val="-12"/>
        </w:rPr>
        <w:t> </w:t>
      </w:r>
      <w:r>
        <w:rPr>
          <w:color w:val="231F20"/>
        </w:rPr>
        <w:t>direttiva</w:t>
      </w:r>
      <w:r>
        <w:rPr>
          <w:color w:val="231F20"/>
          <w:spacing w:val="-12"/>
        </w:rPr>
        <w:t> </w:t>
      </w:r>
      <w:r>
        <w:rPr>
          <w:color w:val="231F20"/>
        </w:rPr>
        <w:t>(UE)</w:t>
      </w:r>
      <w:r>
        <w:rPr>
          <w:color w:val="231F20"/>
          <w:spacing w:val="-12"/>
        </w:rPr>
        <w:t> </w:t>
      </w:r>
      <w:r>
        <w:rPr>
          <w:color w:val="231F20"/>
        </w:rPr>
        <w:t>2018/822,</w:t>
      </w:r>
      <w:r>
        <w:rPr>
          <w:color w:val="231F20"/>
          <w:spacing w:val="-12"/>
        </w:rPr>
        <w:t> </w:t>
      </w:r>
      <w:r>
        <w:rPr>
          <w:color w:val="231F20"/>
        </w:rPr>
        <w:t>c.d. DAC 6, in quanto l’obbligo di comunicazione introdotto da quest’ultima direttiva riguarda – rilevano i giudici dell’Unione – dei meccanismi fisca- li «concreti» che comportano un rischio reale di elusione fiscale, nonché l’identità dei loro ideatori e dei loro beneficiari. In conclusione, sebbene l’obbligo</w:t>
      </w:r>
      <w:r>
        <w:rPr>
          <w:color w:val="231F20"/>
          <w:spacing w:val="-3"/>
        </w:rPr>
        <w:t> </w:t>
      </w:r>
      <w:r>
        <w:rPr>
          <w:color w:val="231F20"/>
        </w:rPr>
        <w:t>di</w:t>
      </w:r>
      <w:r>
        <w:rPr>
          <w:color w:val="231F20"/>
          <w:spacing w:val="-3"/>
        </w:rPr>
        <w:t> </w:t>
      </w:r>
      <w:r>
        <w:rPr>
          <w:color w:val="231F20"/>
        </w:rPr>
        <w:t>comunicazione</w:t>
      </w:r>
      <w:r>
        <w:rPr>
          <w:color w:val="231F20"/>
          <w:spacing w:val="-3"/>
        </w:rPr>
        <w:t> </w:t>
      </w:r>
      <w:r>
        <w:rPr>
          <w:color w:val="231F20"/>
        </w:rPr>
        <w:t>costituisca</w:t>
      </w:r>
      <w:r>
        <w:rPr>
          <w:color w:val="231F20"/>
          <w:spacing w:val="-3"/>
        </w:rPr>
        <w:t> </w:t>
      </w:r>
      <w:r>
        <w:rPr>
          <w:color w:val="231F20"/>
        </w:rPr>
        <w:t>un’ingerenza</w:t>
      </w:r>
      <w:r>
        <w:rPr>
          <w:color w:val="231F20"/>
          <w:spacing w:val="-3"/>
        </w:rPr>
        <w:t> </w:t>
      </w:r>
      <w:r>
        <w:rPr>
          <w:color w:val="231F20"/>
        </w:rPr>
        <w:t>«non</w:t>
      </w:r>
      <w:r>
        <w:rPr>
          <w:color w:val="231F20"/>
          <w:spacing w:val="-3"/>
        </w:rPr>
        <w:t> </w:t>
      </w:r>
      <w:r>
        <w:rPr>
          <w:color w:val="231F20"/>
        </w:rPr>
        <w:t>trascurabile»</w:t>
      </w:r>
      <w:r>
        <w:rPr>
          <w:color w:val="231F20"/>
          <w:spacing w:val="-3"/>
        </w:rPr>
        <w:t> </w:t>
      </w:r>
      <w:r>
        <w:rPr>
          <w:color w:val="231F20"/>
        </w:rPr>
        <w:t>nel diritto alla protezione della vita privata, la Corte conclude per la validità dell’art. 8 </w:t>
      </w:r>
      <w:r>
        <w:rPr>
          <w:i/>
          <w:color w:val="231F20"/>
        </w:rPr>
        <w:t>bis ter, </w:t>
      </w:r>
      <w:r>
        <w:rPr>
          <w:color w:val="231F20"/>
        </w:rPr>
        <w:t>direttiva (UE) 2011/16 in quanto tale ingerenza appare giustificata da obiettivi «importanti» di interesse pubblico, quali la lotta contro</w:t>
      </w:r>
      <w:r>
        <w:rPr>
          <w:color w:val="231F20"/>
          <w:spacing w:val="-2"/>
        </w:rPr>
        <w:t> </w:t>
      </w:r>
      <w:r>
        <w:rPr>
          <w:color w:val="231F20"/>
        </w:rPr>
        <w:t>la</w:t>
      </w:r>
      <w:r>
        <w:rPr>
          <w:color w:val="231F20"/>
          <w:spacing w:val="-2"/>
        </w:rPr>
        <w:t> </w:t>
      </w:r>
      <w:r>
        <w:rPr>
          <w:color w:val="231F20"/>
        </w:rPr>
        <w:t>pianificazione</w:t>
      </w:r>
      <w:r>
        <w:rPr>
          <w:color w:val="231F20"/>
          <w:spacing w:val="-2"/>
        </w:rPr>
        <w:t> </w:t>
      </w:r>
      <w:r>
        <w:rPr>
          <w:color w:val="231F20"/>
        </w:rPr>
        <w:t>fiscale</w:t>
      </w:r>
      <w:r>
        <w:rPr>
          <w:color w:val="231F20"/>
          <w:spacing w:val="-2"/>
        </w:rPr>
        <w:t> </w:t>
      </w:r>
      <w:r>
        <w:rPr>
          <w:color w:val="231F20"/>
        </w:rPr>
        <w:t>aggressiva</w:t>
      </w:r>
      <w:r>
        <w:rPr>
          <w:color w:val="231F20"/>
          <w:spacing w:val="-2"/>
        </w:rPr>
        <w:t> </w:t>
      </w:r>
      <w:r>
        <w:rPr>
          <w:color w:val="231F20"/>
        </w:rPr>
        <w:t>e</w:t>
      </w:r>
      <w:r>
        <w:rPr>
          <w:color w:val="231F20"/>
          <w:spacing w:val="-2"/>
        </w:rPr>
        <w:t> </w:t>
      </w:r>
      <w:r>
        <w:rPr>
          <w:color w:val="231F20"/>
        </w:rPr>
        <w:t>la</w:t>
      </w:r>
      <w:r>
        <w:rPr>
          <w:color w:val="231F20"/>
          <w:spacing w:val="-2"/>
        </w:rPr>
        <w:t> </w:t>
      </w:r>
      <w:r>
        <w:rPr>
          <w:color w:val="231F20"/>
        </w:rPr>
        <w:t>prevenzione</w:t>
      </w:r>
      <w:r>
        <w:rPr>
          <w:color w:val="231F20"/>
          <w:spacing w:val="-2"/>
        </w:rPr>
        <w:t> </w:t>
      </w:r>
      <w:r>
        <w:rPr>
          <w:color w:val="231F20"/>
        </w:rPr>
        <w:t>dei</w:t>
      </w:r>
      <w:r>
        <w:rPr>
          <w:color w:val="231F20"/>
          <w:spacing w:val="-2"/>
        </w:rPr>
        <w:t> </w:t>
      </w:r>
      <w:r>
        <w:rPr>
          <w:color w:val="231F20"/>
        </w:rPr>
        <w:t>rischi</w:t>
      </w:r>
      <w:r>
        <w:rPr>
          <w:color w:val="231F20"/>
          <w:spacing w:val="-2"/>
        </w:rPr>
        <w:t> </w:t>
      </w:r>
      <w:r>
        <w:rPr>
          <w:color w:val="231F20"/>
        </w:rPr>
        <w:t>di</w:t>
      </w:r>
      <w:r>
        <w:rPr>
          <w:color w:val="231F20"/>
          <w:spacing w:val="-2"/>
        </w:rPr>
        <w:t> </w:t>
      </w:r>
      <w:r>
        <w:rPr>
          <w:color w:val="231F20"/>
        </w:rPr>
        <w:t>elu- sione</w:t>
      </w:r>
      <w:r>
        <w:rPr>
          <w:color w:val="231F20"/>
          <w:spacing w:val="-9"/>
        </w:rPr>
        <w:t> </w:t>
      </w:r>
      <w:r>
        <w:rPr>
          <w:color w:val="231F20"/>
        </w:rPr>
        <w:t>fiscali,</w:t>
      </w:r>
      <w:r>
        <w:rPr>
          <w:color w:val="231F20"/>
          <w:spacing w:val="-9"/>
        </w:rPr>
        <w:t> </w:t>
      </w:r>
      <w:r>
        <w:rPr>
          <w:color w:val="231F20"/>
        </w:rPr>
        <w:t>obiettivi</w:t>
      </w:r>
      <w:r>
        <w:rPr>
          <w:color w:val="231F20"/>
          <w:spacing w:val="-9"/>
        </w:rPr>
        <w:t> </w:t>
      </w:r>
      <w:r>
        <w:rPr>
          <w:color w:val="231F20"/>
        </w:rPr>
        <w:t>immediati</w:t>
      </w:r>
      <w:r>
        <w:rPr>
          <w:color w:val="231F20"/>
          <w:spacing w:val="-9"/>
        </w:rPr>
        <w:t> </w:t>
      </w:r>
      <w:r>
        <w:rPr>
          <w:color w:val="231F20"/>
        </w:rPr>
        <w:t>che</w:t>
      </w:r>
      <w:r>
        <w:rPr>
          <w:color w:val="231F20"/>
          <w:spacing w:val="-9"/>
        </w:rPr>
        <w:t> </w:t>
      </w:r>
      <w:r>
        <w:rPr>
          <w:color w:val="231F20"/>
        </w:rPr>
        <w:t>a</w:t>
      </w:r>
      <w:r>
        <w:rPr>
          <w:color w:val="231F20"/>
          <w:spacing w:val="-9"/>
        </w:rPr>
        <w:t> </w:t>
      </w:r>
      <w:r>
        <w:rPr>
          <w:color w:val="231F20"/>
        </w:rPr>
        <w:t>loro</w:t>
      </w:r>
      <w:r>
        <w:rPr>
          <w:color w:val="231F20"/>
          <w:spacing w:val="-9"/>
        </w:rPr>
        <w:t> </w:t>
      </w:r>
      <w:r>
        <w:rPr>
          <w:color w:val="231F20"/>
        </w:rPr>
        <w:t>volta</w:t>
      </w:r>
      <w:r>
        <w:rPr>
          <w:color w:val="231F20"/>
          <w:spacing w:val="-9"/>
        </w:rPr>
        <w:t> </w:t>
      </w:r>
      <w:r>
        <w:rPr>
          <w:color w:val="231F20"/>
        </w:rPr>
        <w:t>servono</w:t>
      </w:r>
      <w:r>
        <w:rPr>
          <w:color w:val="231F20"/>
          <w:spacing w:val="-9"/>
        </w:rPr>
        <w:t> </w:t>
      </w:r>
      <w:r>
        <w:rPr>
          <w:color w:val="231F20"/>
        </w:rPr>
        <w:t>–</w:t>
      </w:r>
      <w:r>
        <w:rPr>
          <w:color w:val="231F20"/>
          <w:spacing w:val="-9"/>
        </w:rPr>
        <w:t> </w:t>
      </w:r>
      <w:r>
        <w:rPr>
          <w:color w:val="231F20"/>
        </w:rPr>
        <w:t>sempre</w:t>
      </w:r>
      <w:r>
        <w:rPr>
          <w:color w:val="231F20"/>
          <w:spacing w:val="-9"/>
        </w:rPr>
        <w:t> </w:t>
      </w:r>
      <w:r>
        <w:rPr>
          <w:color w:val="231F20"/>
        </w:rPr>
        <w:t>secondo i</w:t>
      </w:r>
      <w:r>
        <w:rPr>
          <w:color w:val="231F20"/>
          <w:spacing w:val="-5"/>
        </w:rPr>
        <w:t> </w:t>
      </w:r>
      <w:r>
        <w:rPr>
          <w:color w:val="231F20"/>
        </w:rPr>
        <w:t>giudici</w:t>
      </w:r>
      <w:r>
        <w:rPr>
          <w:color w:val="231F20"/>
          <w:spacing w:val="-5"/>
        </w:rPr>
        <w:t> </w:t>
      </w:r>
      <w:r>
        <w:rPr>
          <w:color w:val="231F20"/>
        </w:rPr>
        <w:t>dell’Unione</w:t>
      </w:r>
      <w:r>
        <w:rPr>
          <w:color w:val="231F20"/>
          <w:spacing w:val="-5"/>
        </w:rPr>
        <w:t> </w:t>
      </w:r>
      <w:r>
        <w:rPr>
          <w:color w:val="231F20"/>
        </w:rPr>
        <w:t>–</w:t>
      </w:r>
      <w:r>
        <w:rPr>
          <w:color w:val="231F20"/>
          <w:spacing w:val="-5"/>
        </w:rPr>
        <w:t> </w:t>
      </w:r>
      <w:r>
        <w:rPr>
          <w:color w:val="231F20"/>
        </w:rPr>
        <w:t>a</w:t>
      </w:r>
      <w:r>
        <w:rPr>
          <w:color w:val="231F20"/>
          <w:spacing w:val="-5"/>
        </w:rPr>
        <w:t> </w:t>
      </w:r>
      <w:r>
        <w:rPr>
          <w:color w:val="231F20"/>
        </w:rPr>
        <w:t>perseguire</w:t>
      </w:r>
      <w:r>
        <w:rPr>
          <w:color w:val="231F20"/>
          <w:spacing w:val="-5"/>
        </w:rPr>
        <w:t> </w:t>
      </w:r>
      <w:r>
        <w:rPr>
          <w:color w:val="231F20"/>
        </w:rPr>
        <w:t>finalità</w:t>
      </w:r>
      <w:r>
        <w:rPr>
          <w:color w:val="231F20"/>
          <w:spacing w:val="-5"/>
        </w:rPr>
        <w:t> </w:t>
      </w:r>
      <w:r>
        <w:rPr>
          <w:color w:val="231F20"/>
        </w:rPr>
        <w:t>pubbliche</w:t>
      </w:r>
      <w:r>
        <w:rPr>
          <w:color w:val="231F20"/>
          <w:spacing w:val="-5"/>
        </w:rPr>
        <w:t> </w:t>
      </w:r>
      <w:r>
        <w:rPr>
          <w:color w:val="231F20"/>
        </w:rPr>
        <w:t>di</w:t>
      </w:r>
      <w:r>
        <w:rPr>
          <w:color w:val="231F20"/>
          <w:spacing w:val="-5"/>
        </w:rPr>
        <w:t> </w:t>
      </w:r>
      <w:r>
        <w:rPr>
          <w:color w:val="231F20"/>
        </w:rPr>
        <w:t>più</w:t>
      </w:r>
      <w:r>
        <w:rPr>
          <w:color w:val="231F20"/>
          <w:spacing w:val="-5"/>
        </w:rPr>
        <w:t> </w:t>
      </w:r>
      <w:r>
        <w:rPr>
          <w:color w:val="231F20"/>
        </w:rPr>
        <w:t>ampio</w:t>
      </w:r>
      <w:r>
        <w:rPr>
          <w:color w:val="231F20"/>
          <w:spacing w:val="-5"/>
        </w:rPr>
        <w:t> </w:t>
      </w:r>
      <w:r>
        <w:rPr>
          <w:color w:val="231F20"/>
        </w:rPr>
        <w:t>respiro quali la tutela delle entrate fiscali degli Stati membri, la creazione di «un ambiente</w:t>
      </w:r>
      <w:r>
        <w:rPr>
          <w:color w:val="231F20"/>
          <w:spacing w:val="-2"/>
        </w:rPr>
        <w:t> </w:t>
      </w:r>
      <w:r>
        <w:rPr>
          <w:color w:val="231F20"/>
        </w:rPr>
        <w:t>fiscale</w:t>
      </w:r>
      <w:r>
        <w:rPr>
          <w:color w:val="231F20"/>
          <w:spacing w:val="-2"/>
        </w:rPr>
        <w:t> </w:t>
      </w:r>
      <w:r>
        <w:rPr>
          <w:color w:val="231F20"/>
        </w:rPr>
        <w:t>equo</w:t>
      </w:r>
      <w:r>
        <w:rPr>
          <w:color w:val="231F20"/>
          <w:spacing w:val="-2"/>
        </w:rPr>
        <w:t> </w:t>
      </w:r>
      <w:r>
        <w:rPr>
          <w:color w:val="231F20"/>
        </w:rPr>
        <w:t>nel</w:t>
      </w:r>
      <w:r>
        <w:rPr>
          <w:color w:val="231F20"/>
          <w:spacing w:val="-2"/>
        </w:rPr>
        <w:t> </w:t>
      </w:r>
      <w:r>
        <w:rPr>
          <w:color w:val="231F20"/>
        </w:rPr>
        <w:t>mercato</w:t>
      </w:r>
      <w:r>
        <w:rPr>
          <w:color w:val="231F20"/>
          <w:spacing w:val="-2"/>
        </w:rPr>
        <w:t> </w:t>
      </w:r>
      <w:r>
        <w:rPr>
          <w:color w:val="231F20"/>
        </w:rPr>
        <w:t>interno»</w:t>
      </w:r>
      <w:r>
        <w:rPr>
          <w:rFonts w:ascii="Times New Roman" w:hAnsi="Times New Roman"/>
          <w:color w:val="231F20"/>
          <w:position w:val="8"/>
          <w:sz w:val="14"/>
        </w:rPr>
        <w:t>127</w:t>
      </w:r>
      <w:r>
        <w:rPr>
          <w:color w:val="231F20"/>
        </w:rPr>
        <w:t>,</w:t>
      </w:r>
      <w:r>
        <w:rPr>
          <w:color w:val="231F20"/>
          <w:spacing w:val="-2"/>
        </w:rPr>
        <w:t> </w:t>
      </w:r>
      <w:r>
        <w:rPr>
          <w:color w:val="231F20"/>
        </w:rPr>
        <w:t>la</w:t>
      </w:r>
      <w:r>
        <w:rPr>
          <w:color w:val="231F20"/>
          <w:spacing w:val="-2"/>
        </w:rPr>
        <w:t> </w:t>
      </w:r>
      <w:r>
        <w:rPr>
          <w:color w:val="231F20"/>
        </w:rPr>
        <w:t>salvaguardia</w:t>
      </w:r>
      <w:r>
        <w:rPr>
          <w:color w:val="231F20"/>
          <w:spacing w:val="-2"/>
        </w:rPr>
        <w:t> </w:t>
      </w:r>
      <w:r>
        <w:rPr>
          <w:color w:val="231F20"/>
        </w:rPr>
        <w:t>della</w:t>
      </w:r>
      <w:r>
        <w:rPr>
          <w:color w:val="231F20"/>
          <w:spacing w:val="-2"/>
        </w:rPr>
        <w:t> </w:t>
      </w:r>
      <w:r>
        <w:rPr>
          <w:color w:val="231F20"/>
        </w:rPr>
        <w:t>riparti- zione equilibrata del potere impositivo degli Stati membri e la riscossione efficace delle imposte nazionali</w:t>
      </w:r>
      <w:r>
        <w:rPr>
          <w:rFonts w:ascii="Times New Roman" w:hAnsi="Times New Roman"/>
          <w:color w:val="231F20"/>
          <w:position w:val="8"/>
          <w:sz w:val="14"/>
        </w:rPr>
        <w:t>128</w:t>
      </w:r>
      <w:r>
        <w:rPr>
          <w:color w:val="231F20"/>
        </w:rPr>
        <w:t>.</w:t>
      </w:r>
    </w:p>
    <w:p>
      <w:pPr>
        <w:pStyle w:val="BodyText"/>
        <w:spacing w:before="165"/>
      </w:pPr>
    </w:p>
    <w:p>
      <w:pPr>
        <w:pStyle w:val="ListParagraph"/>
        <w:numPr>
          <w:ilvl w:val="1"/>
          <w:numId w:val="4"/>
        </w:numPr>
        <w:tabs>
          <w:tab w:pos="583" w:val="left" w:leader="none"/>
        </w:tabs>
        <w:spacing w:line="244" w:lineRule="auto" w:before="0" w:after="0"/>
        <w:ind w:left="157" w:right="133" w:firstLine="0"/>
        <w:jc w:val="left"/>
        <w:rPr>
          <w:b/>
          <w:sz w:val="24"/>
        </w:rPr>
      </w:pPr>
      <w:r>
        <w:rPr>
          <w:b/>
          <w:color w:val="231F20"/>
          <w:sz w:val="24"/>
        </w:rPr>
        <w:t>La</w:t>
      </w:r>
      <w:r>
        <w:rPr>
          <w:b/>
          <w:color w:val="231F20"/>
          <w:spacing w:val="-6"/>
          <w:sz w:val="24"/>
        </w:rPr>
        <w:t> </w:t>
      </w:r>
      <w:r>
        <w:rPr>
          <w:b/>
          <w:color w:val="231F20"/>
          <w:sz w:val="24"/>
        </w:rPr>
        <w:t>sentenza</w:t>
      </w:r>
      <w:r>
        <w:rPr>
          <w:b/>
          <w:color w:val="231F20"/>
          <w:spacing w:val="-6"/>
          <w:sz w:val="24"/>
        </w:rPr>
        <w:t> </w:t>
      </w:r>
      <w:r>
        <w:rPr>
          <w:b/>
          <w:color w:val="231F20"/>
          <w:sz w:val="24"/>
        </w:rPr>
        <w:t>del</w:t>
      </w:r>
      <w:r>
        <w:rPr>
          <w:b/>
          <w:color w:val="231F20"/>
          <w:spacing w:val="-6"/>
          <w:sz w:val="24"/>
        </w:rPr>
        <w:t> </w:t>
      </w:r>
      <w:r>
        <w:rPr>
          <w:b/>
          <w:color w:val="231F20"/>
          <w:sz w:val="24"/>
        </w:rPr>
        <w:t>26</w:t>
      </w:r>
      <w:r>
        <w:rPr>
          <w:b/>
          <w:color w:val="231F20"/>
          <w:spacing w:val="-6"/>
          <w:sz w:val="24"/>
        </w:rPr>
        <w:t> </w:t>
      </w:r>
      <w:r>
        <w:rPr>
          <w:b/>
          <w:color w:val="231F20"/>
          <w:sz w:val="24"/>
        </w:rPr>
        <w:t>settembre</w:t>
      </w:r>
      <w:r>
        <w:rPr>
          <w:b/>
          <w:color w:val="231F20"/>
          <w:spacing w:val="-6"/>
          <w:sz w:val="24"/>
        </w:rPr>
        <w:t> </w:t>
      </w:r>
      <w:r>
        <w:rPr>
          <w:b/>
          <w:color w:val="231F20"/>
          <w:sz w:val="24"/>
        </w:rPr>
        <w:t>2024,</w:t>
      </w:r>
      <w:r>
        <w:rPr>
          <w:b/>
          <w:color w:val="231F20"/>
          <w:spacing w:val="-6"/>
          <w:sz w:val="24"/>
        </w:rPr>
        <w:t> </w:t>
      </w:r>
      <w:r>
        <w:rPr>
          <w:b/>
          <w:color w:val="231F20"/>
          <w:sz w:val="24"/>
        </w:rPr>
        <w:t>C-432/23,</w:t>
      </w:r>
      <w:r>
        <w:rPr>
          <w:b/>
          <w:color w:val="231F20"/>
          <w:spacing w:val="-6"/>
          <w:sz w:val="24"/>
        </w:rPr>
        <w:t> </w:t>
      </w:r>
      <w:r>
        <w:rPr>
          <w:b/>
          <w:color w:val="231F20"/>
          <w:sz w:val="24"/>
        </w:rPr>
        <w:t>(Studio</w:t>
      </w:r>
      <w:r>
        <w:rPr>
          <w:b/>
          <w:color w:val="231F20"/>
          <w:spacing w:val="-6"/>
          <w:sz w:val="24"/>
        </w:rPr>
        <w:t> </w:t>
      </w:r>
      <w:r>
        <w:rPr>
          <w:b/>
          <w:color w:val="231F20"/>
          <w:sz w:val="24"/>
        </w:rPr>
        <w:t>legale)</w:t>
      </w:r>
      <w:r>
        <w:rPr>
          <w:b/>
          <w:color w:val="231F20"/>
          <w:spacing w:val="-6"/>
          <w:sz w:val="24"/>
        </w:rPr>
        <w:t> </w:t>
      </w:r>
      <w:r>
        <w:rPr>
          <w:b/>
          <w:color w:val="231F20"/>
          <w:sz w:val="24"/>
        </w:rPr>
        <w:t>FSCS e Ordine degli avvocati del Lussemburgo contro Amministrazione</w:t>
      </w:r>
    </w:p>
    <w:p>
      <w:pPr>
        <w:pStyle w:val="BodyText"/>
        <w:spacing w:line="244" w:lineRule="auto" w:before="1"/>
        <w:ind w:left="157" w:right="284"/>
        <w:rPr>
          <w:b/>
        </w:rPr>
      </w:pPr>
      <w:r>
        <w:rPr>
          <w:b/>
          <w:color w:val="231F20"/>
        </w:rPr>
        <w:t>delle</w:t>
      </w:r>
      <w:r>
        <w:rPr>
          <w:b/>
          <w:color w:val="231F20"/>
          <w:spacing w:val="-6"/>
        </w:rPr>
        <w:t> </w:t>
      </w:r>
      <w:r>
        <w:rPr>
          <w:b/>
          <w:color w:val="231F20"/>
        </w:rPr>
        <w:t>imposte</w:t>
      </w:r>
      <w:r>
        <w:rPr>
          <w:b/>
          <w:color w:val="231F20"/>
          <w:spacing w:val="-6"/>
        </w:rPr>
        <w:t> </w:t>
      </w:r>
      <w:r>
        <w:rPr>
          <w:b/>
          <w:color w:val="231F20"/>
        </w:rPr>
        <w:t>dirette:</w:t>
      </w:r>
      <w:r>
        <w:rPr>
          <w:b/>
          <w:color w:val="231F20"/>
          <w:spacing w:val="-6"/>
        </w:rPr>
        <w:t> </w:t>
      </w:r>
      <w:r>
        <w:rPr>
          <w:b/>
          <w:color w:val="231F20"/>
        </w:rPr>
        <w:t>confermata</w:t>
      </w:r>
      <w:r>
        <w:rPr>
          <w:b/>
          <w:color w:val="231F20"/>
          <w:spacing w:val="-6"/>
        </w:rPr>
        <w:t> </w:t>
      </w:r>
      <w:r>
        <w:rPr>
          <w:b/>
          <w:color w:val="231F20"/>
        </w:rPr>
        <w:t>la</w:t>
      </w:r>
      <w:r>
        <w:rPr>
          <w:b/>
          <w:color w:val="231F20"/>
          <w:spacing w:val="-6"/>
        </w:rPr>
        <w:t> </w:t>
      </w:r>
      <w:r>
        <w:rPr>
          <w:b/>
          <w:color w:val="231F20"/>
        </w:rPr>
        <w:t>tutela</w:t>
      </w:r>
      <w:r>
        <w:rPr>
          <w:b/>
          <w:color w:val="231F20"/>
          <w:spacing w:val="-6"/>
        </w:rPr>
        <w:t> </w:t>
      </w:r>
      <w:r>
        <w:rPr>
          <w:b/>
          <w:color w:val="231F20"/>
        </w:rPr>
        <w:t>del</w:t>
      </w:r>
      <w:r>
        <w:rPr>
          <w:b/>
          <w:color w:val="231F20"/>
          <w:spacing w:val="-6"/>
        </w:rPr>
        <w:t> </w:t>
      </w:r>
      <w:r>
        <w:rPr>
          <w:b/>
          <w:color w:val="231F20"/>
        </w:rPr>
        <w:t>segreto</w:t>
      </w:r>
      <w:r>
        <w:rPr>
          <w:b/>
          <w:color w:val="231F20"/>
          <w:spacing w:val="-6"/>
        </w:rPr>
        <w:t> </w:t>
      </w:r>
      <w:r>
        <w:rPr>
          <w:b/>
          <w:color w:val="231F20"/>
        </w:rPr>
        <w:t>professionale degli avvocati</w:t>
      </w:r>
    </w:p>
    <w:p>
      <w:pPr>
        <w:pStyle w:val="BodyText"/>
        <w:spacing w:line="225" w:lineRule="auto" w:before="263"/>
        <w:ind w:left="157" w:right="117"/>
        <w:jc w:val="both"/>
      </w:pPr>
      <w:r>
        <w:rPr>
          <w:color w:val="231F20"/>
        </w:rPr>
        <w:t>Una</w:t>
      </w:r>
      <w:r>
        <w:rPr>
          <w:color w:val="231F20"/>
          <w:spacing w:val="-4"/>
        </w:rPr>
        <w:t> </w:t>
      </w:r>
      <w:r>
        <w:rPr>
          <w:color w:val="231F20"/>
        </w:rPr>
        <w:t>nuova</w:t>
      </w:r>
      <w:r>
        <w:rPr>
          <w:color w:val="231F20"/>
          <w:spacing w:val="-4"/>
        </w:rPr>
        <w:t> </w:t>
      </w:r>
      <w:r>
        <w:rPr>
          <w:color w:val="231F20"/>
        </w:rPr>
        <w:t>questione</w:t>
      </w:r>
      <w:r>
        <w:rPr>
          <w:color w:val="231F20"/>
          <w:spacing w:val="-4"/>
        </w:rPr>
        <w:t> </w:t>
      </w:r>
      <w:r>
        <w:rPr>
          <w:color w:val="231F20"/>
        </w:rPr>
        <w:t>pregiudiziale</w:t>
      </w:r>
      <w:r>
        <w:rPr>
          <w:color w:val="231F20"/>
          <w:spacing w:val="-4"/>
        </w:rPr>
        <w:t> </w:t>
      </w:r>
      <w:r>
        <w:rPr>
          <w:color w:val="231F20"/>
        </w:rPr>
        <w:t>di</w:t>
      </w:r>
      <w:r>
        <w:rPr>
          <w:color w:val="231F20"/>
          <w:spacing w:val="-4"/>
        </w:rPr>
        <w:t> </w:t>
      </w:r>
      <w:r>
        <w:rPr>
          <w:color w:val="231F20"/>
        </w:rPr>
        <w:t>validità</w:t>
      </w:r>
      <w:r>
        <w:rPr>
          <w:color w:val="231F20"/>
          <w:spacing w:val="-4"/>
        </w:rPr>
        <w:t> </w:t>
      </w:r>
      <w:r>
        <w:rPr>
          <w:color w:val="231F20"/>
        </w:rPr>
        <w:t>di</w:t>
      </w:r>
      <w:r>
        <w:rPr>
          <w:color w:val="231F20"/>
          <w:spacing w:val="-4"/>
        </w:rPr>
        <w:t> </w:t>
      </w:r>
      <w:r>
        <w:rPr>
          <w:color w:val="231F20"/>
        </w:rPr>
        <w:t>due</w:t>
      </w:r>
      <w:r>
        <w:rPr>
          <w:color w:val="231F20"/>
          <w:spacing w:val="-4"/>
        </w:rPr>
        <w:t> </w:t>
      </w:r>
      <w:r>
        <w:rPr>
          <w:color w:val="231F20"/>
        </w:rPr>
        <w:t>articoli</w:t>
      </w:r>
      <w:r>
        <w:rPr>
          <w:color w:val="231F20"/>
          <w:spacing w:val="-4"/>
        </w:rPr>
        <w:t> </w:t>
      </w:r>
      <w:r>
        <w:rPr>
          <w:color w:val="231F20"/>
        </w:rPr>
        <w:t>della</w:t>
      </w:r>
      <w:r>
        <w:rPr>
          <w:color w:val="231F20"/>
          <w:spacing w:val="-4"/>
        </w:rPr>
        <w:t> </w:t>
      </w:r>
      <w:r>
        <w:rPr>
          <w:color w:val="231F20"/>
        </w:rPr>
        <w:t>direttiva (UE) 2011/16 c.d. DAC posta dal</w:t>
      </w:r>
      <w:r>
        <w:rPr>
          <w:color w:val="231F20"/>
          <w:spacing w:val="-4"/>
        </w:rPr>
        <w:t> </w:t>
      </w:r>
      <w:r>
        <w:rPr>
          <w:color w:val="231F20"/>
        </w:rPr>
        <w:t>Tribunale amministrativo del Lussem- burgo</w:t>
      </w:r>
      <w:r>
        <w:rPr>
          <w:color w:val="231F20"/>
          <w:spacing w:val="-9"/>
        </w:rPr>
        <w:t> </w:t>
      </w:r>
      <w:r>
        <w:rPr>
          <w:color w:val="231F20"/>
        </w:rPr>
        <w:t>ha</w:t>
      </w:r>
      <w:r>
        <w:rPr>
          <w:color w:val="231F20"/>
          <w:spacing w:val="-9"/>
        </w:rPr>
        <w:t> </w:t>
      </w:r>
      <w:r>
        <w:rPr>
          <w:color w:val="231F20"/>
        </w:rPr>
        <w:t>offerto</w:t>
      </w:r>
      <w:r>
        <w:rPr>
          <w:color w:val="231F20"/>
          <w:spacing w:val="-9"/>
        </w:rPr>
        <w:t> </w:t>
      </w:r>
      <w:r>
        <w:rPr>
          <w:color w:val="231F20"/>
        </w:rPr>
        <w:t>alla</w:t>
      </w:r>
      <w:r>
        <w:rPr>
          <w:color w:val="231F20"/>
          <w:spacing w:val="-9"/>
        </w:rPr>
        <w:t> </w:t>
      </w:r>
      <w:r>
        <w:rPr>
          <w:color w:val="231F20"/>
        </w:rPr>
        <w:t>Corte</w:t>
      </w:r>
      <w:r>
        <w:rPr>
          <w:color w:val="231F20"/>
          <w:spacing w:val="-9"/>
        </w:rPr>
        <w:t> </w:t>
      </w:r>
      <w:r>
        <w:rPr>
          <w:color w:val="231F20"/>
        </w:rPr>
        <w:t>di</w:t>
      </w:r>
      <w:r>
        <w:rPr>
          <w:color w:val="231F20"/>
          <w:spacing w:val="-9"/>
        </w:rPr>
        <w:t> </w:t>
      </w:r>
      <w:r>
        <w:rPr>
          <w:color w:val="231F20"/>
        </w:rPr>
        <w:t>giustizia</w:t>
      </w:r>
      <w:r>
        <w:rPr>
          <w:color w:val="231F20"/>
          <w:spacing w:val="-9"/>
        </w:rPr>
        <w:t> </w:t>
      </w:r>
      <w:r>
        <w:rPr>
          <w:color w:val="231F20"/>
        </w:rPr>
        <w:t>l’occasione</w:t>
      </w:r>
      <w:r>
        <w:rPr>
          <w:color w:val="231F20"/>
          <w:spacing w:val="-9"/>
        </w:rPr>
        <w:t> </w:t>
      </w:r>
      <w:r>
        <w:rPr>
          <w:color w:val="231F20"/>
        </w:rPr>
        <w:t>di</w:t>
      </w:r>
      <w:r>
        <w:rPr>
          <w:color w:val="231F20"/>
          <w:spacing w:val="-9"/>
        </w:rPr>
        <w:t> </w:t>
      </w:r>
      <w:r>
        <w:rPr>
          <w:color w:val="231F20"/>
        </w:rPr>
        <w:t>riaffermare</w:t>
      </w:r>
      <w:r>
        <w:rPr>
          <w:color w:val="231F20"/>
          <w:spacing w:val="-9"/>
        </w:rPr>
        <w:t> </w:t>
      </w:r>
      <w:r>
        <w:rPr>
          <w:color w:val="231F20"/>
        </w:rPr>
        <w:t>e</w:t>
      </w:r>
      <w:r>
        <w:rPr>
          <w:color w:val="231F20"/>
          <w:spacing w:val="-9"/>
        </w:rPr>
        <w:t> </w:t>
      </w:r>
      <w:r>
        <w:rPr>
          <w:color w:val="231F20"/>
        </w:rPr>
        <w:t>precisare la tutela del segreto professionale degli avvocati in relazione all’art. 7 del- la</w:t>
      </w:r>
      <w:r>
        <w:rPr>
          <w:color w:val="231F20"/>
          <w:spacing w:val="-5"/>
        </w:rPr>
        <w:t> </w:t>
      </w:r>
      <w:r>
        <w:rPr>
          <w:color w:val="231F20"/>
        </w:rPr>
        <w:t>Carta</w:t>
      </w:r>
      <w:r>
        <w:rPr>
          <w:color w:val="231F20"/>
          <w:spacing w:val="-5"/>
        </w:rPr>
        <w:t> </w:t>
      </w:r>
      <w:r>
        <w:rPr>
          <w:color w:val="231F20"/>
        </w:rPr>
        <w:t>dei</w:t>
      </w:r>
      <w:r>
        <w:rPr>
          <w:color w:val="231F20"/>
          <w:spacing w:val="-5"/>
        </w:rPr>
        <w:t> </w:t>
      </w:r>
      <w:r>
        <w:rPr>
          <w:color w:val="231F20"/>
        </w:rPr>
        <w:t>diritti</w:t>
      </w:r>
      <w:r>
        <w:rPr>
          <w:color w:val="231F20"/>
          <w:spacing w:val="-5"/>
        </w:rPr>
        <w:t> </w:t>
      </w:r>
      <w:r>
        <w:rPr>
          <w:color w:val="231F20"/>
        </w:rPr>
        <w:t>fondamentali</w:t>
      </w:r>
      <w:r>
        <w:rPr>
          <w:color w:val="231F20"/>
          <w:spacing w:val="-5"/>
        </w:rPr>
        <w:t> </w:t>
      </w:r>
      <w:r>
        <w:rPr>
          <w:color w:val="231F20"/>
        </w:rPr>
        <w:t>(diritto</w:t>
      </w:r>
      <w:r>
        <w:rPr>
          <w:color w:val="231F20"/>
          <w:spacing w:val="-5"/>
        </w:rPr>
        <w:t> </w:t>
      </w:r>
      <w:r>
        <w:rPr>
          <w:color w:val="231F20"/>
        </w:rPr>
        <w:t>al</w:t>
      </w:r>
      <w:r>
        <w:rPr>
          <w:color w:val="231F20"/>
          <w:spacing w:val="-5"/>
        </w:rPr>
        <w:t> </w:t>
      </w:r>
      <w:r>
        <w:rPr>
          <w:color w:val="231F20"/>
        </w:rPr>
        <w:t>rispetto</w:t>
      </w:r>
      <w:r>
        <w:rPr>
          <w:color w:val="231F20"/>
          <w:spacing w:val="-5"/>
        </w:rPr>
        <w:t> </w:t>
      </w:r>
      <w:r>
        <w:rPr>
          <w:color w:val="231F20"/>
        </w:rPr>
        <w:t>della</w:t>
      </w:r>
      <w:r>
        <w:rPr>
          <w:color w:val="231F20"/>
          <w:spacing w:val="-5"/>
        </w:rPr>
        <w:t> </w:t>
      </w:r>
      <w:r>
        <w:rPr>
          <w:color w:val="231F20"/>
        </w:rPr>
        <w:t>vita</w:t>
      </w:r>
      <w:r>
        <w:rPr>
          <w:color w:val="231F20"/>
          <w:spacing w:val="-5"/>
        </w:rPr>
        <w:t> </w:t>
      </w:r>
      <w:r>
        <w:rPr>
          <w:color w:val="231F20"/>
        </w:rPr>
        <w:t>privata)</w:t>
      </w:r>
      <w:r>
        <w:rPr>
          <w:rFonts w:ascii="Times New Roman" w:hAnsi="Times New Roman"/>
          <w:color w:val="231F20"/>
          <w:position w:val="8"/>
          <w:sz w:val="14"/>
        </w:rPr>
        <w:t>129</w:t>
      </w:r>
      <w:r>
        <w:rPr>
          <w:color w:val="231F20"/>
        </w:rPr>
        <w:t>.</w:t>
      </w:r>
      <w:r>
        <w:rPr>
          <w:color w:val="231F20"/>
          <w:spacing w:val="-5"/>
        </w:rPr>
        <w:t> </w:t>
      </w:r>
      <w:r>
        <w:rPr>
          <w:color w:val="231F20"/>
        </w:rPr>
        <w:t>La</w:t>
      </w:r>
    </w:p>
    <w:p>
      <w:pPr>
        <w:pStyle w:val="BodyText"/>
        <w:spacing w:before="3"/>
        <w:rPr>
          <w:sz w:val="17"/>
        </w:rPr>
      </w:pPr>
      <w:r>
        <w:rPr/>
        <mc:AlternateContent>
          <mc:Choice Requires="wps">
            <w:drawing>
              <wp:anchor distT="0" distB="0" distL="0" distR="0" allowOverlap="1" layoutInCell="1" locked="0" behindDoc="1" simplePos="0" relativeHeight="487642624">
                <wp:simplePos x="0" y="0"/>
                <wp:positionH relativeFrom="page">
                  <wp:posOffset>899999</wp:posOffset>
                </wp:positionH>
                <wp:positionV relativeFrom="paragraph">
                  <wp:posOffset>154413</wp:posOffset>
                </wp:positionV>
                <wp:extent cx="792480" cy="1270"/>
                <wp:effectExtent l="0" t="0" r="0" b="0"/>
                <wp:wrapTopAndBottom/>
                <wp:docPr id="180" name="Graphic 180"/>
                <wp:cNvGraphicFramePr>
                  <a:graphicFrameLocks/>
                </wp:cNvGraphicFramePr>
                <a:graphic>
                  <a:graphicData uri="http://schemas.microsoft.com/office/word/2010/wordprocessingShape">
                    <wps:wsp>
                      <wps:cNvPr id="180" name="Graphic 180"/>
                      <wps:cNvSpPr/>
                      <wps:spPr>
                        <a:xfrm>
                          <a:off x="0" y="0"/>
                          <a:ext cx="792480" cy="1270"/>
                        </a:xfrm>
                        <a:custGeom>
                          <a:avLst/>
                          <a:gdLst/>
                          <a:ahLst/>
                          <a:cxnLst/>
                          <a:rect l="l" t="t" r="r" b="b"/>
                          <a:pathLst>
                            <a:path w="792480" h="0">
                              <a:moveTo>
                                <a:pt x="0" y="0"/>
                              </a:moveTo>
                              <a:lnTo>
                                <a:pt x="791997"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shape style="position:absolute;margin-left:70.866096pt;margin-top:12.15858pt;width:62.4pt;height:.1pt;mso-position-horizontal-relative:page;mso-position-vertical-relative:paragraph;z-index:-15673856;mso-wrap-distance-left:0;mso-wrap-distance-right:0" id="docshape149" coordorigin="1417,243" coordsize="1248,0" path="m1417,243l2665,243e" filled="false" stroked="true" strokeweight=".5pt" strokecolor="#231f20">
                <v:path arrowok="t"/>
                <v:stroke dashstyle="solid"/>
                <w10:wrap type="topAndBottom"/>
              </v:shape>
            </w:pict>
          </mc:Fallback>
        </mc:AlternateContent>
      </w:r>
    </w:p>
    <w:p>
      <w:pPr>
        <w:spacing w:line="235" w:lineRule="exact" w:before="190"/>
        <w:ind w:left="157" w:right="0" w:firstLine="0"/>
        <w:jc w:val="left"/>
        <w:rPr>
          <w:sz w:val="19"/>
        </w:rPr>
      </w:pPr>
      <w:r>
        <w:rPr>
          <w:color w:val="231F20"/>
          <w:position w:val="6"/>
          <w:sz w:val="11"/>
        </w:rPr>
        <w:t>126</w:t>
      </w:r>
      <w:r>
        <w:rPr>
          <w:color w:val="231F20"/>
          <w:spacing w:val="79"/>
          <w:position w:val="6"/>
          <w:sz w:val="11"/>
        </w:rPr>
        <w:t> </w:t>
      </w:r>
      <w:r>
        <w:rPr>
          <w:color w:val="231F20"/>
          <w:sz w:val="19"/>
        </w:rPr>
        <w:t>Corte Giust. UE, C-623/22,</w:t>
      </w:r>
      <w:r>
        <w:rPr>
          <w:color w:val="231F20"/>
          <w:spacing w:val="-1"/>
          <w:sz w:val="19"/>
        </w:rPr>
        <w:t> </w:t>
      </w:r>
      <w:r>
        <w:rPr>
          <w:color w:val="231F20"/>
          <w:sz w:val="19"/>
        </w:rPr>
        <w:t>ult. cit., punti 141 e </w:t>
      </w:r>
      <w:r>
        <w:rPr>
          <w:color w:val="231F20"/>
          <w:spacing w:val="-4"/>
          <w:sz w:val="19"/>
        </w:rPr>
        <w:t>142.</w:t>
      </w:r>
    </w:p>
    <w:p>
      <w:pPr>
        <w:spacing w:line="228" w:lineRule="exact" w:before="0"/>
        <w:ind w:left="157" w:right="0" w:firstLine="0"/>
        <w:jc w:val="left"/>
        <w:rPr>
          <w:sz w:val="19"/>
        </w:rPr>
      </w:pPr>
      <w:r>
        <w:rPr>
          <w:color w:val="231F20"/>
          <w:position w:val="6"/>
          <w:sz w:val="11"/>
        </w:rPr>
        <w:t>127</w:t>
      </w:r>
      <w:r>
        <w:rPr>
          <w:color w:val="231F20"/>
          <w:spacing w:val="77"/>
          <w:position w:val="6"/>
          <w:sz w:val="11"/>
        </w:rPr>
        <w:t> </w:t>
      </w:r>
      <w:r>
        <w:rPr>
          <w:color w:val="231F20"/>
          <w:sz w:val="19"/>
        </w:rPr>
        <w:t>Punti</w:t>
      </w:r>
      <w:r>
        <w:rPr>
          <w:color w:val="231F20"/>
          <w:spacing w:val="-1"/>
          <w:sz w:val="19"/>
        </w:rPr>
        <w:t> </w:t>
      </w:r>
      <w:r>
        <w:rPr>
          <w:color w:val="231F20"/>
          <w:sz w:val="19"/>
        </w:rPr>
        <w:t>2</w:t>
      </w:r>
      <w:r>
        <w:rPr>
          <w:color w:val="231F20"/>
          <w:spacing w:val="-1"/>
          <w:sz w:val="19"/>
        </w:rPr>
        <w:t> </w:t>
      </w:r>
      <w:r>
        <w:rPr>
          <w:color w:val="231F20"/>
          <w:sz w:val="19"/>
        </w:rPr>
        <w:t>e</w:t>
      </w:r>
      <w:r>
        <w:rPr>
          <w:color w:val="231F20"/>
          <w:spacing w:val="-1"/>
          <w:sz w:val="19"/>
        </w:rPr>
        <w:t> </w:t>
      </w:r>
      <w:r>
        <w:rPr>
          <w:color w:val="231F20"/>
          <w:sz w:val="19"/>
        </w:rPr>
        <w:t>6</w:t>
      </w:r>
      <w:r>
        <w:rPr>
          <w:color w:val="231F20"/>
          <w:spacing w:val="-1"/>
          <w:sz w:val="19"/>
        </w:rPr>
        <w:t> </w:t>
      </w:r>
      <w:r>
        <w:rPr>
          <w:color w:val="231F20"/>
          <w:sz w:val="19"/>
        </w:rPr>
        <w:t>della</w:t>
      </w:r>
      <w:r>
        <w:rPr>
          <w:color w:val="231F20"/>
          <w:spacing w:val="-1"/>
          <w:sz w:val="19"/>
        </w:rPr>
        <w:t> </w:t>
      </w:r>
      <w:r>
        <w:rPr>
          <w:color w:val="231F20"/>
          <w:sz w:val="19"/>
        </w:rPr>
        <w:t>motivazione</w:t>
      </w:r>
      <w:r>
        <w:rPr>
          <w:color w:val="231F20"/>
          <w:spacing w:val="-1"/>
          <w:sz w:val="19"/>
        </w:rPr>
        <w:t> </w:t>
      </w:r>
      <w:r>
        <w:rPr>
          <w:color w:val="231F20"/>
          <w:sz w:val="19"/>
        </w:rPr>
        <w:t>della</w:t>
      </w:r>
      <w:r>
        <w:rPr>
          <w:color w:val="231F20"/>
          <w:spacing w:val="-1"/>
          <w:sz w:val="19"/>
        </w:rPr>
        <w:t> </w:t>
      </w:r>
      <w:r>
        <w:rPr>
          <w:color w:val="231F20"/>
          <w:sz w:val="19"/>
        </w:rPr>
        <w:t>direttiva</w:t>
      </w:r>
      <w:r>
        <w:rPr>
          <w:color w:val="231F20"/>
          <w:spacing w:val="-1"/>
          <w:sz w:val="19"/>
        </w:rPr>
        <w:t> </w:t>
      </w:r>
      <w:r>
        <w:rPr>
          <w:color w:val="231F20"/>
          <w:sz w:val="19"/>
        </w:rPr>
        <w:t>(UE)</w:t>
      </w:r>
      <w:r>
        <w:rPr>
          <w:color w:val="231F20"/>
          <w:spacing w:val="-1"/>
          <w:sz w:val="19"/>
        </w:rPr>
        <w:t> </w:t>
      </w:r>
      <w:r>
        <w:rPr>
          <w:color w:val="231F20"/>
          <w:sz w:val="19"/>
        </w:rPr>
        <w:t>2018/822</w:t>
      </w:r>
      <w:r>
        <w:rPr>
          <w:color w:val="231F20"/>
          <w:spacing w:val="-1"/>
          <w:sz w:val="19"/>
        </w:rPr>
        <w:t> </w:t>
      </w:r>
      <w:r>
        <w:rPr>
          <w:color w:val="231F20"/>
          <w:sz w:val="19"/>
        </w:rPr>
        <w:t>c.d.</w:t>
      </w:r>
      <w:r>
        <w:rPr>
          <w:color w:val="231F20"/>
          <w:spacing w:val="-1"/>
          <w:sz w:val="19"/>
        </w:rPr>
        <w:t> </w:t>
      </w:r>
      <w:r>
        <w:rPr>
          <w:color w:val="231F20"/>
          <w:sz w:val="19"/>
        </w:rPr>
        <w:t>DAC</w:t>
      </w:r>
      <w:r>
        <w:rPr>
          <w:color w:val="231F20"/>
          <w:spacing w:val="-1"/>
          <w:sz w:val="19"/>
        </w:rPr>
        <w:t> </w:t>
      </w:r>
      <w:r>
        <w:rPr>
          <w:color w:val="231F20"/>
          <w:spacing w:val="-10"/>
          <w:sz w:val="19"/>
        </w:rPr>
        <w:t>6</w:t>
      </w:r>
    </w:p>
    <w:p>
      <w:pPr>
        <w:spacing w:line="228" w:lineRule="exact" w:before="0"/>
        <w:ind w:left="157" w:right="0" w:firstLine="0"/>
        <w:jc w:val="left"/>
        <w:rPr>
          <w:sz w:val="19"/>
        </w:rPr>
      </w:pPr>
      <w:r>
        <w:rPr>
          <w:color w:val="231F20"/>
          <w:position w:val="6"/>
          <w:sz w:val="11"/>
        </w:rPr>
        <w:t>128</w:t>
      </w:r>
      <w:r>
        <w:rPr>
          <w:color w:val="231F20"/>
          <w:spacing w:val="79"/>
          <w:position w:val="6"/>
          <w:sz w:val="11"/>
        </w:rPr>
        <w:t> </w:t>
      </w:r>
      <w:r>
        <w:rPr>
          <w:color w:val="231F20"/>
          <w:sz w:val="19"/>
        </w:rPr>
        <w:t>Corte Giust. UE, sent. del 29</w:t>
      </w:r>
      <w:r>
        <w:rPr>
          <w:color w:val="231F20"/>
          <w:spacing w:val="-1"/>
          <w:sz w:val="19"/>
        </w:rPr>
        <w:t> </w:t>
      </w:r>
      <w:r>
        <w:rPr>
          <w:color w:val="231F20"/>
          <w:sz w:val="19"/>
        </w:rPr>
        <w:t>luglio 2024, C-623/22, cit</w:t>
      </w:r>
      <w:r>
        <w:rPr>
          <w:i/>
          <w:color w:val="231F20"/>
          <w:sz w:val="19"/>
        </w:rPr>
        <w:t>.</w:t>
      </w:r>
      <w:r>
        <w:rPr>
          <w:color w:val="231F20"/>
          <w:sz w:val="19"/>
        </w:rPr>
        <w:t>, punti 147 e </w:t>
      </w:r>
      <w:r>
        <w:rPr>
          <w:color w:val="231F20"/>
          <w:spacing w:val="-4"/>
          <w:sz w:val="19"/>
        </w:rPr>
        <w:t>148.</w:t>
      </w:r>
    </w:p>
    <w:p>
      <w:pPr>
        <w:spacing w:line="225" w:lineRule="auto" w:before="4"/>
        <w:ind w:left="157" w:right="117" w:firstLine="0"/>
        <w:jc w:val="both"/>
        <w:rPr>
          <w:sz w:val="19"/>
        </w:rPr>
      </w:pPr>
      <w:r>
        <w:rPr>
          <w:color w:val="231F20"/>
          <w:position w:val="6"/>
          <w:sz w:val="11"/>
        </w:rPr>
        <w:t>129</w:t>
      </w:r>
      <w:r>
        <w:rPr>
          <w:color w:val="231F20"/>
          <w:spacing w:val="40"/>
          <w:position w:val="6"/>
          <w:sz w:val="11"/>
        </w:rPr>
        <w:t> </w:t>
      </w:r>
      <w:r>
        <w:rPr>
          <w:color w:val="231F20"/>
          <w:sz w:val="19"/>
        </w:rPr>
        <w:t>Corte Giust. UE, sent. del 26 settembre 2024, C-432/23, (</w:t>
      </w:r>
      <w:r>
        <w:rPr>
          <w:i/>
          <w:color w:val="231F20"/>
          <w:sz w:val="19"/>
        </w:rPr>
        <w:t>Studio legale) FSCS e </w:t>
      </w:r>
      <w:r>
        <w:rPr>
          <w:i/>
          <w:color w:val="231F20"/>
          <w:sz w:val="19"/>
        </w:rPr>
        <w:t>Ordine</w:t>
      </w:r>
      <w:r>
        <w:rPr>
          <w:i/>
          <w:color w:val="231F20"/>
          <w:sz w:val="19"/>
        </w:rPr>
        <w:t> degli</w:t>
      </w:r>
      <w:r>
        <w:rPr>
          <w:i/>
          <w:color w:val="231F20"/>
          <w:spacing w:val="3"/>
          <w:sz w:val="19"/>
        </w:rPr>
        <w:t> </w:t>
      </w:r>
      <w:r>
        <w:rPr>
          <w:i/>
          <w:color w:val="231F20"/>
          <w:sz w:val="19"/>
        </w:rPr>
        <w:t>avvocati</w:t>
      </w:r>
      <w:r>
        <w:rPr>
          <w:i/>
          <w:color w:val="231F20"/>
          <w:spacing w:val="3"/>
          <w:sz w:val="19"/>
        </w:rPr>
        <w:t> </w:t>
      </w:r>
      <w:r>
        <w:rPr>
          <w:i/>
          <w:color w:val="231F20"/>
          <w:sz w:val="19"/>
        </w:rPr>
        <w:t>del</w:t>
      </w:r>
      <w:r>
        <w:rPr>
          <w:i/>
          <w:color w:val="231F20"/>
          <w:spacing w:val="4"/>
          <w:sz w:val="19"/>
        </w:rPr>
        <w:t> </w:t>
      </w:r>
      <w:r>
        <w:rPr>
          <w:i/>
          <w:color w:val="231F20"/>
          <w:sz w:val="19"/>
        </w:rPr>
        <w:t>Lussemburgo</w:t>
      </w:r>
      <w:r>
        <w:rPr>
          <w:i/>
          <w:color w:val="231F20"/>
          <w:spacing w:val="3"/>
          <w:sz w:val="19"/>
        </w:rPr>
        <w:t> </w:t>
      </w:r>
      <w:r>
        <w:rPr>
          <w:i/>
          <w:color w:val="231F20"/>
          <w:sz w:val="19"/>
        </w:rPr>
        <w:t>contro</w:t>
      </w:r>
      <w:r>
        <w:rPr>
          <w:i/>
          <w:color w:val="231F20"/>
          <w:spacing w:val="3"/>
          <w:sz w:val="19"/>
        </w:rPr>
        <w:t> </w:t>
      </w:r>
      <w:r>
        <w:rPr>
          <w:i/>
          <w:color w:val="231F20"/>
          <w:sz w:val="19"/>
        </w:rPr>
        <w:t>Amministrazione</w:t>
      </w:r>
      <w:r>
        <w:rPr>
          <w:i/>
          <w:color w:val="231F20"/>
          <w:spacing w:val="3"/>
          <w:sz w:val="19"/>
        </w:rPr>
        <w:t> </w:t>
      </w:r>
      <w:r>
        <w:rPr>
          <w:i/>
          <w:color w:val="231F20"/>
          <w:sz w:val="19"/>
        </w:rPr>
        <w:t>delle</w:t>
      </w:r>
      <w:r>
        <w:rPr>
          <w:i/>
          <w:color w:val="231F20"/>
          <w:spacing w:val="4"/>
          <w:sz w:val="19"/>
        </w:rPr>
        <w:t> </w:t>
      </w:r>
      <w:r>
        <w:rPr>
          <w:i/>
          <w:color w:val="231F20"/>
          <w:sz w:val="19"/>
        </w:rPr>
        <w:t>imposte</w:t>
      </w:r>
      <w:r>
        <w:rPr>
          <w:i/>
          <w:color w:val="231F20"/>
          <w:spacing w:val="3"/>
          <w:sz w:val="19"/>
        </w:rPr>
        <w:t> </w:t>
      </w:r>
      <w:r>
        <w:rPr>
          <w:i/>
          <w:color w:val="231F20"/>
          <w:sz w:val="19"/>
        </w:rPr>
        <w:t>dirette.</w:t>
      </w:r>
      <w:r>
        <w:rPr>
          <w:i/>
          <w:color w:val="231F20"/>
          <w:spacing w:val="4"/>
          <w:sz w:val="19"/>
        </w:rPr>
        <w:t> </w:t>
      </w:r>
      <w:r>
        <w:rPr>
          <w:color w:val="231F20"/>
          <w:sz w:val="19"/>
        </w:rPr>
        <w:t>Primi</w:t>
      </w:r>
      <w:r>
        <w:rPr>
          <w:color w:val="231F20"/>
          <w:spacing w:val="3"/>
          <w:sz w:val="19"/>
        </w:rPr>
        <w:t> </w:t>
      </w:r>
      <w:r>
        <w:rPr>
          <w:color w:val="231F20"/>
          <w:sz w:val="19"/>
        </w:rPr>
        <w:t>commenti</w:t>
      </w:r>
      <w:r>
        <w:rPr>
          <w:color w:val="231F20"/>
          <w:spacing w:val="4"/>
          <w:sz w:val="19"/>
        </w:rPr>
        <w:t> </w:t>
      </w:r>
      <w:r>
        <w:rPr>
          <w:color w:val="231F20"/>
          <w:spacing w:val="-5"/>
          <w:sz w:val="19"/>
        </w:rPr>
        <w:t>di</w:t>
      </w:r>
    </w:p>
    <w:p>
      <w:pPr>
        <w:spacing w:line="225" w:lineRule="auto" w:before="2"/>
        <w:ind w:left="157" w:right="118" w:firstLine="0"/>
        <w:jc w:val="both"/>
        <w:rPr>
          <w:sz w:val="19"/>
        </w:rPr>
      </w:pPr>
      <w:r>
        <w:rPr>
          <w:color w:val="231F20"/>
          <w:sz w:val="19"/>
        </w:rPr>
        <w:t>A.</w:t>
      </w:r>
      <w:r>
        <w:rPr>
          <w:color w:val="231F20"/>
          <w:spacing w:val="-4"/>
          <w:sz w:val="19"/>
        </w:rPr>
        <w:t> </w:t>
      </w:r>
      <w:r>
        <w:rPr>
          <w:color w:val="231F20"/>
          <w:sz w:val="19"/>
        </w:rPr>
        <w:t>Xygka,</w:t>
      </w:r>
      <w:r>
        <w:rPr>
          <w:color w:val="231F20"/>
          <w:spacing w:val="-4"/>
          <w:sz w:val="19"/>
        </w:rPr>
        <w:t> </w:t>
      </w:r>
      <w:r>
        <w:rPr>
          <w:i/>
          <w:color w:val="231F20"/>
          <w:sz w:val="19"/>
        </w:rPr>
        <w:t>Professional</w:t>
      </w:r>
      <w:r>
        <w:rPr>
          <w:i/>
          <w:color w:val="231F20"/>
          <w:spacing w:val="-4"/>
          <w:sz w:val="19"/>
        </w:rPr>
        <w:t> </w:t>
      </w:r>
      <w:r>
        <w:rPr>
          <w:i/>
          <w:color w:val="231F20"/>
          <w:sz w:val="19"/>
        </w:rPr>
        <w:t>secrecy</w:t>
      </w:r>
      <w:r>
        <w:rPr>
          <w:i/>
          <w:color w:val="231F20"/>
          <w:spacing w:val="-4"/>
          <w:sz w:val="19"/>
        </w:rPr>
        <w:t> </w:t>
      </w:r>
      <w:r>
        <w:rPr>
          <w:i/>
          <w:color w:val="231F20"/>
          <w:sz w:val="19"/>
        </w:rPr>
        <w:t>in</w:t>
      </w:r>
      <w:r>
        <w:rPr>
          <w:i/>
          <w:color w:val="231F20"/>
          <w:spacing w:val="-4"/>
          <w:sz w:val="19"/>
        </w:rPr>
        <w:t> </w:t>
      </w:r>
      <w:r>
        <w:rPr>
          <w:i/>
          <w:color w:val="231F20"/>
          <w:sz w:val="19"/>
        </w:rPr>
        <w:t>the</w:t>
      </w:r>
      <w:r>
        <w:rPr>
          <w:i/>
          <w:color w:val="231F20"/>
          <w:spacing w:val="-4"/>
          <w:sz w:val="19"/>
        </w:rPr>
        <w:t> </w:t>
      </w:r>
      <w:r>
        <w:rPr>
          <w:i/>
          <w:color w:val="231F20"/>
          <w:sz w:val="19"/>
        </w:rPr>
        <w:t>era</w:t>
      </w:r>
      <w:r>
        <w:rPr>
          <w:i/>
          <w:color w:val="231F20"/>
          <w:spacing w:val="-4"/>
          <w:sz w:val="19"/>
        </w:rPr>
        <w:t> </w:t>
      </w:r>
      <w:r>
        <w:rPr>
          <w:i/>
          <w:color w:val="231F20"/>
          <w:sz w:val="19"/>
        </w:rPr>
        <w:t>of</w:t>
      </w:r>
      <w:r>
        <w:rPr>
          <w:i/>
          <w:color w:val="231F20"/>
          <w:spacing w:val="-4"/>
          <w:sz w:val="19"/>
        </w:rPr>
        <w:t> </w:t>
      </w:r>
      <w:r>
        <w:rPr>
          <w:i/>
          <w:color w:val="231F20"/>
          <w:sz w:val="19"/>
        </w:rPr>
        <w:t>administrative</w:t>
      </w:r>
      <w:r>
        <w:rPr>
          <w:i/>
          <w:color w:val="231F20"/>
          <w:spacing w:val="-4"/>
          <w:sz w:val="19"/>
        </w:rPr>
        <w:t> </w:t>
      </w:r>
      <w:r>
        <w:rPr>
          <w:i/>
          <w:color w:val="231F20"/>
          <w:sz w:val="19"/>
        </w:rPr>
        <w:t>cooperation</w:t>
      </w:r>
      <w:r>
        <w:rPr>
          <w:i/>
          <w:color w:val="231F20"/>
          <w:spacing w:val="-4"/>
          <w:sz w:val="19"/>
        </w:rPr>
        <w:t> </w:t>
      </w:r>
      <w:r>
        <w:rPr>
          <w:i/>
          <w:color w:val="231F20"/>
          <w:sz w:val="19"/>
        </w:rPr>
        <w:t>directive:</w:t>
      </w:r>
      <w:r>
        <w:rPr>
          <w:i/>
          <w:color w:val="231F20"/>
          <w:spacing w:val="-4"/>
          <w:sz w:val="19"/>
        </w:rPr>
        <w:t> </w:t>
      </w:r>
      <w:r>
        <w:rPr>
          <w:i/>
          <w:color w:val="231F20"/>
          <w:sz w:val="19"/>
        </w:rPr>
        <w:t>case</w:t>
      </w:r>
      <w:r>
        <w:rPr>
          <w:i/>
          <w:color w:val="231F20"/>
          <w:spacing w:val="-4"/>
          <w:sz w:val="19"/>
        </w:rPr>
        <w:t> </w:t>
      </w:r>
      <w:r>
        <w:rPr>
          <w:i/>
          <w:color w:val="231F20"/>
          <w:sz w:val="19"/>
        </w:rPr>
        <w:t>C-432/23</w:t>
      </w:r>
      <w:r>
        <w:rPr>
          <w:color w:val="231F20"/>
          <w:sz w:val="19"/>
        </w:rPr>
        <w:t>,</w:t>
      </w:r>
      <w:r>
        <w:rPr>
          <w:color w:val="231F20"/>
          <w:spacing w:val="-4"/>
          <w:sz w:val="19"/>
        </w:rPr>
        <w:t> </w:t>
      </w:r>
      <w:r>
        <w:rPr>
          <w:color w:val="231F20"/>
          <w:sz w:val="19"/>
        </w:rPr>
        <w:t>in </w:t>
      </w:r>
      <w:r>
        <w:rPr>
          <w:i/>
          <w:color w:val="231F20"/>
          <w:sz w:val="19"/>
        </w:rPr>
        <w:t>Eur,</w:t>
      </w:r>
      <w:r>
        <w:rPr>
          <w:i/>
          <w:color w:val="231F20"/>
          <w:spacing w:val="-12"/>
          <w:sz w:val="19"/>
        </w:rPr>
        <w:t> </w:t>
      </w:r>
      <w:r>
        <w:rPr>
          <w:i/>
          <w:color w:val="231F20"/>
          <w:sz w:val="19"/>
        </w:rPr>
        <w:t>Tax.,</w:t>
      </w:r>
      <w:r>
        <w:rPr>
          <w:i/>
          <w:color w:val="231F20"/>
          <w:spacing w:val="-12"/>
          <w:sz w:val="19"/>
        </w:rPr>
        <w:t> </w:t>
      </w:r>
      <w:r>
        <w:rPr>
          <w:color w:val="231F20"/>
          <w:sz w:val="19"/>
        </w:rPr>
        <w:t>2024,</w:t>
      </w:r>
      <w:r>
        <w:rPr>
          <w:color w:val="231F20"/>
          <w:spacing w:val="-12"/>
          <w:sz w:val="19"/>
        </w:rPr>
        <w:t> </w:t>
      </w:r>
      <w:r>
        <w:rPr>
          <w:color w:val="231F20"/>
          <w:sz w:val="19"/>
        </w:rPr>
        <w:t>11</w:t>
      </w:r>
      <w:r>
        <w:rPr>
          <w:color w:val="231F20"/>
          <w:spacing w:val="-12"/>
          <w:sz w:val="19"/>
        </w:rPr>
        <w:t> </w:t>
      </w:r>
      <w:r>
        <w:rPr>
          <w:color w:val="231F20"/>
          <w:sz w:val="19"/>
        </w:rPr>
        <w:t>e</w:t>
      </w:r>
      <w:r>
        <w:rPr>
          <w:color w:val="231F20"/>
          <w:spacing w:val="-12"/>
          <w:sz w:val="19"/>
        </w:rPr>
        <w:t> </w:t>
      </w:r>
      <w:r>
        <w:rPr>
          <w:color w:val="231F20"/>
          <w:sz w:val="19"/>
        </w:rPr>
        <w:t>di</w:t>
      </w:r>
      <w:r>
        <w:rPr>
          <w:color w:val="231F20"/>
          <w:spacing w:val="-12"/>
          <w:sz w:val="19"/>
        </w:rPr>
        <w:t> </w:t>
      </w:r>
      <w:r>
        <w:rPr>
          <w:color w:val="231F20"/>
          <w:sz w:val="19"/>
        </w:rPr>
        <w:t>L.</w:t>
      </w:r>
      <w:r>
        <w:rPr>
          <w:color w:val="231F20"/>
          <w:spacing w:val="-12"/>
          <w:sz w:val="19"/>
        </w:rPr>
        <w:t> </w:t>
      </w:r>
      <w:r>
        <w:rPr>
          <w:color w:val="231F20"/>
          <w:sz w:val="19"/>
        </w:rPr>
        <w:t>Münch</w:t>
      </w:r>
      <w:r>
        <w:rPr>
          <w:i/>
          <w:color w:val="231F20"/>
          <w:sz w:val="19"/>
        </w:rPr>
        <w:t>,</w:t>
      </w:r>
      <w:r>
        <w:rPr>
          <w:i/>
          <w:color w:val="231F20"/>
          <w:spacing w:val="-11"/>
          <w:sz w:val="19"/>
        </w:rPr>
        <w:t> </w:t>
      </w:r>
      <w:r>
        <w:rPr>
          <w:i/>
          <w:color w:val="231F20"/>
          <w:sz w:val="19"/>
        </w:rPr>
        <w:t>Zum</w:t>
      </w:r>
      <w:r>
        <w:rPr>
          <w:i/>
          <w:color w:val="231F20"/>
          <w:spacing w:val="-10"/>
          <w:sz w:val="19"/>
        </w:rPr>
        <w:t> </w:t>
      </w:r>
      <w:r>
        <w:rPr>
          <w:i/>
          <w:color w:val="231F20"/>
          <w:sz w:val="19"/>
        </w:rPr>
        <w:t>Schutz</w:t>
      </w:r>
      <w:r>
        <w:rPr>
          <w:i/>
          <w:color w:val="231F20"/>
          <w:spacing w:val="-10"/>
          <w:sz w:val="19"/>
        </w:rPr>
        <w:t> </w:t>
      </w:r>
      <w:r>
        <w:rPr>
          <w:i/>
          <w:color w:val="231F20"/>
          <w:sz w:val="19"/>
        </w:rPr>
        <w:t>berufrechtlichen</w:t>
      </w:r>
      <w:r>
        <w:rPr>
          <w:i/>
          <w:color w:val="231F20"/>
          <w:spacing w:val="-12"/>
          <w:sz w:val="19"/>
        </w:rPr>
        <w:t> </w:t>
      </w:r>
      <w:r>
        <w:rPr>
          <w:i/>
          <w:color w:val="231F20"/>
          <w:sz w:val="19"/>
        </w:rPr>
        <w:t>Verschwiegenheitrecht</w:t>
      </w:r>
      <w:r>
        <w:rPr>
          <w:i/>
          <w:color w:val="231F20"/>
          <w:spacing w:val="-10"/>
          <w:sz w:val="19"/>
        </w:rPr>
        <w:t> </w:t>
      </w:r>
      <w:r>
        <w:rPr>
          <w:i/>
          <w:color w:val="231F20"/>
          <w:sz w:val="19"/>
        </w:rPr>
        <w:t>durch</w:t>
      </w:r>
      <w:r>
        <w:rPr>
          <w:i/>
          <w:color w:val="231F20"/>
          <w:spacing w:val="-10"/>
          <w:sz w:val="19"/>
        </w:rPr>
        <w:t> </w:t>
      </w:r>
      <w:r>
        <w:rPr>
          <w:i/>
          <w:color w:val="231F20"/>
          <w:sz w:val="19"/>
        </w:rPr>
        <w:t>die</w:t>
      </w:r>
      <w:r>
        <w:rPr>
          <w:i/>
          <w:color w:val="231F20"/>
          <w:sz w:val="19"/>
        </w:rPr>
        <w:t> DAC 6</w:t>
      </w:r>
      <w:r>
        <w:rPr>
          <w:color w:val="231F20"/>
          <w:sz w:val="19"/>
        </w:rPr>
        <w:t>, in </w:t>
      </w:r>
      <w:r>
        <w:rPr>
          <w:i/>
          <w:color w:val="231F20"/>
          <w:sz w:val="19"/>
        </w:rPr>
        <w:t>Internationale Steuer-Rundseher</w:t>
      </w:r>
      <w:r>
        <w:rPr>
          <w:color w:val="231F20"/>
          <w:sz w:val="19"/>
        </w:rPr>
        <w:t>, 824 – 7, p. 234-238.</w:t>
      </w:r>
    </w:p>
    <w:p>
      <w:pPr>
        <w:spacing w:after="0" w:line="225" w:lineRule="auto"/>
        <w:jc w:val="both"/>
        <w:rPr>
          <w:sz w:val="19"/>
        </w:rPr>
        <w:sectPr>
          <w:pgSz w:w="9640" w:h="13610"/>
          <w:pgMar w:header="0" w:footer="625" w:top="1260" w:bottom="820" w:left="1260" w:right="1240"/>
        </w:sectPr>
      </w:pPr>
    </w:p>
    <w:p>
      <w:pPr>
        <w:pStyle w:val="BodyText"/>
        <w:spacing w:line="225" w:lineRule="auto" w:before="117"/>
        <w:ind w:left="100" w:right="174"/>
        <w:jc w:val="both"/>
      </w:pPr>
      <w:r>
        <w:rPr>
          <w:color w:val="231F20"/>
        </w:rPr>
        <w:t>causa </w:t>
      </w:r>
      <w:r>
        <w:rPr>
          <w:i/>
          <w:color w:val="231F20"/>
        </w:rPr>
        <w:t>a quo </w:t>
      </w:r>
      <w:r>
        <w:rPr>
          <w:color w:val="231F20"/>
        </w:rPr>
        <w:t>aveva tratto origine da un atto di ingiunzione emesso dall’am- ministrazione</w:t>
      </w:r>
      <w:r>
        <w:rPr>
          <w:color w:val="231F20"/>
          <w:spacing w:val="-14"/>
        </w:rPr>
        <w:t> </w:t>
      </w:r>
      <w:r>
        <w:rPr>
          <w:color w:val="231F20"/>
        </w:rPr>
        <w:t>finanziaria</w:t>
      </w:r>
      <w:r>
        <w:rPr>
          <w:color w:val="231F20"/>
          <w:spacing w:val="-14"/>
        </w:rPr>
        <w:t> </w:t>
      </w:r>
      <w:r>
        <w:rPr>
          <w:color w:val="231F20"/>
        </w:rPr>
        <w:t>lussemburghese</w:t>
      </w:r>
      <w:r>
        <w:rPr>
          <w:color w:val="231F20"/>
          <w:spacing w:val="-14"/>
        </w:rPr>
        <w:t> </w:t>
      </w:r>
      <w:r>
        <w:rPr>
          <w:color w:val="231F20"/>
        </w:rPr>
        <w:t>nei</w:t>
      </w:r>
      <w:r>
        <w:rPr>
          <w:color w:val="231F20"/>
          <w:spacing w:val="-14"/>
        </w:rPr>
        <w:t> </w:t>
      </w:r>
      <w:r>
        <w:rPr>
          <w:color w:val="231F20"/>
        </w:rPr>
        <w:t>confronti</w:t>
      </w:r>
      <w:r>
        <w:rPr>
          <w:color w:val="231F20"/>
          <w:spacing w:val="-14"/>
        </w:rPr>
        <w:t> </w:t>
      </w:r>
      <w:r>
        <w:rPr>
          <w:color w:val="231F20"/>
        </w:rPr>
        <w:t>di</w:t>
      </w:r>
      <w:r>
        <w:rPr>
          <w:color w:val="231F20"/>
          <w:spacing w:val="-14"/>
        </w:rPr>
        <w:t> </w:t>
      </w:r>
      <w:r>
        <w:rPr>
          <w:color w:val="231F20"/>
        </w:rPr>
        <w:t>uno</w:t>
      </w:r>
      <w:r>
        <w:rPr>
          <w:color w:val="231F20"/>
          <w:spacing w:val="-14"/>
        </w:rPr>
        <w:t> </w:t>
      </w:r>
      <w:r>
        <w:rPr>
          <w:color w:val="231F20"/>
        </w:rPr>
        <w:t>studio</w:t>
      </w:r>
      <w:r>
        <w:rPr>
          <w:color w:val="231F20"/>
          <w:spacing w:val="-14"/>
        </w:rPr>
        <w:t> </w:t>
      </w:r>
      <w:r>
        <w:rPr>
          <w:color w:val="231F20"/>
        </w:rPr>
        <w:t>legale affinché quest’ultimo trasmettesse alla stessa dei pareri giuridici forniti ad </w:t>
      </w:r>
      <w:r>
        <w:rPr>
          <w:color w:val="231F20"/>
          <w:spacing w:val="-2"/>
        </w:rPr>
        <w:t>un</w:t>
      </w:r>
      <w:r>
        <w:rPr>
          <w:color w:val="231F20"/>
          <w:spacing w:val="-5"/>
        </w:rPr>
        <w:t> </w:t>
      </w:r>
      <w:r>
        <w:rPr>
          <w:color w:val="231F20"/>
          <w:spacing w:val="-2"/>
        </w:rPr>
        <w:t>determinato</w:t>
      </w:r>
      <w:r>
        <w:rPr>
          <w:color w:val="231F20"/>
          <w:spacing w:val="-5"/>
        </w:rPr>
        <w:t> </w:t>
      </w:r>
      <w:r>
        <w:rPr>
          <w:color w:val="231F20"/>
          <w:spacing w:val="-2"/>
        </w:rPr>
        <w:t>cliente,</w:t>
      </w:r>
      <w:r>
        <w:rPr>
          <w:color w:val="231F20"/>
          <w:spacing w:val="-5"/>
        </w:rPr>
        <w:t> </w:t>
      </w:r>
      <w:r>
        <w:rPr>
          <w:color w:val="231F20"/>
          <w:spacing w:val="-2"/>
        </w:rPr>
        <w:t>e</w:t>
      </w:r>
      <w:r>
        <w:rPr>
          <w:color w:val="231F20"/>
          <w:spacing w:val="-5"/>
        </w:rPr>
        <w:t> </w:t>
      </w:r>
      <w:r>
        <w:rPr>
          <w:color w:val="231F20"/>
          <w:spacing w:val="-2"/>
        </w:rPr>
        <w:t>da</w:t>
      </w:r>
      <w:r>
        <w:rPr>
          <w:color w:val="231F20"/>
          <w:spacing w:val="-5"/>
        </w:rPr>
        <w:t> </w:t>
      </w:r>
      <w:r>
        <w:rPr>
          <w:color w:val="231F20"/>
          <w:spacing w:val="-2"/>
        </w:rPr>
        <w:t>un</w:t>
      </w:r>
      <w:r>
        <w:rPr>
          <w:color w:val="231F20"/>
          <w:spacing w:val="-5"/>
        </w:rPr>
        <w:t> </w:t>
      </w:r>
      <w:r>
        <w:rPr>
          <w:color w:val="231F20"/>
          <w:spacing w:val="-2"/>
        </w:rPr>
        <w:t>provvedimento</w:t>
      </w:r>
      <w:r>
        <w:rPr>
          <w:color w:val="231F20"/>
          <w:spacing w:val="-5"/>
        </w:rPr>
        <w:t> </w:t>
      </w:r>
      <w:r>
        <w:rPr>
          <w:color w:val="231F20"/>
          <w:spacing w:val="-2"/>
        </w:rPr>
        <w:t>sanzionatorio</w:t>
      </w:r>
      <w:r>
        <w:rPr>
          <w:color w:val="231F20"/>
          <w:spacing w:val="-5"/>
        </w:rPr>
        <w:t> </w:t>
      </w:r>
      <w:r>
        <w:rPr>
          <w:color w:val="231F20"/>
          <w:spacing w:val="-2"/>
        </w:rPr>
        <w:t>adottato</w:t>
      </w:r>
      <w:r>
        <w:rPr>
          <w:color w:val="231F20"/>
          <w:spacing w:val="-5"/>
        </w:rPr>
        <w:t> </w:t>
      </w:r>
      <w:r>
        <w:rPr>
          <w:color w:val="231F20"/>
          <w:spacing w:val="-2"/>
        </w:rPr>
        <w:t>dalla </w:t>
      </w:r>
      <w:r>
        <w:rPr>
          <w:color w:val="231F20"/>
        </w:rPr>
        <w:t>medesima amministrazione a seguito del diniego di detto studio legale di dare</w:t>
      </w:r>
      <w:r>
        <w:rPr>
          <w:color w:val="231F20"/>
          <w:spacing w:val="-1"/>
        </w:rPr>
        <w:t> </w:t>
      </w:r>
      <w:r>
        <w:rPr>
          <w:color w:val="231F20"/>
        </w:rPr>
        <w:t>seguito</w:t>
      </w:r>
      <w:r>
        <w:rPr>
          <w:color w:val="231F20"/>
          <w:spacing w:val="-1"/>
        </w:rPr>
        <w:t> </w:t>
      </w:r>
      <w:r>
        <w:rPr>
          <w:color w:val="231F20"/>
        </w:rPr>
        <w:t>alla</w:t>
      </w:r>
      <w:r>
        <w:rPr>
          <w:color w:val="231F20"/>
          <w:spacing w:val="-1"/>
        </w:rPr>
        <w:t> </w:t>
      </w:r>
      <w:r>
        <w:rPr>
          <w:color w:val="231F20"/>
        </w:rPr>
        <w:t>suddetta</w:t>
      </w:r>
      <w:r>
        <w:rPr>
          <w:color w:val="231F20"/>
          <w:spacing w:val="-1"/>
        </w:rPr>
        <w:t> </w:t>
      </w:r>
      <w:r>
        <w:rPr>
          <w:color w:val="231F20"/>
        </w:rPr>
        <w:t>richiesta</w:t>
      </w:r>
      <w:r>
        <w:rPr>
          <w:color w:val="231F20"/>
          <w:spacing w:val="-1"/>
        </w:rPr>
        <w:t> </w:t>
      </w:r>
      <w:r>
        <w:rPr>
          <w:color w:val="231F20"/>
        </w:rPr>
        <w:t>di</w:t>
      </w:r>
      <w:r>
        <w:rPr>
          <w:color w:val="231F20"/>
          <w:spacing w:val="-1"/>
        </w:rPr>
        <w:t> </w:t>
      </w:r>
      <w:r>
        <w:rPr>
          <w:color w:val="231F20"/>
        </w:rPr>
        <w:t>informazioni</w:t>
      </w:r>
      <w:r>
        <w:rPr>
          <w:color w:val="231F20"/>
          <w:spacing w:val="-1"/>
        </w:rPr>
        <w:t> </w:t>
      </w:r>
      <w:r>
        <w:rPr>
          <w:color w:val="231F20"/>
        </w:rPr>
        <w:t>e</w:t>
      </w:r>
      <w:r>
        <w:rPr>
          <w:color w:val="231F20"/>
          <w:spacing w:val="-1"/>
        </w:rPr>
        <w:t> </w:t>
      </w:r>
      <w:r>
        <w:rPr>
          <w:color w:val="231F20"/>
        </w:rPr>
        <w:t>documenti.</w:t>
      </w:r>
      <w:r>
        <w:rPr>
          <w:color w:val="231F20"/>
          <w:spacing w:val="-1"/>
        </w:rPr>
        <w:t> </w:t>
      </w:r>
      <w:r>
        <w:rPr>
          <w:color w:val="231F20"/>
        </w:rPr>
        <w:t>Partendo </w:t>
      </w:r>
      <w:r>
        <w:rPr>
          <w:color w:val="231F20"/>
          <w:spacing w:val="-4"/>
        </w:rPr>
        <w:t>dal</w:t>
      </w:r>
      <w:r>
        <w:rPr>
          <w:color w:val="231F20"/>
          <w:spacing w:val="-6"/>
        </w:rPr>
        <w:t> </w:t>
      </w:r>
      <w:r>
        <w:rPr>
          <w:color w:val="231F20"/>
          <w:spacing w:val="-4"/>
        </w:rPr>
        <w:t>presupposto</w:t>
      </w:r>
      <w:r>
        <w:rPr>
          <w:color w:val="231F20"/>
          <w:spacing w:val="-6"/>
        </w:rPr>
        <w:t> </w:t>
      </w:r>
      <w:r>
        <w:rPr>
          <w:color w:val="231F20"/>
          <w:spacing w:val="-4"/>
        </w:rPr>
        <w:t>che</w:t>
      </w:r>
      <w:r>
        <w:rPr>
          <w:color w:val="231F20"/>
          <w:spacing w:val="-6"/>
        </w:rPr>
        <w:t> </w:t>
      </w:r>
      <w:r>
        <w:rPr>
          <w:color w:val="231F20"/>
          <w:spacing w:val="-4"/>
        </w:rPr>
        <w:t>la</w:t>
      </w:r>
      <w:r>
        <w:rPr>
          <w:color w:val="231F20"/>
          <w:spacing w:val="-6"/>
        </w:rPr>
        <w:t> </w:t>
      </w:r>
      <w:r>
        <w:rPr>
          <w:color w:val="231F20"/>
          <w:spacing w:val="-4"/>
        </w:rPr>
        <w:t>professione</w:t>
      </w:r>
      <w:r>
        <w:rPr>
          <w:color w:val="231F20"/>
          <w:spacing w:val="-6"/>
        </w:rPr>
        <w:t> </w:t>
      </w:r>
      <w:r>
        <w:rPr>
          <w:color w:val="231F20"/>
          <w:spacing w:val="-4"/>
        </w:rPr>
        <w:t>dell’avvocato</w:t>
      </w:r>
      <w:r>
        <w:rPr>
          <w:color w:val="231F20"/>
          <w:spacing w:val="-6"/>
        </w:rPr>
        <w:t> </w:t>
      </w:r>
      <w:r>
        <w:rPr>
          <w:color w:val="231F20"/>
          <w:spacing w:val="-4"/>
        </w:rPr>
        <w:t>«comprende</w:t>
      </w:r>
      <w:r>
        <w:rPr>
          <w:color w:val="231F20"/>
          <w:spacing w:val="-6"/>
        </w:rPr>
        <w:t> </w:t>
      </w:r>
      <w:r>
        <w:rPr>
          <w:color w:val="231F20"/>
          <w:spacing w:val="-4"/>
        </w:rPr>
        <w:t>per</w:t>
      </w:r>
      <w:r>
        <w:rPr>
          <w:color w:val="231F20"/>
          <w:spacing w:val="-6"/>
        </w:rPr>
        <w:t> </w:t>
      </w:r>
      <w:r>
        <w:rPr>
          <w:color w:val="231F20"/>
          <w:spacing w:val="-4"/>
        </w:rPr>
        <w:t>sua</w:t>
      </w:r>
      <w:r>
        <w:rPr>
          <w:color w:val="231F20"/>
          <w:spacing w:val="-6"/>
        </w:rPr>
        <w:t> </w:t>
      </w:r>
      <w:r>
        <w:rPr>
          <w:color w:val="231F20"/>
          <w:spacing w:val="-4"/>
        </w:rPr>
        <w:t>natura</w:t>
      </w:r>
      <w:r>
        <w:rPr>
          <w:color w:val="231F20"/>
          <w:spacing w:val="-6"/>
        </w:rPr>
        <w:t> </w:t>
      </w:r>
      <w:r>
        <w:rPr>
          <w:color w:val="231F20"/>
          <w:spacing w:val="-4"/>
        </w:rPr>
        <w:t>il </w:t>
      </w:r>
      <w:r>
        <w:rPr>
          <w:color w:val="231F20"/>
          <w:spacing w:val="-2"/>
        </w:rPr>
        <w:t>compito</w:t>
      </w:r>
      <w:r>
        <w:rPr>
          <w:color w:val="231F20"/>
          <w:spacing w:val="-13"/>
        </w:rPr>
        <w:t> </w:t>
      </w:r>
      <w:r>
        <w:rPr>
          <w:color w:val="231F20"/>
          <w:spacing w:val="-2"/>
        </w:rPr>
        <w:t>di</w:t>
      </w:r>
      <w:r>
        <w:rPr>
          <w:color w:val="231F20"/>
          <w:spacing w:val="-13"/>
        </w:rPr>
        <w:t> </w:t>
      </w:r>
      <w:r>
        <w:rPr>
          <w:color w:val="231F20"/>
          <w:spacing w:val="-2"/>
        </w:rPr>
        <w:t>fornire,</w:t>
      </w:r>
      <w:r>
        <w:rPr>
          <w:color w:val="231F20"/>
          <w:spacing w:val="-13"/>
        </w:rPr>
        <w:t> </w:t>
      </w:r>
      <w:r>
        <w:rPr>
          <w:color w:val="231F20"/>
          <w:spacing w:val="-2"/>
        </w:rPr>
        <w:t>in</w:t>
      </w:r>
      <w:r>
        <w:rPr>
          <w:color w:val="231F20"/>
          <w:spacing w:val="-13"/>
        </w:rPr>
        <w:t> </w:t>
      </w:r>
      <w:r>
        <w:rPr>
          <w:color w:val="231F20"/>
          <w:spacing w:val="-2"/>
        </w:rPr>
        <w:t>modo</w:t>
      </w:r>
      <w:r>
        <w:rPr>
          <w:color w:val="231F20"/>
          <w:spacing w:val="-13"/>
        </w:rPr>
        <w:t> </w:t>
      </w:r>
      <w:r>
        <w:rPr>
          <w:color w:val="231F20"/>
          <w:spacing w:val="-2"/>
        </w:rPr>
        <w:t>indipendente,</w:t>
      </w:r>
      <w:r>
        <w:rPr>
          <w:color w:val="231F20"/>
          <w:spacing w:val="-13"/>
        </w:rPr>
        <w:t> </w:t>
      </w:r>
      <w:r>
        <w:rPr>
          <w:color w:val="231F20"/>
          <w:spacing w:val="-2"/>
        </w:rPr>
        <w:t>pareri</w:t>
      </w:r>
      <w:r>
        <w:rPr>
          <w:color w:val="231F20"/>
          <w:spacing w:val="-13"/>
        </w:rPr>
        <w:t> </w:t>
      </w:r>
      <w:r>
        <w:rPr>
          <w:color w:val="231F20"/>
          <w:spacing w:val="-2"/>
        </w:rPr>
        <w:t>giuridici</w:t>
      </w:r>
      <w:r>
        <w:rPr>
          <w:color w:val="231F20"/>
          <w:spacing w:val="-13"/>
        </w:rPr>
        <w:t> </w:t>
      </w:r>
      <w:r>
        <w:rPr>
          <w:color w:val="231F20"/>
          <w:spacing w:val="-2"/>
        </w:rPr>
        <w:t>a</w:t>
      </w:r>
      <w:r>
        <w:rPr>
          <w:color w:val="231F20"/>
          <w:spacing w:val="-13"/>
        </w:rPr>
        <w:t> </w:t>
      </w:r>
      <w:r>
        <w:rPr>
          <w:color w:val="231F20"/>
          <w:spacing w:val="-2"/>
        </w:rPr>
        <w:t>chiunque</w:t>
      </w:r>
      <w:r>
        <w:rPr>
          <w:color w:val="231F20"/>
          <w:spacing w:val="-13"/>
        </w:rPr>
        <w:t> </w:t>
      </w:r>
      <w:r>
        <w:rPr>
          <w:color w:val="231F20"/>
          <w:spacing w:val="-2"/>
        </w:rPr>
        <w:t>ne</w:t>
      </w:r>
      <w:r>
        <w:rPr>
          <w:color w:val="231F20"/>
          <w:spacing w:val="-13"/>
        </w:rPr>
        <w:t> </w:t>
      </w:r>
      <w:r>
        <w:rPr>
          <w:color w:val="231F20"/>
          <w:spacing w:val="-2"/>
        </w:rPr>
        <w:t>ab- bia</w:t>
      </w:r>
      <w:r>
        <w:rPr>
          <w:color w:val="231F20"/>
          <w:spacing w:val="-13"/>
        </w:rPr>
        <w:t> </w:t>
      </w:r>
      <w:r>
        <w:rPr>
          <w:color w:val="231F20"/>
          <w:spacing w:val="-2"/>
        </w:rPr>
        <w:t>bisogno»,</w:t>
      </w:r>
      <w:r>
        <w:rPr>
          <w:color w:val="231F20"/>
          <w:spacing w:val="-13"/>
        </w:rPr>
        <w:t> </w:t>
      </w:r>
      <w:r>
        <w:rPr>
          <w:color w:val="231F20"/>
          <w:spacing w:val="-2"/>
        </w:rPr>
        <w:t>la</w:t>
      </w:r>
      <w:r>
        <w:rPr>
          <w:color w:val="231F20"/>
          <w:spacing w:val="-13"/>
        </w:rPr>
        <w:t> </w:t>
      </w:r>
      <w:r>
        <w:rPr>
          <w:color w:val="231F20"/>
          <w:spacing w:val="-2"/>
        </w:rPr>
        <w:t>Corte</w:t>
      </w:r>
      <w:r>
        <w:rPr>
          <w:color w:val="231F20"/>
          <w:spacing w:val="-13"/>
        </w:rPr>
        <w:t> </w:t>
      </w:r>
      <w:r>
        <w:rPr>
          <w:color w:val="231F20"/>
          <w:spacing w:val="-2"/>
        </w:rPr>
        <w:t>di</w:t>
      </w:r>
      <w:r>
        <w:rPr>
          <w:color w:val="231F20"/>
          <w:spacing w:val="-13"/>
        </w:rPr>
        <w:t> </w:t>
      </w:r>
      <w:r>
        <w:rPr>
          <w:color w:val="231F20"/>
          <w:spacing w:val="-2"/>
        </w:rPr>
        <w:t>giustizia</w:t>
      </w:r>
      <w:r>
        <w:rPr>
          <w:color w:val="231F20"/>
          <w:spacing w:val="-13"/>
        </w:rPr>
        <w:t> </w:t>
      </w:r>
      <w:r>
        <w:rPr>
          <w:color w:val="231F20"/>
          <w:spacing w:val="-2"/>
        </w:rPr>
        <w:t>ha</w:t>
      </w:r>
      <w:r>
        <w:rPr>
          <w:color w:val="231F20"/>
          <w:spacing w:val="-13"/>
        </w:rPr>
        <w:t> </w:t>
      </w:r>
      <w:r>
        <w:rPr>
          <w:color w:val="231F20"/>
          <w:spacing w:val="-2"/>
        </w:rPr>
        <w:t>precisato</w:t>
      </w:r>
      <w:r>
        <w:rPr>
          <w:color w:val="231F20"/>
          <w:spacing w:val="-13"/>
        </w:rPr>
        <w:t> </w:t>
      </w:r>
      <w:r>
        <w:rPr>
          <w:color w:val="231F20"/>
          <w:spacing w:val="-2"/>
        </w:rPr>
        <w:t>che</w:t>
      </w:r>
      <w:r>
        <w:rPr>
          <w:color w:val="231F20"/>
          <w:spacing w:val="-13"/>
        </w:rPr>
        <w:t> </w:t>
      </w:r>
      <w:r>
        <w:rPr>
          <w:color w:val="231F20"/>
          <w:spacing w:val="-2"/>
        </w:rPr>
        <w:t>«la</w:t>
      </w:r>
      <w:r>
        <w:rPr>
          <w:color w:val="231F20"/>
          <w:spacing w:val="-13"/>
        </w:rPr>
        <w:t> </w:t>
      </w:r>
      <w:r>
        <w:rPr>
          <w:color w:val="231F20"/>
          <w:spacing w:val="-2"/>
        </w:rPr>
        <w:t>consulenza</w:t>
      </w:r>
      <w:r>
        <w:rPr>
          <w:color w:val="231F20"/>
          <w:spacing w:val="-13"/>
        </w:rPr>
        <w:t> </w:t>
      </w:r>
      <w:r>
        <w:rPr>
          <w:color w:val="231F20"/>
          <w:spacing w:val="-2"/>
        </w:rPr>
        <w:t>legale</w:t>
      </w:r>
      <w:r>
        <w:rPr>
          <w:color w:val="231F20"/>
          <w:spacing w:val="-13"/>
        </w:rPr>
        <w:t> </w:t>
      </w:r>
      <w:r>
        <w:rPr>
          <w:color w:val="231F20"/>
          <w:spacing w:val="-2"/>
        </w:rPr>
        <w:t>gode, </w:t>
      </w:r>
      <w:r>
        <w:rPr>
          <w:color w:val="231F20"/>
        </w:rPr>
        <w:t>indipendentemente</w:t>
      </w:r>
      <w:r>
        <w:rPr>
          <w:color w:val="231F20"/>
          <w:spacing w:val="-15"/>
        </w:rPr>
        <w:t> </w:t>
      </w:r>
      <w:r>
        <w:rPr>
          <w:color w:val="231F20"/>
        </w:rPr>
        <w:t>dal</w:t>
      </w:r>
      <w:r>
        <w:rPr>
          <w:color w:val="231F20"/>
          <w:spacing w:val="-15"/>
        </w:rPr>
        <w:t> </w:t>
      </w:r>
      <w:r>
        <w:rPr>
          <w:color w:val="231F20"/>
        </w:rPr>
        <w:t>settore</w:t>
      </w:r>
      <w:r>
        <w:rPr>
          <w:color w:val="231F20"/>
          <w:spacing w:val="-15"/>
        </w:rPr>
        <w:t> </w:t>
      </w:r>
      <w:r>
        <w:rPr>
          <w:color w:val="231F20"/>
        </w:rPr>
        <w:t>del</w:t>
      </w:r>
      <w:r>
        <w:rPr>
          <w:color w:val="231F20"/>
          <w:spacing w:val="-15"/>
        </w:rPr>
        <w:t> </w:t>
      </w:r>
      <w:r>
        <w:rPr>
          <w:color w:val="231F20"/>
        </w:rPr>
        <w:t>diritto</w:t>
      </w:r>
      <w:r>
        <w:rPr>
          <w:color w:val="231F20"/>
          <w:spacing w:val="-15"/>
        </w:rPr>
        <w:t> </w:t>
      </w:r>
      <w:r>
        <w:rPr>
          <w:color w:val="231F20"/>
        </w:rPr>
        <w:t>su</w:t>
      </w:r>
      <w:r>
        <w:rPr>
          <w:color w:val="231F20"/>
          <w:spacing w:val="-15"/>
        </w:rPr>
        <w:t> </w:t>
      </w:r>
      <w:r>
        <w:rPr>
          <w:color w:val="231F20"/>
        </w:rPr>
        <w:t>cui</w:t>
      </w:r>
      <w:r>
        <w:rPr>
          <w:color w:val="231F20"/>
          <w:spacing w:val="-15"/>
        </w:rPr>
        <w:t> </w:t>
      </w:r>
      <w:r>
        <w:rPr>
          <w:color w:val="231F20"/>
        </w:rPr>
        <w:t>verte,</w:t>
      </w:r>
      <w:r>
        <w:rPr>
          <w:color w:val="231F20"/>
          <w:spacing w:val="-15"/>
        </w:rPr>
        <w:t> </w:t>
      </w:r>
      <w:r>
        <w:rPr>
          <w:color w:val="231F20"/>
        </w:rPr>
        <w:t>della</w:t>
      </w:r>
      <w:r>
        <w:rPr>
          <w:color w:val="231F20"/>
          <w:spacing w:val="-15"/>
        </w:rPr>
        <w:t> </w:t>
      </w:r>
      <w:r>
        <w:rPr>
          <w:color w:val="231F20"/>
        </w:rPr>
        <w:t>tutela</w:t>
      </w:r>
      <w:r>
        <w:rPr>
          <w:color w:val="231F20"/>
          <w:spacing w:val="-15"/>
        </w:rPr>
        <w:t> </w:t>
      </w:r>
      <w:r>
        <w:rPr>
          <w:color w:val="231F20"/>
        </w:rPr>
        <w:t>rafforzata garantita dall’art. 7 della Carta alle comunicazioni fra un avvocato e il suo cliente»</w:t>
      </w:r>
      <w:r>
        <w:rPr>
          <w:rFonts w:ascii="Times New Roman" w:hAnsi="Times New Roman"/>
          <w:color w:val="231F20"/>
          <w:position w:val="8"/>
          <w:sz w:val="14"/>
        </w:rPr>
        <w:t>130</w:t>
      </w:r>
      <w:r>
        <w:rPr>
          <w:color w:val="231F20"/>
        </w:rPr>
        <w:t>.</w:t>
      </w:r>
      <w:r>
        <w:rPr>
          <w:color w:val="231F20"/>
          <w:spacing w:val="-13"/>
        </w:rPr>
        <w:t> </w:t>
      </w:r>
      <w:r>
        <w:rPr>
          <w:color w:val="231F20"/>
        </w:rPr>
        <w:t>Ne</w:t>
      </w:r>
      <w:r>
        <w:rPr>
          <w:color w:val="231F20"/>
          <w:spacing w:val="-13"/>
        </w:rPr>
        <w:t> </w:t>
      </w:r>
      <w:r>
        <w:rPr>
          <w:color w:val="231F20"/>
        </w:rPr>
        <w:t>risulta</w:t>
      </w:r>
      <w:r>
        <w:rPr>
          <w:color w:val="231F20"/>
          <w:spacing w:val="-13"/>
        </w:rPr>
        <w:t> </w:t>
      </w:r>
      <w:r>
        <w:rPr>
          <w:color w:val="231F20"/>
        </w:rPr>
        <w:t>che</w:t>
      </w:r>
      <w:r>
        <w:rPr>
          <w:color w:val="231F20"/>
          <w:spacing w:val="-13"/>
        </w:rPr>
        <w:t> </w:t>
      </w:r>
      <w:r>
        <w:rPr>
          <w:color w:val="231F20"/>
        </w:rPr>
        <w:t>un</w:t>
      </w:r>
      <w:r>
        <w:rPr>
          <w:color w:val="231F20"/>
          <w:spacing w:val="-13"/>
        </w:rPr>
        <w:t> </w:t>
      </w:r>
      <w:r>
        <w:rPr>
          <w:color w:val="231F20"/>
        </w:rPr>
        <w:t>provvedimento</w:t>
      </w:r>
      <w:r>
        <w:rPr>
          <w:color w:val="231F20"/>
          <w:spacing w:val="-13"/>
        </w:rPr>
        <w:t> </w:t>
      </w:r>
      <w:r>
        <w:rPr>
          <w:color w:val="231F20"/>
        </w:rPr>
        <w:t>con</w:t>
      </w:r>
      <w:r>
        <w:rPr>
          <w:color w:val="231F20"/>
          <w:spacing w:val="-13"/>
        </w:rPr>
        <w:t> </w:t>
      </w:r>
      <w:r>
        <w:rPr>
          <w:color w:val="231F20"/>
        </w:rPr>
        <w:t>il</w:t>
      </w:r>
      <w:r>
        <w:rPr>
          <w:color w:val="231F20"/>
          <w:spacing w:val="-13"/>
        </w:rPr>
        <w:t> </w:t>
      </w:r>
      <w:r>
        <w:rPr>
          <w:color w:val="231F20"/>
        </w:rPr>
        <w:t>quale</w:t>
      </w:r>
      <w:r>
        <w:rPr>
          <w:color w:val="231F20"/>
          <w:spacing w:val="-13"/>
        </w:rPr>
        <w:t> </w:t>
      </w:r>
      <w:r>
        <w:rPr>
          <w:color w:val="231F20"/>
        </w:rPr>
        <w:t>l’amministrazione </w:t>
      </w:r>
      <w:r>
        <w:rPr>
          <w:color w:val="231F20"/>
          <w:spacing w:val="-2"/>
        </w:rPr>
        <w:t>fiscale</w:t>
      </w:r>
      <w:r>
        <w:rPr>
          <w:color w:val="231F20"/>
          <w:spacing w:val="-13"/>
        </w:rPr>
        <w:t> </w:t>
      </w:r>
      <w:r>
        <w:rPr>
          <w:color w:val="231F20"/>
          <w:spacing w:val="-2"/>
        </w:rPr>
        <w:t>ingiunge</w:t>
      </w:r>
      <w:r>
        <w:rPr>
          <w:color w:val="231F20"/>
          <w:spacing w:val="-13"/>
        </w:rPr>
        <w:t> </w:t>
      </w:r>
      <w:r>
        <w:rPr>
          <w:color w:val="231F20"/>
          <w:spacing w:val="-2"/>
        </w:rPr>
        <w:t>ad</w:t>
      </w:r>
      <w:r>
        <w:rPr>
          <w:color w:val="231F20"/>
          <w:spacing w:val="-13"/>
        </w:rPr>
        <w:t> </w:t>
      </w:r>
      <w:r>
        <w:rPr>
          <w:color w:val="231F20"/>
          <w:spacing w:val="-2"/>
        </w:rPr>
        <w:t>un</w:t>
      </w:r>
      <w:r>
        <w:rPr>
          <w:color w:val="231F20"/>
          <w:spacing w:val="-13"/>
        </w:rPr>
        <w:t> </w:t>
      </w:r>
      <w:r>
        <w:rPr>
          <w:color w:val="231F20"/>
          <w:spacing w:val="-2"/>
        </w:rPr>
        <w:t>avvocato</w:t>
      </w:r>
      <w:r>
        <w:rPr>
          <w:color w:val="231F20"/>
          <w:spacing w:val="-13"/>
        </w:rPr>
        <w:t> </w:t>
      </w:r>
      <w:r>
        <w:rPr>
          <w:color w:val="231F20"/>
          <w:spacing w:val="-2"/>
        </w:rPr>
        <w:t>di</w:t>
      </w:r>
      <w:r>
        <w:rPr>
          <w:color w:val="231F20"/>
          <w:spacing w:val="-13"/>
        </w:rPr>
        <w:t> </w:t>
      </w:r>
      <w:r>
        <w:rPr>
          <w:color w:val="231F20"/>
          <w:spacing w:val="-2"/>
        </w:rPr>
        <w:t>fornirle,</w:t>
      </w:r>
      <w:r>
        <w:rPr>
          <w:color w:val="231F20"/>
          <w:spacing w:val="-13"/>
        </w:rPr>
        <w:t> </w:t>
      </w:r>
      <w:r>
        <w:rPr>
          <w:color w:val="231F20"/>
          <w:spacing w:val="-2"/>
        </w:rPr>
        <w:t>ai</w:t>
      </w:r>
      <w:r>
        <w:rPr>
          <w:color w:val="231F20"/>
          <w:spacing w:val="-13"/>
        </w:rPr>
        <w:t> </w:t>
      </w:r>
      <w:r>
        <w:rPr>
          <w:color w:val="231F20"/>
          <w:spacing w:val="-2"/>
        </w:rPr>
        <w:t>fini</w:t>
      </w:r>
      <w:r>
        <w:rPr>
          <w:color w:val="231F20"/>
          <w:spacing w:val="-13"/>
        </w:rPr>
        <w:t> </w:t>
      </w:r>
      <w:r>
        <w:rPr>
          <w:color w:val="231F20"/>
          <w:spacing w:val="-2"/>
        </w:rPr>
        <w:t>di</w:t>
      </w:r>
      <w:r>
        <w:rPr>
          <w:color w:val="231F20"/>
          <w:spacing w:val="-13"/>
        </w:rPr>
        <w:t> </w:t>
      </w:r>
      <w:r>
        <w:rPr>
          <w:color w:val="231F20"/>
          <w:spacing w:val="-2"/>
        </w:rPr>
        <w:t>uno</w:t>
      </w:r>
      <w:r>
        <w:rPr>
          <w:color w:val="231F20"/>
          <w:spacing w:val="-13"/>
        </w:rPr>
        <w:t> </w:t>
      </w:r>
      <w:r>
        <w:rPr>
          <w:color w:val="231F20"/>
          <w:spacing w:val="-2"/>
        </w:rPr>
        <w:t>scambio</w:t>
      </w:r>
      <w:r>
        <w:rPr>
          <w:color w:val="231F20"/>
          <w:spacing w:val="-13"/>
        </w:rPr>
        <w:t> </w:t>
      </w:r>
      <w:r>
        <w:rPr>
          <w:color w:val="231F20"/>
          <w:spacing w:val="-2"/>
        </w:rPr>
        <w:t>di</w:t>
      </w:r>
      <w:r>
        <w:rPr>
          <w:color w:val="231F20"/>
          <w:spacing w:val="-13"/>
        </w:rPr>
        <w:t> </w:t>
      </w:r>
      <w:r>
        <w:rPr>
          <w:color w:val="231F20"/>
          <w:spacing w:val="-2"/>
        </w:rPr>
        <w:t>informa- </w:t>
      </w:r>
      <w:r>
        <w:rPr>
          <w:color w:val="231F20"/>
          <w:spacing w:val="-4"/>
        </w:rPr>
        <w:t>zioni</w:t>
      </w:r>
      <w:r>
        <w:rPr>
          <w:color w:val="231F20"/>
          <w:spacing w:val="-7"/>
        </w:rPr>
        <w:t> </w:t>
      </w:r>
      <w:r>
        <w:rPr>
          <w:color w:val="231F20"/>
          <w:spacing w:val="-4"/>
        </w:rPr>
        <w:t>su</w:t>
      </w:r>
      <w:r>
        <w:rPr>
          <w:color w:val="231F20"/>
          <w:spacing w:val="-7"/>
        </w:rPr>
        <w:t> </w:t>
      </w:r>
      <w:r>
        <w:rPr>
          <w:color w:val="231F20"/>
          <w:spacing w:val="-4"/>
        </w:rPr>
        <w:t>richiesta</w:t>
      </w:r>
      <w:r>
        <w:rPr>
          <w:color w:val="231F20"/>
          <w:spacing w:val="-7"/>
        </w:rPr>
        <w:t> </w:t>
      </w:r>
      <w:r>
        <w:rPr>
          <w:color w:val="231F20"/>
          <w:spacing w:val="-4"/>
        </w:rPr>
        <w:t>disciplinato</w:t>
      </w:r>
      <w:r>
        <w:rPr>
          <w:color w:val="231F20"/>
          <w:spacing w:val="-7"/>
        </w:rPr>
        <w:t> </w:t>
      </w:r>
      <w:r>
        <w:rPr>
          <w:color w:val="231F20"/>
          <w:spacing w:val="-4"/>
        </w:rPr>
        <w:t>dalla</w:t>
      </w:r>
      <w:r>
        <w:rPr>
          <w:color w:val="231F20"/>
          <w:spacing w:val="-7"/>
        </w:rPr>
        <w:t> </w:t>
      </w:r>
      <w:r>
        <w:rPr>
          <w:color w:val="231F20"/>
          <w:spacing w:val="-4"/>
        </w:rPr>
        <w:t>direttiva</w:t>
      </w:r>
      <w:r>
        <w:rPr>
          <w:color w:val="231F20"/>
          <w:spacing w:val="-7"/>
        </w:rPr>
        <w:t> </w:t>
      </w:r>
      <w:r>
        <w:rPr>
          <w:color w:val="231F20"/>
          <w:spacing w:val="-4"/>
        </w:rPr>
        <w:t>(UE)</w:t>
      </w:r>
      <w:r>
        <w:rPr>
          <w:color w:val="231F20"/>
          <w:spacing w:val="-7"/>
        </w:rPr>
        <w:t> </w:t>
      </w:r>
      <w:r>
        <w:rPr>
          <w:color w:val="231F20"/>
          <w:spacing w:val="-4"/>
        </w:rPr>
        <w:t>2011/16,</w:t>
      </w:r>
      <w:r>
        <w:rPr>
          <w:color w:val="231F20"/>
          <w:spacing w:val="-7"/>
        </w:rPr>
        <w:t> </w:t>
      </w:r>
      <w:r>
        <w:rPr>
          <w:color w:val="231F20"/>
          <w:spacing w:val="-4"/>
        </w:rPr>
        <w:t>dei</w:t>
      </w:r>
      <w:r>
        <w:rPr>
          <w:color w:val="231F20"/>
          <w:spacing w:val="-7"/>
        </w:rPr>
        <w:t> </w:t>
      </w:r>
      <w:r>
        <w:rPr>
          <w:color w:val="231F20"/>
          <w:spacing w:val="-4"/>
        </w:rPr>
        <w:t>documenti</w:t>
      </w:r>
      <w:r>
        <w:rPr>
          <w:color w:val="231F20"/>
          <w:spacing w:val="-7"/>
        </w:rPr>
        <w:t> </w:t>
      </w:r>
      <w:r>
        <w:rPr>
          <w:color w:val="231F20"/>
          <w:spacing w:val="-4"/>
        </w:rPr>
        <w:t>re- </w:t>
      </w:r>
      <w:r>
        <w:rPr>
          <w:color w:val="231F20"/>
          <w:spacing w:val="-2"/>
        </w:rPr>
        <w:t>lativi</w:t>
      </w:r>
      <w:r>
        <w:rPr>
          <w:color w:val="231F20"/>
          <w:spacing w:val="-10"/>
        </w:rPr>
        <w:t> </w:t>
      </w:r>
      <w:r>
        <w:rPr>
          <w:color w:val="231F20"/>
          <w:spacing w:val="-2"/>
        </w:rPr>
        <w:t>ai</w:t>
      </w:r>
      <w:r>
        <w:rPr>
          <w:color w:val="231F20"/>
          <w:spacing w:val="-10"/>
        </w:rPr>
        <w:t> </w:t>
      </w:r>
      <w:r>
        <w:rPr>
          <w:color w:val="231F20"/>
          <w:spacing w:val="-2"/>
        </w:rPr>
        <w:t>rapporti</w:t>
      </w:r>
      <w:r>
        <w:rPr>
          <w:color w:val="231F20"/>
          <w:spacing w:val="-10"/>
        </w:rPr>
        <w:t> </w:t>
      </w:r>
      <w:r>
        <w:rPr>
          <w:color w:val="231F20"/>
          <w:spacing w:val="-2"/>
        </w:rPr>
        <w:t>fra</w:t>
      </w:r>
      <w:r>
        <w:rPr>
          <w:color w:val="231F20"/>
          <w:spacing w:val="-10"/>
        </w:rPr>
        <w:t> </w:t>
      </w:r>
      <w:r>
        <w:rPr>
          <w:color w:val="231F20"/>
          <w:spacing w:val="-2"/>
        </w:rPr>
        <w:t>detto</w:t>
      </w:r>
      <w:r>
        <w:rPr>
          <w:color w:val="231F20"/>
          <w:spacing w:val="-10"/>
        </w:rPr>
        <w:t> </w:t>
      </w:r>
      <w:r>
        <w:rPr>
          <w:color w:val="231F20"/>
          <w:spacing w:val="-2"/>
        </w:rPr>
        <w:t>avvocato</w:t>
      </w:r>
      <w:r>
        <w:rPr>
          <w:color w:val="231F20"/>
          <w:spacing w:val="-10"/>
        </w:rPr>
        <w:t> </w:t>
      </w:r>
      <w:r>
        <w:rPr>
          <w:color w:val="231F20"/>
          <w:spacing w:val="-2"/>
        </w:rPr>
        <w:t>e</w:t>
      </w:r>
      <w:r>
        <w:rPr>
          <w:color w:val="231F20"/>
          <w:spacing w:val="-10"/>
        </w:rPr>
        <w:t> </w:t>
      </w:r>
      <w:r>
        <w:rPr>
          <w:color w:val="231F20"/>
          <w:spacing w:val="-2"/>
        </w:rPr>
        <w:t>il</w:t>
      </w:r>
      <w:r>
        <w:rPr>
          <w:color w:val="231F20"/>
          <w:spacing w:val="-10"/>
        </w:rPr>
        <w:t> </w:t>
      </w:r>
      <w:r>
        <w:rPr>
          <w:color w:val="231F20"/>
          <w:spacing w:val="-2"/>
        </w:rPr>
        <w:t>suo</w:t>
      </w:r>
      <w:r>
        <w:rPr>
          <w:color w:val="231F20"/>
          <w:spacing w:val="-10"/>
        </w:rPr>
        <w:t> </w:t>
      </w:r>
      <w:r>
        <w:rPr>
          <w:color w:val="231F20"/>
          <w:spacing w:val="-2"/>
        </w:rPr>
        <w:t>cliente,</w:t>
      </w:r>
      <w:r>
        <w:rPr>
          <w:color w:val="231F20"/>
          <w:spacing w:val="-10"/>
        </w:rPr>
        <w:t> </w:t>
      </w:r>
      <w:r>
        <w:rPr>
          <w:color w:val="231F20"/>
          <w:spacing w:val="-2"/>
        </w:rPr>
        <w:t>costituisce</w:t>
      </w:r>
      <w:r>
        <w:rPr>
          <w:color w:val="231F20"/>
          <w:spacing w:val="-10"/>
        </w:rPr>
        <w:t> </w:t>
      </w:r>
      <w:r>
        <w:rPr>
          <w:color w:val="231F20"/>
          <w:spacing w:val="-2"/>
        </w:rPr>
        <w:t>«un’ingerenza» </w:t>
      </w:r>
      <w:r>
        <w:rPr>
          <w:color w:val="231F20"/>
        </w:rPr>
        <w:t>nel</w:t>
      </w:r>
      <w:r>
        <w:rPr>
          <w:color w:val="231F20"/>
          <w:spacing w:val="-15"/>
        </w:rPr>
        <w:t> </w:t>
      </w:r>
      <w:r>
        <w:rPr>
          <w:color w:val="231F20"/>
        </w:rPr>
        <w:t>diritto</w:t>
      </w:r>
      <w:r>
        <w:rPr>
          <w:color w:val="231F20"/>
          <w:spacing w:val="-15"/>
        </w:rPr>
        <w:t> </w:t>
      </w:r>
      <w:r>
        <w:rPr>
          <w:color w:val="231F20"/>
        </w:rPr>
        <w:t>a</w:t>
      </w:r>
      <w:r>
        <w:rPr>
          <w:color w:val="231F20"/>
          <w:spacing w:val="-15"/>
        </w:rPr>
        <w:t> </w:t>
      </w:r>
      <w:r>
        <w:rPr>
          <w:color w:val="231F20"/>
        </w:rPr>
        <w:t>rispetto</w:t>
      </w:r>
      <w:r>
        <w:rPr>
          <w:color w:val="231F20"/>
          <w:spacing w:val="-15"/>
        </w:rPr>
        <w:t> </w:t>
      </w:r>
      <w:r>
        <w:rPr>
          <w:color w:val="231F20"/>
        </w:rPr>
        <w:t>della</w:t>
      </w:r>
      <w:r>
        <w:rPr>
          <w:color w:val="231F20"/>
          <w:spacing w:val="-15"/>
        </w:rPr>
        <w:t> </w:t>
      </w:r>
      <w:r>
        <w:rPr>
          <w:color w:val="231F20"/>
        </w:rPr>
        <w:t>riservatezza</w:t>
      </w:r>
      <w:r>
        <w:rPr>
          <w:color w:val="231F20"/>
          <w:spacing w:val="-15"/>
        </w:rPr>
        <w:t> </w:t>
      </w:r>
      <w:r>
        <w:rPr>
          <w:color w:val="231F20"/>
        </w:rPr>
        <w:t>delle</w:t>
      </w:r>
      <w:r>
        <w:rPr>
          <w:color w:val="231F20"/>
          <w:spacing w:val="-15"/>
        </w:rPr>
        <w:t> </w:t>
      </w:r>
      <w:r>
        <w:rPr>
          <w:color w:val="231F20"/>
        </w:rPr>
        <w:t>comunicazioni</w:t>
      </w:r>
      <w:r>
        <w:rPr>
          <w:color w:val="231F20"/>
          <w:spacing w:val="-15"/>
        </w:rPr>
        <w:t> </w:t>
      </w:r>
      <w:r>
        <w:rPr>
          <w:color w:val="231F20"/>
        </w:rPr>
        <w:t>fra</w:t>
      </w:r>
      <w:r>
        <w:rPr>
          <w:color w:val="231F20"/>
          <w:spacing w:val="-15"/>
        </w:rPr>
        <w:t> </w:t>
      </w:r>
      <w:r>
        <w:rPr>
          <w:color w:val="231F20"/>
        </w:rPr>
        <w:t>un</w:t>
      </w:r>
      <w:r>
        <w:rPr>
          <w:color w:val="231F20"/>
          <w:spacing w:val="-15"/>
        </w:rPr>
        <w:t> </w:t>
      </w:r>
      <w:r>
        <w:rPr>
          <w:color w:val="231F20"/>
        </w:rPr>
        <w:t>avvocato</w:t>
      </w:r>
      <w:r>
        <w:rPr>
          <w:color w:val="231F20"/>
          <w:spacing w:val="-15"/>
        </w:rPr>
        <w:t> </w:t>
      </w:r>
      <w:r>
        <w:rPr>
          <w:color w:val="231F20"/>
        </w:rPr>
        <w:t>e il</w:t>
      </w:r>
      <w:r>
        <w:rPr>
          <w:color w:val="231F20"/>
          <w:spacing w:val="-7"/>
        </w:rPr>
        <w:t> </w:t>
      </w:r>
      <w:r>
        <w:rPr>
          <w:color w:val="231F20"/>
        </w:rPr>
        <w:t>proprio</w:t>
      </w:r>
      <w:r>
        <w:rPr>
          <w:color w:val="231F20"/>
          <w:spacing w:val="-7"/>
        </w:rPr>
        <w:t> </w:t>
      </w:r>
      <w:r>
        <w:rPr>
          <w:color w:val="231F20"/>
        </w:rPr>
        <w:t>cliente,</w:t>
      </w:r>
      <w:r>
        <w:rPr>
          <w:color w:val="231F20"/>
          <w:spacing w:val="-7"/>
        </w:rPr>
        <w:t> </w:t>
      </w:r>
      <w:r>
        <w:rPr>
          <w:color w:val="231F20"/>
        </w:rPr>
        <w:t>sancito</w:t>
      </w:r>
      <w:r>
        <w:rPr>
          <w:color w:val="231F20"/>
          <w:spacing w:val="-7"/>
        </w:rPr>
        <w:t> </w:t>
      </w:r>
      <w:r>
        <w:rPr>
          <w:color w:val="231F20"/>
        </w:rPr>
        <w:t>dall’art.</w:t>
      </w:r>
      <w:r>
        <w:rPr>
          <w:color w:val="231F20"/>
          <w:spacing w:val="-7"/>
        </w:rPr>
        <w:t> </w:t>
      </w:r>
      <w:r>
        <w:rPr>
          <w:color w:val="231F20"/>
        </w:rPr>
        <w:t>7</w:t>
      </w:r>
      <w:r>
        <w:rPr>
          <w:color w:val="231F20"/>
          <w:spacing w:val="-7"/>
        </w:rPr>
        <w:t> </w:t>
      </w:r>
      <w:r>
        <w:rPr>
          <w:color w:val="231F20"/>
        </w:rPr>
        <w:t>della</w:t>
      </w:r>
      <w:r>
        <w:rPr>
          <w:color w:val="231F20"/>
          <w:spacing w:val="-7"/>
        </w:rPr>
        <w:t> </w:t>
      </w:r>
      <w:r>
        <w:rPr>
          <w:color w:val="231F20"/>
        </w:rPr>
        <w:t>Carta</w:t>
      </w:r>
      <w:r>
        <w:rPr>
          <w:color w:val="231F20"/>
          <w:spacing w:val="-7"/>
        </w:rPr>
        <w:t> </w:t>
      </w:r>
      <w:r>
        <w:rPr>
          <w:color w:val="231F20"/>
        </w:rPr>
        <w:t>dei</w:t>
      </w:r>
      <w:r>
        <w:rPr>
          <w:color w:val="231F20"/>
          <w:spacing w:val="-7"/>
        </w:rPr>
        <w:t> </w:t>
      </w:r>
      <w:r>
        <w:rPr>
          <w:color w:val="231F20"/>
        </w:rPr>
        <w:t>diritti</w:t>
      </w:r>
      <w:r>
        <w:rPr>
          <w:color w:val="231F20"/>
          <w:spacing w:val="-7"/>
        </w:rPr>
        <w:t> </w:t>
      </w:r>
      <w:r>
        <w:rPr>
          <w:color w:val="231F20"/>
        </w:rPr>
        <w:t>fondamentali.</w:t>
      </w:r>
    </w:p>
    <w:p>
      <w:pPr>
        <w:pStyle w:val="BodyText"/>
        <w:spacing w:before="52"/>
      </w:pPr>
    </w:p>
    <w:p>
      <w:pPr>
        <w:pStyle w:val="ListParagraph"/>
        <w:numPr>
          <w:ilvl w:val="2"/>
          <w:numId w:val="4"/>
        </w:numPr>
        <w:tabs>
          <w:tab w:pos="700" w:val="left" w:leader="none"/>
        </w:tabs>
        <w:spacing w:line="230" w:lineRule="auto" w:before="0" w:after="0"/>
        <w:ind w:left="100" w:right="175" w:firstLine="0"/>
        <w:jc w:val="left"/>
        <w:rPr>
          <w:i/>
          <w:sz w:val="24"/>
        </w:rPr>
      </w:pPr>
      <w:r>
        <w:rPr>
          <w:i/>
          <w:color w:val="231F20"/>
          <w:sz w:val="24"/>
        </w:rPr>
        <w:t>Incompatibilità con l’art. 7 della Carta, della norma legislativa</w:t>
      </w:r>
      <w:r>
        <w:rPr>
          <w:i/>
          <w:color w:val="231F20"/>
          <w:sz w:val="24"/>
        </w:rPr>
        <w:t> lussemburghese</w:t>
      </w:r>
      <w:r>
        <w:rPr>
          <w:i/>
          <w:color w:val="231F20"/>
          <w:spacing w:val="-5"/>
          <w:sz w:val="24"/>
        </w:rPr>
        <w:t> </w:t>
      </w:r>
      <w:r>
        <w:rPr>
          <w:i/>
          <w:color w:val="231F20"/>
          <w:sz w:val="24"/>
        </w:rPr>
        <w:t>che</w:t>
      </w:r>
      <w:r>
        <w:rPr>
          <w:i/>
          <w:color w:val="231F20"/>
          <w:spacing w:val="-5"/>
          <w:sz w:val="24"/>
        </w:rPr>
        <w:t> </w:t>
      </w:r>
      <w:r>
        <w:rPr>
          <w:i/>
          <w:color w:val="231F20"/>
          <w:sz w:val="24"/>
        </w:rPr>
        <w:t>escludeva</w:t>
      </w:r>
      <w:r>
        <w:rPr>
          <w:i/>
          <w:color w:val="231F20"/>
          <w:spacing w:val="-5"/>
          <w:sz w:val="24"/>
        </w:rPr>
        <w:t> </w:t>
      </w:r>
      <w:r>
        <w:rPr>
          <w:i/>
          <w:color w:val="231F20"/>
          <w:sz w:val="24"/>
        </w:rPr>
        <w:t>dalla</w:t>
      </w:r>
      <w:r>
        <w:rPr>
          <w:i/>
          <w:color w:val="231F20"/>
          <w:spacing w:val="-5"/>
          <w:sz w:val="24"/>
        </w:rPr>
        <w:t> </w:t>
      </w:r>
      <w:r>
        <w:rPr>
          <w:i/>
          <w:color w:val="231F20"/>
          <w:sz w:val="24"/>
        </w:rPr>
        <w:t>tutela</w:t>
      </w:r>
      <w:r>
        <w:rPr>
          <w:i/>
          <w:color w:val="231F20"/>
          <w:spacing w:val="-5"/>
          <w:sz w:val="24"/>
        </w:rPr>
        <w:t> </w:t>
      </w:r>
      <w:r>
        <w:rPr>
          <w:i/>
          <w:color w:val="231F20"/>
          <w:sz w:val="24"/>
        </w:rPr>
        <w:t>del</w:t>
      </w:r>
      <w:r>
        <w:rPr>
          <w:i/>
          <w:color w:val="231F20"/>
          <w:spacing w:val="-5"/>
          <w:sz w:val="24"/>
        </w:rPr>
        <w:t> </w:t>
      </w:r>
      <w:r>
        <w:rPr>
          <w:i/>
          <w:color w:val="231F20"/>
          <w:sz w:val="24"/>
        </w:rPr>
        <w:t>segreto</w:t>
      </w:r>
      <w:r>
        <w:rPr>
          <w:i/>
          <w:color w:val="231F20"/>
          <w:spacing w:val="-5"/>
          <w:sz w:val="24"/>
        </w:rPr>
        <w:t> </w:t>
      </w:r>
      <w:r>
        <w:rPr>
          <w:i/>
          <w:color w:val="231F20"/>
          <w:sz w:val="24"/>
        </w:rPr>
        <w:t>professionale</w:t>
      </w:r>
      <w:r>
        <w:rPr>
          <w:i/>
          <w:color w:val="231F20"/>
          <w:spacing w:val="-5"/>
          <w:sz w:val="24"/>
        </w:rPr>
        <w:t> </w:t>
      </w:r>
      <w:r>
        <w:rPr>
          <w:i/>
          <w:color w:val="231F20"/>
          <w:sz w:val="24"/>
        </w:rPr>
        <w:t>le</w:t>
      </w:r>
      <w:r>
        <w:rPr>
          <w:i/>
          <w:color w:val="231F20"/>
          <w:spacing w:val="-5"/>
          <w:sz w:val="24"/>
        </w:rPr>
        <w:t> </w:t>
      </w:r>
      <w:r>
        <w:rPr>
          <w:i/>
          <w:color w:val="231F20"/>
          <w:sz w:val="24"/>
        </w:rPr>
        <w:t>consulenze degli avvocati nell’ambito del diritto tributario</w:t>
      </w:r>
    </w:p>
    <w:p>
      <w:pPr>
        <w:pStyle w:val="BodyText"/>
        <w:spacing w:line="225" w:lineRule="auto" w:before="172"/>
        <w:ind w:left="100" w:right="174"/>
        <w:jc w:val="both"/>
      </w:pPr>
      <w:r>
        <w:rPr>
          <w:color w:val="231F20"/>
        </w:rPr>
        <w:t>Da</w:t>
      </w:r>
      <w:r>
        <w:rPr>
          <w:color w:val="231F20"/>
          <w:spacing w:val="-15"/>
        </w:rPr>
        <w:t> </w:t>
      </w:r>
      <w:r>
        <w:rPr>
          <w:color w:val="231F20"/>
        </w:rPr>
        <w:t>questa</w:t>
      </w:r>
      <w:r>
        <w:rPr>
          <w:color w:val="231F20"/>
          <w:spacing w:val="-15"/>
        </w:rPr>
        <w:t> </w:t>
      </w:r>
      <w:r>
        <w:rPr>
          <w:color w:val="231F20"/>
        </w:rPr>
        <w:t>prima</w:t>
      </w:r>
      <w:r>
        <w:rPr>
          <w:color w:val="231F20"/>
          <w:spacing w:val="-15"/>
        </w:rPr>
        <w:t> </w:t>
      </w:r>
      <w:r>
        <w:rPr>
          <w:color w:val="231F20"/>
        </w:rPr>
        <w:t>affermazione</w:t>
      </w:r>
      <w:r>
        <w:rPr>
          <w:color w:val="231F20"/>
          <w:spacing w:val="-15"/>
        </w:rPr>
        <w:t> </w:t>
      </w:r>
      <w:r>
        <w:rPr>
          <w:color w:val="231F20"/>
        </w:rPr>
        <w:t>di</w:t>
      </w:r>
      <w:r>
        <w:rPr>
          <w:color w:val="231F20"/>
          <w:spacing w:val="-15"/>
        </w:rPr>
        <w:t> </w:t>
      </w:r>
      <w:r>
        <w:rPr>
          <w:color w:val="231F20"/>
        </w:rPr>
        <w:t>principio</w:t>
      </w:r>
      <w:r>
        <w:rPr>
          <w:color w:val="231F20"/>
          <w:spacing w:val="-15"/>
        </w:rPr>
        <w:t> </w:t>
      </w:r>
      <w:r>
        <w:rPr>
          <w:color w:val="231F20"/>
        </w:rPr>
        <w:t>la</w:t>
      </w:r>
      <w:r>
        <w:rPr>
          <w:color w:val="231F20"/>
          <w:spacing w:val="-15"/>
        </w:rPr>
        <w:t> </w:t>
      </w:r>
      <w:r>
        <w:rPr>
          <w:color w:val="231F20"/>
        </w:rPr>
        <w:t>Corte</w:t>
      </w:r>
      <w:r>
        <w:rPr>
          <w:color w:val="231F20"/>
          <w:spacing w:val="-15"/>
        </w:rPr>
        <w:t> </w:t>
      </w:r>
      <w:r>
        <w:rPr>
          <w:color w:val="231F20"/>
        </w:rPr>
        <w:t>di</w:t>
      </w:r>
      <w:r>
        <w:rPr>
          <w:color w:val="231F20"/>
          <w:spacing w:val="-15"/>
        </w:rPr>
        <w:t> </w:t>
      </w:r>
      <w:r>
        <w:rPr>
          <w:color w:val="231F20"/>
        </w:rPr>
        <w:t>giustizia</w:t>
      </w:r>
      <w:r>
        <w:rPr>
          <w:color w:val="231F20"/>
          <w:spacing w:val="-15"/>
        </w:rPr>
        <w:t> </w:t>
      </w:r>
      <w:r>
        <w:rPr>
          <w:color w:val="231F20"/>
        </w:rPr>
        <w:t>è</w:t>
      </w:r>
      <w:r>
        <w:rPr>
          <w:color w:val="231F20"/>
          <w:spacing w:val="-15"/>
        </w:rPr>
        <w:t> </w:t>
      </w:r>
      <w:r>
        <w:rPr>
          <w:color w:val="231F20"/>
        </w:rPr>
        <w:t>poi</w:t>
      </w:r>
      <w:r>
        <w:rPr>
          <w:color w:val="231F20"/>
          <w:spacing w:val="-15"/>
        </w:rPr>
        <w:t> </w:t>
      </w:r>
      <w:r>
        <w:rPr>
          <w:color w:val="231F20"/>
        </w:rPr>
        <w:t>passata ad esaminare la compatibilità con l’art. 7 della Carta di una singolare nor- ma</w:t>
      </w:r>
      <w:r>
        <w:rPr>
          <w:color w:val="231F20"/>
          <w:spacing w:val="-12"/>
        </w:rPr>
        <w:t> </w:t>
      </w:r>
      <w:r>
        <w:rPr>
          <w:color w:val="231F20"/>
        </w:rPr>
        <w:t>legislativa</w:t>
      </w:r>
      <w:r>
        <w:rPr>
          <w:color w:val="231F20"/>
          <w:spacing w:val="-12"/>
        </w:rPr>
        <w:t> </w:t>
      </w:r>
      <w:r>
        <w:rPr>
          <w:color w:val="231F20"/>
        </w:rPr>
        <w:t>lussemburghese</w:t>
      </w:r>
      <w:r>
        <w:rPr>
          <w:color w:val="231F20"/>
          <w:spacing w:val="-12"/>
        </w:rPr>
        <w:t> </w:t>
      </w:r>
      <w:r>
        <w:rPr>
          <w:color w:val="231F20"/>
        </w:rPr>
        <w:t>che,</w:t>
      </w:r>
      <w:r>
        <w:rPr>
          <w:color w:val="231F20"/>
          <w:spacing w:val="-12"/>
        </w:rPr>
        <w:t> </w:t>
      </w:r>
      <w:r>
        <w:rPr>
          <w:color w:val="231F20"/>
        </w:rPr>
        <w:t>in</w:t>
      </w:r>
      <w:r>
        <w:rPr>
          <w:color w:val="231F20"/>
          <w:spacing w:val="-12"/>
        </w:rPr>
        <w:t> </w:t>
      </w:r>
      <w:r>
        <w:rPr>
          <w:color w:val="231F20"/>
        </w:rPr>
        <w:t>deroga</w:t>
      </w:r>
      <w:r>
        <w:rPr>
          <w:color w:val="231F20"/>
          <w:spacing w:val="-12"/>
        </w:rPr>
        <w:t> </w:t>
      </w:r>
      <w:r>
        <w:rPr>
          <w:color w:val="231F20"/>
        </w:rPr>
        <w:t>alla</w:t>
      </w:r>
      <w:r>
        <w:rPr>
          <w:color w:val="231F20"/>
          <w:spacing w:val="-12"/>
        </w:rPr>
        <w:t> </w:t>
      </w:r>
      <w:r>
        <w:rPr>
          <w:color w:val="231F20"/>
        </w:rPr>
        <w:t>regola</w:t>
      </w:r>
      <w:r>
        <w:rPr>
          <w:color w:val="231F20"/>
          <w:spacing w:val="-12"/>
        </w:rPr>
        <w:t> </w:t>
      </w:r>
      <w:r>
        <w:rPr>
          <w:color w:val="231F20"/>
        </w:rPr>
        <w:t>generale</w:t>
      </w:r>
      <w:r>
        <w:rPr>
          <w:color w:val="231F20"/>
          <w:spacing w:val="-12"/>
        </w:rPr>
        <w:t> </w:t>
      </w:r>
      <w:r>
        <w:rPr>
          <w:color w:val="231F20"/>
        </w:rPr>
        <w:t>del</w:t>
      </w:r>
      <w:r>
        <w:rPr>
          <w:color w:val="231F20"/>
          <w:spacing w:val="-12"/>
        </w:rPr>
        <w:t> </w:t>
      </w:r>
      <w:r>
        <w:rPr>
          <w:color w:val="231F20"/>
        </w:rPr>
        <w:t>segreto professionale,</w:t>
      </w:r>
      <w:r>
        <w:rPr>
          <w:color w:val="231F20"/>
          <w:spacing w:val="-6"/>
        </w:rPr>
        <w:t> </w:t>
      </w:r>
      <w:r>
        <w:rPr>
          <w:color w:val="231F20"/>
        </w:rPr>
        <w:t>imponeva,</w:t>
      </w:r>
      <w:r>
        <w:rPr>
          <w:color w:val="231F20"/>
          <w:spacing w:val="-6"/>
        </w:rPr>
        <w:t> </w:t>
      </w:r>
      <w:r>
        <w:rPr>
          <w:color w:val="231F20"/>
        </w:rPr>
        <w:t>a</w:t>
      </w:r>
      <w:r>
        <w:rPr>
          <w:color w:val="231F20"/>
          <w:spacing w:val="-6"/>
        </w:rPr>
        <w:t> </w:t>
      </w:r>
      <w:r>
        <w:rPr>
          <w:color w:val="231F20"/>
        </w:rPr>
        <w:t>pena</w:t>
      </w:r>
      <w:r>
        <w:rPr>
          <w:color w:val="231F20"/>
          <w:spacing w:val="-6"/>
        </w:rPr>
        <w:t> </w:t>
      </w:r>
      <w:r>
        <w:rPr>
          <w:color w:val="231F20"/>
        </w:rPr>
        <w:t>-</w:t>
      </w:r>
      <w:r>
        <w:rPr>
          <w:color w:val="231F20"/>
          <w:spacing w:val="-6"/>
        </w:rPr>
        <w:t> </w:t>
      </w:r>
      <w:r>
        <w:rPr>
          <w:color w:val="231F20"/>
        </w:rPr>
        <w:t>come</w:t>
      </w:r>
      <w:r>
        <w:rPr>
          <w:color w:val="231F20"/>
          <w:spacing w:val="-6"/>
        </w:rPr>
        <w:t> </w:t>
      </w:r>
      <w:r>
        <w:rPr>
          <w:color w:val="231F20"/>
        </w:rPr>
        <w:t>nel</w:t>
      </w:r>
      <w:r>
        <w:rPr>
          <w:color w:val="231F20"/>
          <w:spacing w:val="-6"/>
        </w:rPr>
        <w:t> </w:t>
      </w:r>
      <w:r>
        <w:rPr>
          <w:color w:val="231F20"/>
        </w:rPr>
        <w:t>caso</w:t>
      </w:r>
      <w:r>
        <w:rPr>
          <w:color w:val="231F20"/>
          <w:spacing w:val="-6"/>
        </w:rPr>
        <w:t> </w:t>
      </w:r>
      <w:r>
        <w:rPr>
          <w:color w:val="231F20"/>
        </w:rPr>
        <w:t>di</w:t>
      </w:r>
      <w:r>
        <w:rPr>
          <w:color w:val="231F20"/>
          <w:spacing w:val="-6"/>
        </w:rPr>
        <w:t> </w:t>
      </w:r>
      <w:r>
        <w:rPr>
          <w:color w:val="231F20"/>
        </w:rPr>
        <w:t>specie</w:t>
      </w:r>
      <w:r>
        <w:rPr>
          <w:color w:val="231F20"/>
          <w:spacing w:val="-6"/>
        </w:rPr>
        <w:t> </w:t>
      </w:r>
      <w:r>
        <w:rPr>
          <w:color w:val="231F20"/>
        </w:rPr>
        <w:t>-</w:t>
      </w:r>
      <w:r>
        <w:rPr>
          <w:color w:val="231F20"/>
          <w:spacing w:val="-6"/>
        </w:rPr>
        <w:t> </w:t>
      </w:r>
      <w:r>
        <w:rPr>
          <w:color w:val="231F20"/>
        </w:rPr>
        <w:t>di</w:t>
      </w:r>
      <w:r>
        <w:rPr>
          <w:color w:val="231F20"/>
          <w:spacing w:val="-6"/>
        </w:rPr>
        <w:t> </w:t>
      </w:r>
      <w:r>
        <w:rPr>
          <w:color w:val="231F20"/>
        </w:rPr>
        <w:t>sanzioni</w:t>
      </w:r>
      <w:r>
        <w:rPr>
          <w:color w:val="231F20"/>
          <w:spacing w:val="-6"/>
        </w:rPr>
        <w:t> </w:t>
      </w:r>
      <w:r>
        <w:rPr>
          <w:color w:val="231F20"/>
        </w:rPr>
        <w:t>am- ministrative</w:t>
      </w:r>
      <w:r>
        <w:rPr>
          <w:color w:val="231F20"/>
          <w:spacing w:val="-15"/>
        </w:rPr>
        <w:t> </w:t>
      </w:r>
      <w:r>
        <w:rPr>
          <w:color w:val="231F20"/>
        </w:rPr>
        <w:t>pecuniarie,</w:t>
      </w:r>
      <w:r>
        <w:rPr>
          <w:color w:val="231F20"/>
          <w:spacing w:val="-15"/>
        </w:rPr>
        <w:t> </w:t>
      </w:r>
      <w:r>
        <w:rPr>
          <w:color w:val="231F20"/>
        </w:rPr>
        <w:t>agli</w:t>
      </w:r>
      <w:r>
        <w:rPr>
          <w:color w:val="231F20"/>
          <w:spacing w:val="-15"/>
        </w:rPr>
        <w:t> </w:t>
      </w:r>
      <w:r>
        <w:rPr>
          <w:color w:val="231F20"/>
        </w:rPr>
        <w:t>avvocati</w:t>
      </w:r>
      <w:r>
        <w:rPr>
          <w:color w:val="231F20"/>
          <w:spacing w:val="-15"/>
        </w:rPr>
        <w:t> </w:t>
      </w:r>
      <w:r>
        <w:rPr>
          <w:color w:val="231F20"/>
        </w:rPr>
        <w:t>stabiliti</w:t>
      </w:r>
      <w:r>
        <w:rPr>
          <w:color w:val="231F20"/>
          <w:spacing w:val="-15"/>
        </w:rPr>
        <w:t> </w:t>
      </w:r>
      <w:r>
        <w:rPr>
          <w:color w:val="231F20"/>
        </w:rPr>
        <w:t>nel</w:t>
      </w:r>
      <w:r>
        <w:rPr>
          <w:color w:val="231F20"/>
          <w:spacing w:val="-15"/>
        </w:rPr>
        <w:t> </w:t>
      </w:r>
      <w:r>
        <w:rPr>
          <w:color w:val="231F20"/>
        </w:rPr>
        <w:t>Granducato</w:t>
      </w:r>
      <w:r>
        <w:rPr>
          <w:color w:val="231F20"/>
          <w:spacing w:val="-15"/>
        </w:rPr>
        <w:t> </w:t>
      </w:r>
      <w:r>
        <w:rPr>
          <w:color w:val="231F20"/>
        </w:rPr>
        <w:t>di</w:t>
      </w:r>
      <w:r>
        <w:rPr>
          <w:color w:val="231F20"/>
          <w:spacing w:val="-15"/>
        </w:rPr>
        <w:t> </w:t>
      </w:r>
      <w:r>
        <w:rPr>
          <w:color w:val="231F20"/>
        </w:rPr>
        <w:t>trasmettere all’amministrazione</w:t>
      </w:r>
      <w:r>
        <w:rPr>
          <w:color w:val="231F20"/>
          <w:spacing w:val="-14"/>
        </w:rPr>
        <w:t> </w:t>
      </w:r>
      <w:r>
        <w:rPr>
          <w:color w:val="231F20"/>
        </w:rPr>
        <w:t>qualsiasi</w:t>
      </w:r>
      <w:r>
        <w:rPr>
          <w:color w:val="231F20"/>
          <w:spacing w:val="-14"/>
        </w:rPr>
        <w:t> </w:t>
      </w:r>
      <w:r>
        <w:rPr>
          <w:color w:val="231F20"/>
        </w:rPr>
        <w:t>informazione</w:t>
      </w:r>
      <w:r>
        <w:rPr>
          <w:color w:val="231F20"/>
          <w:spacing w:val="-14"/>
        </w:rPr>
        <w:t> </w:t>
      </w:r>
      <w:r>
        <w:rPr>
          <w:color w:val="231F20"/>
        </w:rPr>
        <w:t>richiesta</w:t>
      </w:r>
      <w:r>
        <w:rPr>
          <w:color w:val="231F20"/>
          <w:spacing w:val="-14"/>
        </w:rPr>
        <w:t> </w:t>
      </w:r>
      <w:r>
        <w:rPr>
          <w:color w:val="231F20"/>
        </w:rPr>
        <w:t>da</w:t>
      </w:r>
      <w:r>
        <w:rPr>
          <w:color w:val="231F20"/>
          <w:spacing w:val="-14"/>
        </w:rPr>
        <w:t> </w:t>
      </w:r>
      <w:r>
        <w:rPr>
          <w:color w:val="231F20"/>
        </w:rPr>
        <w:t>quest’ultima</w:t>
      </w:r>
      <w:r>
        <w:rPr>
          <w:color w:val="231F20"/>
          <w:spacing w:val="-14"/>
        </w:rPr>
        <w:t> </w:t>
      </w:r>
      <w:r>
        <w:rPr>
          <w:color w:val="231F20"/>
        </w:rPr>
        <w:t>in</w:t>
      </w:r>
      <w:r>
        <w:rPr>
          <w:color w:val="231F20"/>
          <w:spacing w:val="-14"/>
        </w:rPr>
        <w:t> </w:t>
      </w:r>
      <w:r>
        <w:rPr>
          <w:color w:val="231F20"/>
        </w:rPr>
        <w:t>ma- teria</w:t>
      </w:r>
      <w:r>
        <w:rPr>
          <w:color w:val="231F20"/>
          <w:spacing w:val="-4"/>
        </w:rPr>
        <w:t> </w:t>
      </w:r>
      <w:r>
        <w:rPr>
          <w:color w:val="231F20"/>
        </w:rPr>
        <w:t>fiscale.</w:t>
      </w:r>
      <w:r>
        <w:rPr>
          <w:color w:val="231F20"/>
          <w:spacing w:val="-4"/>
        </w:rPr>
        <w:t> </w:t>
      </w:r>
      <w:r>
        <w:rPr>
          <w:color w:val="231F20"/>
        </w:rPr>
        <w:t>A</w:t>
      </w:r>
      <w:r>
        <w:rPr>
          <w:color w:val="231F20"/>
          <w:spacing w:val="-4"/>
        </w:rPr>
        <w:t> </w:t>
      </w:r>
      <w:r>
        <w:rPr>
          <w:color w:val="231F20"/>
        </w:rPr>
        <w:t>questo</w:t>
      </w:r>
      <w:r>
        <w:rPr>
          <w:color w:val="231F20"/>
          <w:spacing w:val="-4"/>
        </w:rPr>
        <w:t> </w:t>
      </w:r>
      <w:r>
        <w:rPr>
          <w:color w:val="231F20"/>
        </w:rPr>
        <w:t>proposito,</w:t>
      </w:r>
      <w:r>
        <w:rPr>
          <w:color w:val="231F20"/>
          <w:spacing w:val="-4"/>
        </w:rPr>
        <w:t> </w:t>
      </w:r>
      <w:r>
        <w:rPr>
          <w:color w:val="231F20"/>
        </w:rPr>
        <w:t>i</w:t>
      </w:r>
      <w:r>
        <w:rPr>
          <w:color w:val="231F20"/>
          <w:spacing w:val="-4"/>
        </w:rPr>
        <w:t> </w:t>
      </w:r>
      <w:r>
        <w:rPr>
          <w:color w:val="231F20"/>
        </w:rPr>
        <w:t>giudici</w:t>
      </w:r>
      <w:r>
        <w:rPr>
          <w:color w:val="231F20"/>
          <w:spacing w:val="-4"/>
        </w:rPr>
        <w:t> </w:t>
      </w:r>
      <w:r>
        <w:rPr>
          <w:color w:val="231F20"/>
        </w:rPr>
        <w:t>dell’Unione</w:t>
      </w:r>
      <w:r>
        <w:rPr>
          <w:color w:val="231F20"/>
          <w:spacing w:val="-4"/>
        </w:rPr>
        <w:t> </w:t>
      </w:r>
      <w:r>
        <w:rPr>
          <w:color w:val="231F20"/>
        </w:rPr>
        <w:t>hanno</w:t>
      </w:r>
      <w:r>
        <w:rPr>
          <w:color w:val="231F20"/>
          <w:spacing w:val="-4"/>
        </w:rPr>
        <w:t> </w:t>
      </w:r>
      <w:r>
        <w:rPr>
          <w:color w:val="231F20"/>
        </w:rPr>
        <w:t>ricordato</w:t>
      </w:r>
      <w:r>
        <w:rPr>
          <w:color w:val="231F20"/>
          <w:spacing w:val="-4"/>
        </w:rPr>
        <w:t> </w:t>
      </w:r>
      <w:r>
        <w:rPr>
          <w:color w:val="231F20"/>
        </w:rPr>
        <w:t>che la</w:t>
      </w:r>
      <w:r>
        <w:rPr>
          <w:color w:val="231F20"/>
          <w:spacing w:val="-6"/>
        </w:rPr>
        <w:t> </w:t>
      </w:r>
      <w:r>
        <w:rPr>
          <w:color w:val="231F20"/>
        </w:rPr>
        <w:t>tutela</w:t>
      </w:r>
      <w:r>
        <w:rPr>
          <w:color w:val="231F20"/>
          <w:spacing w:val="-6"/>
        </w:rPr>
        <w:t> </w:t>
      </w:r>
      <w:r>
        <w:rPr>
          <w:color w:val="231F20"/>
        </w:rPr>
        <w:t>rafforzata</w:t>
      </w:r>
      <w:r>
        <w:rPr>
          <w:color w:val="231F20"/>
          <w:spacing w:val="-6"/>
        </w:rPr>
        <w:t> </w:t>
      </w:r>
      <w:r>
        <w:rPr>
          <w:color w:val="231F20"/>
        </w:rPr>
        <w:t>delle</w:t>
      </w:r>
      <w:r>
        <w:rPr>
          <w:color w:val="231F20"/>
          <w:spacing w:val="-6"/>
        </w:rPr>
        <w:t> </w:t>
      </w:r>
      <w:r>
        <w:rPr>
          <w:color w:val="231F20"/>
        </w:rPr>
        <w:t>comunicazioni</w:t>
      </w:r>
      <w:r>
        <w:rPr>
          <w:color w:val="231F20"/>
          <w:spacing w:val="-6"/>
        </w:rPr>
        <w:t> </w:t>
      </w:r>
      <w:r>
        <w:rPr>
          <w:color w:val="231F20"/>
        </w:rPr>
        <w:t>tra</w:t>
      </w:r>
      <w:r>
        <w:rPr>
          <w:color w:val="231F20"/>
          <w:spacing w:val="-6"/>
        </w:rPr>
        <w:t> </w:t>
      </w:r>
      <w:r>
        <w:rPr>
          <w:color w:val="231F20"/>
        </w:rPr>
        <w:t>un</w:t>
      </w:r>
      <w:r>
        <w:rPr>
          <w:color w:val="231F20"/>
          <w:spacing w:val="-6"/>
        </w:rPr>
        <w:t> </w:t>
      </w:r>
      <w:r>
        <w:rPr>
          <w:color w:val="231F20"/>
        </w:rPr>
        <w:t>avvocato</w:t>
      </w:r>
      <w:r>
        <w:rPr>
          <w:color w:val="231F20"/>
          <w:spacing w:val="-6"/>
        </w:rPr>
        <w:t> </w:t>
      </w:r>
      <w:r>
        <w:rPr>
          <w:color w:val="231F20"/>
        </w:rPr>
        <w:t>e</w:t>
      </w:r>
      <w:r>
        <w:rPr>
          <w:color w:val="231F20"/>
          <w:spacing w:val="-6"/>
        </w:rPr>
        <w:t> </w:t>
      </w:r>
      <w:r>
        <w:rPr>
          <w:color w:val="231F20"/>
        </w:rPr>
        <w:t>il</w:t>
      </w:r>
      <w:r>
        <w:rPr>
          <w:color w:val="231F20"/>
          <w:spacing w:val="-6"/>
        </w:rPr>
        <w:t> </w:t>
      </w:r>
      <w:r>
        <w:rPr>
          <w:color w:val="231F20"/>
        </w:rPr>
        <w:t>proprio</w:t>
      </w:r>
      <w:r>
        <w:rPr>
          <w:color w:val="231F20"/>
          <w:spacing w:val="-6"/>
        </w:rPr>
        <w:t> </w:t>
      </w:r>
      <w:r>
        <w:rPr>
          <w:color w:val="231F20"/>
        </w:rPr>
        <w:t>cliente, </w:t>
      </w:r>
      <w:r>
        <w:rPr>
          <w:color w:val="231F20"/>
          <w:spacing w:val="-2"/>
        </w:rPr>
        <w:t>garantita</w:t>
      </w:r>
      <w:r>
        <w:rPr>
          <w:color w:val="231F20"/>
          <w:spacing w:val="-5"/>
        </w:rPr>
        <w:t> </w:t>
      </w:r>
      <w:r>
        <w:rPr>
          <w:color w:val="231F20"/>
          <w:spacing w:val="-2"/>
        </w:rPr>
        <w:t>dall’art.</w:t>
      </w:r>
      <w:r>
        <w:rPr>
          <w:color w:val="231F20"/>
          <w:spacing w:val="-5"/>
        </w:rPr>
        <w:t> </w:t>
      </w:r>
      <w:r>
        <w:rPr>
          <w:color w:val="231F20"/>
          <w:spacing w:val="-2"/>
        </w:rPr>
        <w:t>7</w:t>
      </w:r>
      <w:r>
        <w:rPr>
          <w:color w:val="231F20"/>
          <w:spacing w:val="-5"/>
        </w:rPr>
        <w:t> </w:t>
      </w:r>
      <w:r>
        <w:rPr>
          <w:color w:val="231F20"/>
          <w:spacing w:val="-2"/>
        </w:rPr>
        <w:t>della</w:t>
      </w:r>
      <w:r>
        <w:rPr>
          <w:color w:val="231F20"/>
          <w:spacing w:val="-5"/>
        </w:rPr>
        <w:t> </w:t>
      </w:r>
      <w:r>
        <w:rPr>
          <w:color w:val="231F20"/>
          <w:spacing w:val="-2"/>
        </w:rPr>
        <w:t>Carta,</w:t>
      </w:r>
      <w:r>
        <w:rPr>
          <w:color w:val="231F20"/>
          <w:spacing w:val="-5"/>
        </w:rPr>
        <w:t> </w:t>
      </w:r>
      <w:r>
        <w:rPr>
          <w:color w:val="231F20"/>
          <w:spacing w:val="-2"/>
        </w:rPr>
        <w:t>si</w:t>
      </w:r>
      <w:r>
        <w:rPr>
          <w:color w:val="231F20"/>
          <w:spacing w:val="-5"/>
        </w:rPr>
        <w:t> </w:t>
      </w:r>
      <w:r>
        <w:rPr>
          <w:color w:val="231F20"/>
          <w:spacing w:val="-2"/>
        </w:rPr>
        <w:t>applica</w:t>
      </w:r>
      <w:r>
        <w:rPr>
          <w:color w:val="231F20"/>
          <w:spacing w:val="-5"/>
        </w:rPr>
        <w:t> </w:t>
      </w:r>
      <w:r>
        <w:rPr>
          <w:color w:val="231F20"/>
          <w:spacing w:val="-2"/>
        </w:rPr>
        <w:t>indipendentemente</w:t>
      </w:r>
      <w:r>
        <w:rPr>
          <w:color w:val="231F20"/>
          <w:spacing w:val="-5"/>
        </w:rPr>
        <w:t> </w:t>
      </w:r>
      <w:r>
        <w:rPr>
          <w:color w:val="231F20"/>
          <w:spacing w:val="-2"/>
        </w:rPr>
        <w:t>dal</w:t>
      </w:r>
      <w:r>
        <w:rPr>
          <w:color w:val="231F20"/>
          <w:spacing w:val="-5"/>
        </w:rPr>
        <w:t> </w:t>
      </w:r>
      <w:r>
        <w:rPr>
          <w:color w:val="231F20"/>
          <w:spacing w:val="-2"/>
        </w:rPr>
        <w:t>settore</w:t>
      </w:r>
      <w:r>
        <w:rPr>
          <w:color w:val="231F20"/>
          <w:spacing w:val="-5"/>
        </w:rPr>
        <w:t> </w:t>
      </w:r>
      <w:r>
        <w:rPr>
          <w:color w:val="231F20"/>
          <w:spacing w:val="-2"/>
        </w:rPr>
        <w:t>del </w:t>
      </w:r>
      <w:r>
        <w:rPr>
          <w:color w:val="231F20"/>
        </w:rPr>
        <w:t>diritto nel quale la consulenza o la difesa in giudizio sono prestate dall’av- vocato</w:t>
      </w:r>
      <w:r>
        <w:rPr>
          <w:color w:val="231F20"/>
          <w:spacing w:val="-2"/>
        </w:rPr>
        <w:t> </w:t>
      </w:r>
      <w:r>
        <w:rPr>
          <w:color w:val="231F20"/>
        </w:rPr>
        <w:t>al</w:t>
      </w:r>
      <w:r>
        <w:rPr>
          <w:color w:val="231F20"/>
          <w:spacing w:val="-2"/>
        </w:rPr>
        <w:t> </w:t>
      </w:r>
      <w:r>
        <w:rPr>
          <w:color w:val="231F20"/>
        </w:rPr>
        <w:t>proprio</w:t>
      </w:r>
      <w:r>
        <w:rPr>
          <w:color w:val="231F20"/>
          <w:spacing w:val="-2"/>
        </w:rPr>
        <w:t> </w:t>
      </w:r>
      <w:r>
        <w:rPr>
          <w:color w:val="231F20"/>
        </w:rPr>
        <w:t>cliente</w:t>
      </w:r>
      <w:r>
        <w:rPr>
          <w:color w:val="231F20"/>
          <w:spacing w:val="-2"/>
        </w:rPr>
        <w:t> </w:t>
      </w:r>
      <w:r>
        <w:rPr>
          <w:color w:val="231F20"/>
        </w:rPr>
        <w:t>e</w:t>
      </w:r>
      <w:r>
        <w:rPr>
          <w:color w:val="231F20"/>
          <w:spacing w:val="-2"/>
        </w:rPr>
        <w:t> </w:t>
      </w:r>
      <w:r>
        <w:rPr>
          <w:color w:val="231F20"/>
        </w:rPr>
        <w:t>pertanto</w:t>
      </w:r>
      <w:r>
        <w:rPr>
          <w:color w:val="231F20"/>
          <w:spacing w:val="-2"/>
        </w:rPr>
        <w:t> </w:t>
      </w:r>
      <w:r>
        <w:rPr>
          <w:color w:val="231F20"/>
        </w:rPr>
        <w:t>tale</w:t>
      </w:r>
      <w:r>
        <w:rPr>
          <w:color w:val="231F20"/>
          <w:spacing w:val="-2"/>
        </w:rPr>
        <w:t> </w:t>
      </w:r>
      <w:r>
        <w:rPr>
          <w:color w:val="231F20"/>
        </w:rPr>
        <w:t>tutela</w:t>
      </w:r>
      <w:r>
        <w:rPr>
          <w:color w:val="231F20"/>
          <w:spacing w:val="-2"/>
        </w:rPr>
        <w:t> </w:t>
      </w:r>
      <w:r>
        <w:rPr>
          <w:color w:val="231F20"/>
        </w:rPr>
        <w:t>rafforzata</w:t>
      </w:r>
      <w:r>
        <w:rPr>
          <w:color w:val="231F20"/>
          <w:spacing w:val="-2"/>
        </w:rPr>
        <w:t> </w:t>
      </w:r>
      <w:r>
        <w:rPr>
          <w:color w:val="231F20"/>
        </w:rPr>
        <w:t>comprende</w:t>
      </w:r>
      <w:r>
        <w:rPr>
          <w:color w:val="231F20"/>
          <w:spacing w:val="-2"/>
        </w:rPr>
        <w:t> </w:t>
      </w:r>
      <w:r>
        <w:rPr>
          <w:color w:val="231F20"/>
        </w:rPr>
        <w:t>anche il settore del diritto tributario. Da tale principio la Corte ha tratto la con- clusione</w:t>
      </w:r>
      <w:r>
        <w:rPr>
          <w:color w:val="231F20"/>
          <w:spacing w:val="-12"/>
        </w:rPr>
        <w:t> </w:t>
      </w:r>
      <w:r>
        <w:rPr>
          <w:color w:val="231F20"/>
        </w:rPr>
        <w:t>che</w:t>
      </w:r>
      <w:r>
        <w:rPr>
          <w:color w:val="231F20"/>
          <w:spacing w:val="-12"/>
        </w:rPr>
        <w:t> </w:t>
      </w:r>
      <w:r>
        <w:rPr>
          <w:color w:val="231F20"/>
        </w:rPr>
        <w:t>la</w:t>
      </w:r>
      <w:r>
        <w:rPr>
          <w:color w:val="231F20"/>
          <w:spacing w:val="-12"/>
        </w:rPr>
        <w:t> </w:t>
      </w:r>
      <w:r>
        <w:rPr>
          <w:color w:val="231F20"/>
        </w:rPr>
        <w:t>norma</w:t>
      </w:r>
      <w:r>
        <w:rPr>
          <w:color w:val="231F20"/>
          <w:spacing w:val="-12"/>
        </w:rPr>
        <w:t> </w:t>
      </w:r>
      <w:r>
        <w:rPr>
          <w:color w:val="231F20"/>
        </w:rPr>
        <w:t>legislativa</w:t>
      </w:r>
      <w:r>
        <w:rPr>
          <w:color w:val="231F20"/>
          <w:spacing w:val="-12"/>
        </w:rPr>
        <w:t> </w:t>
      </w:r>
      <w:r>
        <w:rPr>
          <w:color w:val="231F20"/>
        </w:rPr>
        <w:t>lussemburghese,</w:t>
      </w:r>
      <w:r>
        <w:rPr>
          <w:color w:val="231F20"/>
          <w:spacing w:val="-12"/>
        </w:rPr>
        <w:t> </w:t>
      </w:r>
      <w:r>
        <w:rPr>
          <w:color w:val="231F20"/>
        </w:rPr>
        <w:t>sottraendo</w:t>
      </w:r>
      <w:r>
        <w:rPr>
          <w:color w:val="231F20"/>
          <w:spacing w:val="-12"/>
        </w:rPr>
        <w:t> </w:t>
      </w:r>
      <w:r>
        <w:rPr>
          <w:color w:val="231F20"/>
        </w:rPr>
        <w:t>integralmente alla</w:t>
      </w:r>
      <w:r>
        <w:rPr>
          <w:color w:val="231F20"/>
          <w:spacing w:val="-8"/>
        </w:rPr>
        <w:t> </w:t>
      </w:r>
      <w:r>
        <w:rPr>
          <w:color w:val="231F20"/>
        </w:rPr>
        <w:t>tutela</w:t>
      </w:r>
      <w:r>
        <w:rPr>
          <w:color w:val="231F20"/>
          <w:spacing w:val="-8"/>
        </w:rPr>
        <w:t> </w:t>
      </w:r>
      <w:r>
        <w:rPr>
          <w:color w:val="231F20"/>
        </w:rPr>
        <w:t>rafforzata</w:t>
      </w:r>
      <w:r>
        <w:rPr>
          <w:color w:val="231F20"/>
          <w:spacing w:val="-7"/>
        </w:rPr>
        <w:t> </w:t>
      </w:r>
      <w:r>
        <w:rPr>
          <w:color w:val="231F20"/>
        </w:rPr>
        <w:t>derivante</w:t>
      </w:r>
      <w:r>
        <w:rPr>
          <w:color w:val="231F20"/>
          <w:spacing w:val="-8"/>
        </w:rPr>
        <w:t> </w:t>
      </w:r>
      <w:r>
        <w:rPr>
          <w:color w:val="231F20"/>
        </w:rPr>
        <w:t>dall’art.</w:t>
      </w:r>
      <w:r>
        <w:rPr>
          <w:color w:val="231F20"/>
          <w:spacing w:val="-7"/>
        </w:rPr>
        <w:t> </w:t>
      </w:r>
      <w:r>
        <w:rPr>
          <w:color w:val="231F20"/>
        </w:rPr>
        <w:t>7</w:t>
      </w:r>
      <w:r>
        <w:rPr>
          <w:color w:val="231F20"/>
          <w:spacing w:val="-8"/>
        </w:rPr>
        <w:t> </w:t>
      </w:r>
      <w:r>
        <w:rPr>
          <w:color w:val="231F20"/>
        </w:rPr>
        <w:t>della</w:t>
      </w:r>
      <w:r>
        <w:rPr>
          <w:color w:val="231F20"/>
          <w:spacing w:val="-7"/>
        </w:rPr>
        <w:t> </w:t>
      </w:r>
      <w:r>
        <w:rPr>
          <w:color w:val="231F20"/>
        </w:rPr>
        <w:t>Carta</w:t>
      </w:r>
      <w:r>
        <w:rPr>
          <w:color w:val="231F20"/>
          <w:spacing w:val="-8"/>
        </w:rPr>
        <w:t> </w:t>
      </w:r>
      <w:r>
        <w:rPr>
          <w:color w:val="231F20"/>
        </w:rPr>
        <w:t>al</w:t>
      </w:r>
      <w:r>
        <w:rPr>
          <w:color w:val="231F20"/>
          <w:spacing w:val="-7"/>
        </w:rPr>
        <w:t> </w:t>
      </w:r>
      <w:r>
        <w:rPr>
          <w:color w:val="231F20"/>
        </w:rPr>
        <w:t>segreto</w:t>
      </w:r>
      <w:r>
        <w:rPr>
          <w:color w:val="231F20"/>
          <w:spacing w:val="-8"/>
        </w:rPr>
        <w:t> </w:t>
      </w:r>
      <w:r>
        <w:rPr>
          <w:color w:val="231F20"/>
          <w:spacing w:val="-2"/>
        </w:rPr>
        <w:t>professionale</w:t>
      </w:r>
    </w:p>
    <w:p>
      <w:pPr>
        <w:pStyle w:val="BodyText"/>
        <w:spacing w:before="41"/>
        <w:rPr>
          <w:sz w:val="20"/>
        </w:rPr>
      </w:pPr>
      <w:r>
        <w:rPr/>
        <mc:AlternateContent>
          <mc:Choice Requires="wps">
            <w:drawing>
              <wp:anchor distT="0" distB="0" distL="0" distR="0" allowOverlap="1" layoutInCell="1" locked="0" behindDoc="1" simplePos="0" relativeHeight="487644160">
                <wp:simplePos x="0" y="0"/>
                <wp:positionH relativeFrom="page">
                  <wp:posOffset>864000</wp:posOffset>
                </wp:positionH>
                <wp:positionV relativeFrom="paragraph">
                  <wp:posOffset>203276</wp:posOffset>
                </wp:positionV>
                <wp:extent cx="792480" cy="1270"/>
                <wp:effectExtent l="0" t="0" r="0" b="0"/>
                <wp:wrapTopAndBottom/>
                <wp:docPr id="181" name="Graphic 181"/>
                <wp:cNvGraphicFramePr>
                  <a:graphicFrameLocks/>
                </wp:cNvGraphicFramePr>
                <a:graphic>
                  <a:graphicData uri="http://schemas.microsoft.com/office/word/2010/wordprocessingShape">
                    <wps:wsp>
                      <wps:cNvPr id="181" name="Graphic 181"/>
                      <wps:cNvSpPr/>
                      <wps:spPr>
                        <a:xfrm>
                          <a:off x="0" y="0"/>
                          <a:ext cx="792480" cy="1270"/>
                        </a:xfrm>
                        <a:custGeom>
                          <a:avLst/>
                          <a:gdLst/>
                          <a:ahLst/>
                          <a:cxnLst/>
                          <a:rect l="l" t="t" r="r" b="b"/>
                          <a:pathLst>
                            <a:path w="792480" h="0">
                              <a:moveTo>
                                <a:pt x="0" y="0"/>
                              </a:moveTo>
                              <a:lnTo>
                                <a:pt x="791997"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shape style="position:absolute;margin-left:68.031502pt;margin-top:16.00602pt;width:62.4pt;height:.1pt;mso-position-horizontal-relative:page;mso-position-vertical-relative:paragraph;z-index:-15672320;mso-wrap-distance-left:0;mso-wrap-distance-right:0" id="docshape150" coordorigin="1361,320" coordsize="1248,0" path="m1361,320l2608,320e" filled="false" stroked="true" strokeweight=".5pt" strokecolor="#231f20">
                <v:path arrowok="t"/>
                <v:stroke dashstyle="solid"/>
                <w10:wrap type="topAndBottom"/>
              </v:shape>
            </w:pict>
          </mc:Fallback>
        </mc:AlternateContent>
      </w:r>
    </w:p>
    <w:p>
      <w:pPr>
        <w:spacing w:before="190"/>
        <w:ind w:left="100" w:right="0" w:firstLine="0"/>
        <w:jc w:val="left"/>
        <w:rPr>
          <w:sz w:val="19"/>
        </w:rPr>
      </w:pPr>
      <w:r>
        <w:rPr>
          <w:color w:val="231F20"/>
          <w:position w:val="6"/>
          <w:sz w:val="11"/>
        </w:rPr>
        <w:t>130</w:t>
      </w:r>
      <w:r>
        <w:rPr>
          <w:color w:val="231F20"/>
          <w:spacing w:val="79"/>
          <w:position w:val="6"/>
          <w:sz w:val="11"/>
        </w:rPr>
        <w:t> </w:t>
      </w:r>
      <w:r>
        <w:rPr>
          <w:color w:val="231F20"/>
          <w:sz w:val="19"/>
        </w:rPr>
        <w:t>Corte Giust. UE,</w:t>
      </w:r>
      <w:r>
        <w:rPr>
          <w:color w:val="231F20"/>
          <w:spacing w:val="-1"/>
          <w:sz w:val="19"/>
        </w:rPr>
        <w:t> </w:t>
      </w:r>
      <w:r>
        <w:rPr>
          <w:color w:val="231F20"/>
          <w:sz w:val="19"/>
        </w:rPr>
        <w:t>C-432/23, ult. cit., punti 50-</w:t>
      </w:r>
      <w:r>
        <w:rPr>
          <w:color w:val="231F20"/>
          <w:spacing w:val="-5"/>
          <w:sz w:val="19"/>
        </w:rPr>
        <w:t>52.</w:t>
      </w:r>
    </w:p>
    <w:p>
      <w:pPr>
        <w:spacing w:after="0"/>
        <w:jc w:val="left"/>
        <w:rPr>
          <w:sz w:val="19"/>
        </w:rPr>
        <w:sectPr>
          <w:pgSz w:w="9640" w:h="13610"/>
          <w:pgMar w:header="0" w:footer="625" w:top="1260" w:bottom="820" w:left="1260" w:right="1240"/>
        </w:sectPr>
      </w:pPr>
    </w:p>
    <w:p>
      <w:pPr>
        <w:pStyle w:val="BodyText"/>
        <w:spacing w:line="225" w:lineRule="auto" w:before="117"/>
        <w:ind w:left="157" w:right="117"/>
        <w:jc w:val="both"/>
      </w:pPr>
      <w:r>
        <w:rPr/>
        <mc:AlternateContent>
          <mc:Choice Requires="wps">
            <w:drawing>
              <wp:anchor distT="0" distB="0" distL="0" distR="0" allowOverlap="1" layoutInCell="1" locked="0" behindDoc="0" simplePos="0" relativeHeight="15785984">
                <wp:simplePos x="0" y="0"/>
                <wp:positionH relativeFrom="page">
                  <wp:posOffset>5608609</wp:posOffset>
                </wp:positionH>
                <wp:positionV relativeFrom="page">
                  <wp:posOffset>2376001</wp:posOffset>
                </wp:positionV>
                <wp:extent cx="511809" cy="2412365"/>
                <wp:effectExtent l="0" t="0" r="0" b="0"/>
                <wp:wrapNone/>
                <wp:docPr id="182" name="Group 182"/>
                <wp:cNvGraphicFramePr>
                  <a:graphicFrameLocks/>
                </wp:cNvGraphicFramePr>
                <a:graphic>
                  <a:graphicData uri="http://schemas.microsoft.com/office/word/2010/wordprocessingGroup">
                    <wpg:wgp>
                      <wpg:cNvPr id="182" name="Group 182"/>
                      <wpg:cNvGrpSpPr/>
                      <wpg:grpSpPr>
                        <a:xfrm>
                          <a:off x="0" y="0"/>
                          <a:ext cx="511809" cy="2412365"/>
                          <a:chExt cx="511809" cy="2412365"/>
                        </a:xfrm>
                      </wpg:grpSpPr>
                      <wps:wsp>
                        <wps:cNvPr id="183" name="Graphic 183"/>
                        <wps:cNvSpPr/>
                        <wps:spPr>
                          <a:xfrm>
                            <a:off x="7393" y="3"/>
                            <a:ext cx="504190" cy="360045"/>
                          </a:xfrm>
                          <a:custGeom>
                            <a:avLst/>
                            <a:gdLst/>
                            <a:ahLst/>
                            <a:cxnLst/>
                            <a:rect l="l" t="t" r="r" b="b"/>
                            <a:pathLst>
                              <a:path w="504190" h="360045">
                                <a:moveTo>
                                  <a:pt x="503999" y="0"/>
                                </a:moveTo>
                                <a:lnTo>
                                  <a:pt x="0" y="0"/>
                                </a:lnTo>
                                <a:lnTo>
                                  <a:pt x="0" y="359994"/>
                                </a:lnTo>
                                <a:lnTo>
                                  <a:pt x="503999" y="359994"/>
                                </a:lnTo>
                                <a:lnTo>
                                  <a:pt x="503999" y="0"/>
                                </a:lnTo>
                                <a:close/>
                              </a:path>
                            </a:pathLst>
                          </a:custGeom>
                          <a:solidFill>
                            <a:srgbClr val="939598"/>
                          </a:solidFill>
                        </wps:spPr>
                        <wps:bodyPr wrap="square" lIns="0" tIns="0" rIns="0" bIns="0" rtlCol="0">
                          <a:prstTxWarp prst="textNoShape">
                            <a:avLst/>
                          </a:prstTxWarp>
                          <a:noAutofit/>
                        </wps:bodyPr>
                      </wps:wsp>
                      <wps:wsp>
                        <wps:cNvPr id="184" name="Graphic 184"/>
                        <wps:cNvSpPr/>
                        <wps:spPr>
                          <a:xfrm>
                            <a:off x="6350" y="0"/>
                            <a:ext cx="1270" cy="2412365"/>
                          </a:xfrm>
                          <a:custGeom>
                            <a:avLst/>
                            <a:gdLst/>
                            <a:ahLst/>
                            <a:cxnLst/>
                            <a:rect l="l" t="t" r="r" b="b"/>
                            <a:pathLst>
                              <a:path w="0" h="2412365">
                                <a:moveTo>
                                  <a:pt x="0" y="0"/>
                                </a:moveTo>
                                <a:lnTo>
                                  <a:pt x="0" y="2411996"/>
                                </a:lnTo>
                              </a:path>
                            </a:pathLst>
                          </a:custGeom>
                          <a:ln w="12700">
                            <a:solidFill>
                              <a:srgbClr val="939598"/>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441.622803pt;margin-top:187.0867pt;width:40.3pt;height:189.95pt;mso-position-horizontal-relative:page;mso-position-vertical-relative:page;z-index:15785984" id="docshapegroup151" coordorigin="8832,3742" coordsize="806,3799">
                <v:rect style="position:absolute;left:8844;top:3741;width:794;height:567" id="docshape152" filled="true" fillcolor="#939598" stroked="false">
                  <v:fill type="solid"/>
                </v:rect>
                <v:line style="position:absolute" from="8842,3742" to="8842,7540" stroked="true" strokeweight="1pt" strokecolor="#939598">
                  <v:stroke dashstyle="solid"/>
                </v:line>
                <w10:wrap type="none"/>
              </v:group>
            </w:pict>
          </mc:Fallback>
        </mc:AlternateContent>
      </w:r>
      <w:r>
        <w:rPr/>
        <mc:AlternateContent>
          <mc:Choice Requires="wps">
            <w:drawing>
              <wp:anchor distT="0" distB="0" distL="0" distR="0" allowOverlap="1" layoutInCell="1" locked="0" behindDoc="0" simplePos="0" relativeHeight="15786496">
                <wp:simplePos x="0" y="0"/>
                <wp:positionH relativeFrom="page">
                  <wp:posOffset>5635147</wp:posOffset>
                </wp:positionH>
                <wp:positionV relativeFrom="page">
                  <wp:posOffset>2795300</wp:posOffset>
                </wp:positionV>
                <wp:extent cx="299720" cy="1995805"/>
                <wp:effectExtent l="0" t="0" r="0" b="0"/>
                <wp:wrapNone/>
                <wp:docPr id="185" name="Textbox 185"/>
                <wp:cNvGraphicFramePr>
                  <a:graphicFrameLocks/>
                </wp:cNvGraphicFramePr>
                <a:graphic>
                  <a:graphicData uri="http://schemas.microsoft.com/office/word/2010/wordprocessingShape">
                    <wps:wsp>
                      <wps:cNvPr id="185" name="Textbox 185"/>
                      <wps:cNvSpPr txBox="1"/>
                      <wps:spPr>
                        <a:xfrm>
                          <a:off x="0" y="0"/>
                          <a:ext cx="299720" cy="1995805"/>
                        </a:xfrm>
                        <a:prstGeom prst="rect">
                          <a:avLst/>
                        </a:prstGeom>
                      </wps:spPr>
                      <wps:txbx>
                        <w:txbxContent>
                          <w:p>
                            <w:pPr>
                              <w:spacing w:before="20"/>
                              <w:ind w:left="20" w:right="0" w:firstLine="0"/>
                              <w:jc w:val="left"/>
                              <w:rPr>
                                <w:rFonts w:ascii="Minion Pro"/>
                                <w:sz w:val="32"/>
                              </w:rPr>
                            </w:pPr>
                            <w:r>
                              <w:rPr>
                                <w:rFonts w:ascii="Minion Pro"/>
                                <w:color w:val="231F20"/>
                                <w:sz w:val="32"/>
                              </w:rPr>
                              <w:t>Commented</w:t>
                            </w:r>
                            <w:r>
                              <w:rPr>
                                <w:rFonts w:ascii="Minion Pro"/>
                                <w:color w:val="231F20"/>
                                <w:spacing w:val="-10"/>
                                <w:sz w:val="32"/>
                              </w:rPr>
                              <w:t> </w:t>
                            </w:r>
                            <w:r>
                              <w:rPr>
                                <w:rFonts w:ascii="Minion Pro"/>
                                <w:color w:val="231F20"/>
                                <w:spacing w:val="-2"/>
                                <w:sz w:val="32"/>
                              </w:rPr>
                              <w:t>documents</w:t>
                            </w:r>
                          </w:p>
                        </w:txbxContent>
                      </wps:txbx>
                      <wps:bodyPr wrap="square" lIns="0" tIns="0" rIns="0" bIns="0" rtlCol="0" vert="vert">
                        <a:noAutofit/>
                      </wps:bodyPr>
                    </wps:wsp>
                  </a:graphicData>
                </a:graphic>
              </wp:anchor>
            </w:drawing>
          </mc:Choice>
          <mc:Fallback>
            <w:pict>
              <v:shape style="position:absolute;margin-left:443.712402pt;margin-top:220.102402pt;width:23.6pt;height:157.15pt;mso-position-horizontal-relative:page;mso-position-vertical-relative:page;z-index:15786496" type="#_x0000_t202" id="docshape153" filled="false" stroked="false">
                <v:textbox inset="0,0,0,0" style="layout-flow:vertical">
                  <w:txbxContent>
                    <w:p>
                      <w:pPr>
                        <w:spacing w:before="20"/>
                        <w:ind w:left="20" w:right="0" w:firstLine="0"/>
                        <w:jc w:val="left"/>
                        <w:rPr>
                          <w:rFonts w:ascii="Minion Pro"/>
                          <w:sz w:val="32"/>
                        </w:rPr>
                      </w:pPr>
                      <w:r>
                        <w:rPr>
                          <w:rFonts w:ascii="Minion Pro"/>
                          <w:color w:val="231F20"/>
                          <w:sz w:val="32"/>
                        </w:rPr>
                        <w:t>Commented</w:t>
                      </w:r>
                      <w:r>
                        <w:rPr>
                          <w:rFonts w:ascii="Minion Pro"/>
                          <w:color w:val="231F20"/>
                          <w:spacing w:val="-10"/>
                          <w:sz w:val="32"/>
                        </w:rPr>
                        <w:t> </w:t>
                      </w:r>
                      <w:r>
                        <w:rPr>
                          <w:rFonts w:ascii="Minion Pro"/>
                          <w:color w:val="231F20"/>
                          <w:spacing w:val="-2"/>
                          <w:sz w:val="32"/>
                        </w:rPr>
                        <w:t>documents</w:t>
                      </w:r>
                    </w:p>
                  </w:txbxContent>
                </v:textbox>
                <w10:wrap type="none"/>
              </v:shape>
            </w:pict>
          </mc:Fallback>
        </mc:AlternateContent>
      </w:r>
      <w:r>
        <w:rPr>
          <w:color w:val="231F20"/>
        </w:rPr>
        <w:t>dell’avvocato, il contenuto delle consulenze prestate nell’ambito di un’in- tera branca del diritto – e precisamente le consulenze in materia di diritto tributario – comporta una lesione del «contenuto essenziale» del diritto </w:t>
      </w:r>
      <w:r>
        <w:rPr>
          <w:color w:val="231F20"/>
        </w:rPr>
        <w:t>al rispetto</w:t>
      </w:r>
      <w:r>
        <w:rPr>
          <w:color w:val="231F20"/>
          <w:spacing w:val="-6"/>
        </w:rPr>
        <w:t> </w:t>
      </w:r>
      <w:r>
        <w:rPr>
          <w:color w:val="231F20"/>
        </w:rPr>
        <w:t>delle</w:t>
      </w:r>
      <w:r>
        <w:rPr>
          <w:color w:val="231F20"/>
          <w:spacing w:val="-6"/>
        </w:rPr>
        <w:t> </w:t>
      </w:r>
      <w:r>
        <w:rPr>
          <w:color w:val="231F20"/>
        </w:rPr>
        <w:t>comunicazioni</w:t>
      </w:r>
      <w:r>
        <w:rPr>
          <w:color w:val="231F20"/>
          <w:spacing w:val="-6"/>
        </w:rPr>
        <w:t> </w:t>
      </w:r>
      <w:r>
        <w:rPr>
          <w:color w:val="231F20"/>
        </w:rPr>
        <w:t>fra</w:t>
      </w:r>
      <w:r>
        <w:rPr>
          <w:color w:val="231F20"/>
          <w:spacing w:val="-6"/>
        </w:rPr>
        <w:t> </w:t>
      </w:r>
      <w:r>
        <w:rPr>
          <w:color w:val="231F20"/>
        </w:rPr>
        <w:t>gli</w:t>
      </w:r>
      <w:r>
        <w:rPr>
          <w:color w:val="231F20"/>
          <w:spacing w:val="-6"/>
        </w:rPr>
        <w:t> </w:t>
      </w:r>
      <w:r>
        <w:rPr>
          <w:color w:val="231F20"/>
        </w:rPr>
        <w:t>avvocati</w:t>
      </w:r>
      <w:r>
        <w:rPr>
          <w:color w:val="231F20"/>
          <w:spacing w:val="-6"/>
        </w:rPr>
        <w:t> </w:t>
      </w:r>
      <w:r>
        <w:rPr>
          <w:color w:val="231F20"/>
        </w:rPr>
        <w:t>e</w:t>
      </w:r>
      <w:r>
        <w:rPr>
          <w:color w:val="231F20"/>
          <w:spacing w:val="-6"/>
        </w:rPr>
        <w:t> </w:t>
      </w:r>
      <w:r>
        <w:rPr>
          <w:color w:val="231F20"/>
        </w:rPr>
        <w:t>i</w:t>
      </w:r>
      <w:r>
        <w:rPr>
          <w:color w:val="231F20"/>
          <w:spacing w:val="-6"/>
        </w:rPr>
        <w:t> </w:t>
      </w:r>
      <w:r>
        <w:rPr>
          <w:color w:val="231F20"/>
        </w:rPr>
        <w:t>loro</w:t>
      </w:r>
      <w:r>
        <w:rPr>
          <w:color w:val="231F20"/>
          <w:spacing w:val="-6"/>
        </w:rPr>
        <w:t> </w:t>
      </w:r>
      <w:r>
        <w:rPr>
          <w:color w:val="231F20"/>
        </w:rPr>
        <w:t>clienti.</w:t>
      </w:r>
      <w:r>
        <w:rPr>
          <w:color w:val="231F20"/>
          <w:spacing w:val="-6"/>
        </w:rPr>
        <w:t> </w:t>
      </w:r>
      <w:r>
        <w:rPr>
          <w:color w:val="231F20"/>
        </w:rPr>
        <w:t>Per</w:t>
      </w:r>
      <w:r>
        <w:rPr>
          <w:color w:val="231F20"/>
          <w:spacing w:val="-6"/>
        </w:rPr>
        <w:t> </w:t>
      </w:r>
      <w:r>
        <w:rPr>
          <w:color w:val="231F20"/>
        </w:rPr>
        <w:t>tale</w:t>
      </w:r>
      <w:r>
        <w:rPr>
          <w:color w:val="231F20"/>
          <w:spacing w:val="-6"/>
        </w:rPr>
        <w:t> </w:t>
      </w:r>
      <w:r>
        <w:rPr>
          <w:color w:val="231F20"/>
        </w:rPr>
        <w:t>motivo –</w:t>
      </w:r>
      <w:r>
        <w:rPr>
          <w:color w:val="231F20"/>
          <w:spacing w:val="-5"/>
        </w:rPr>
        <w:t> </w:t>
      </w:r>
      <w:r>
        <w:rPr>
          <w:color w:val="231F20"/>
        </w:rPr>
        <w:t>il</w:t>
      </w:r>
      <w:r>
        <w:rPr>
          <w:color w:val="231F20"/>
          <w:spacing w:val="-5"/>
        </w:rPr>
        <w:t> </w:t>
      </w:r>
      <w:r>
        <w:rPr>
          <w:color w:val="231F20"/>
        </w:rPr>
        <w:t>mancato</w:t>
      </w:r>
      <w:r>
        <w:rPr>
          <w:color w:val="231F20"/>
          <w:spacing w:val="-5"/>
        </w:rPr>
        <w:t> </w:t>
      </w:r>
      <w:r>
        <w:rPr>
          <w:color w:val="231F20"/>
        </w:rPr>
        <w:t>rispetto</w:t>
      </w:r>
      <w:r>
        <w:rPr>
          <w:color w:val="231F20"/>
          <w:spacing w:val="-5"/>
        </w:rPr>
        <w:t> </w:t>
      </w:r>
      <w:r>
        <w:rPr>
          <w:color w:val="231F20"/>
        </w:rPr>
        <w:t>del</w:t>
      </w:r>
      <w:r>
        <w:rPr>
          <w:color w:val="231F20"/>
          <w:spacing w:val="-5"/>
        </w:rPr>
        <w:t> </w:t>
      </w:r>
      <w:r>
        <w:rPr>
          <w:color w:val="231F20"/>
        </w:rPr>
        <w:t>«contenuto</w:t>
      </w:r>
      <w:r>
        <w:rPr>
          <w:color w:val="231F20"/>
          <w:spacing w:val="-5"/>
        </w:rPr>
        <w:t> </w:t>
      </w:r>
      <w:r>
        <w:rPr>
          <w:color w:val="231F20"/>
        </w:rPr>
        <w:t>essenziale»</w:t>
      </w:r>
      <w:r>
        <w:rPr>
          <w:color w:val="231F20"/>
          <w:spacing w:val="-5"/>
        </w:rPr>
        <w:t> </w:t>
      </w:r>
      <w:r>
        <w:rPr>
          <w:color w:val="231F20"/>
        </w:rPr>
        <w:t>di</w:t>
      </w:r>
      <w:r>
        <w:rPr>
          <w:color w:val="231F20"/>
          <w:spacing w:val="-5"/>
        </w:rPr>
        <w:t> </w:t>
      </w:r>
      <w:r>
        <w:rPr>
          <w:color w:val="231F20"/>
        </w:rPr>
        <w:t>un</w:t>
      </w:r>
      <w:r>
        <w:rPr>
          <w:color w:val="231F20"/>
          <w:spacing w:val="-5"/>
        </w:rPr>
        <w:t> </w:t>
      </w:r>
      <w:r>
        <w:rPr>
          <w:color w:val="231F20"/>
        </w:rPr>
        <w:t>diritto</w:t>
      </w:r>
      <w:r>
        <w:rPr>
          <w:color w:val="231F20"/>
          <w:spacing w:val="-5"/>
        </w:rPr>
        <w:t> </w:t>
      </w:r>
      <w:r>
        <w:rPr>
          <w:color w:val="231F20"/>
          <w:spacing w:val="-2"/>
        </w:rPr>
        <w:t>fondamentale</w:t>
      </w:r>
    </w:p>
    <w:p>
      <w:pPr>
        <w:pStyle w:val="BodyText"/>
        <w:spacing w:line="225" w:lineRule="auto" w:before="7"/>
        <w:ind w:left="157" w:right="118"/>
        <w:jc w:val="both"/>
      </w:pPr>
      <w:r>
        <w:rPr>
          <w:color w:val="231F20"/>
        </w:rPr>
        <w:t>- detta limitazione del segreto professionale degli avvocati tributaristi </w:t>
      </w:r>
      <w:r>
        <w:rPr>
          <w:color w:val="231F20"/>
        </w:rPr>
        <w:t>non può</w:t>
      </w:r>
      <w:r>
        <w:rPr>
          <w:color w:val="231F20"/>
          <w:spacing w:val="-15"/>
        </w:rPr>
        <w:t> </w:t>
      </w:r>
      <w:r>
        <w:rPr>
          <w:color w:val="231F20"/>
        </w:rPr>
        <w:t>essere</w:t>
      </w:r>
      <w:r>
        <w:rPr>
          <w:color w:val="231F20"/>
          <w:spacing w:val="-15"/>
        </w:rPr>
        <w:t> </w:t>
      </w:r>
      <w:r>
        <w:rPr>
          <w:color w:val="231F20"/>
        </w:rPr>
        <w:t>giustificata</w:t>
      </w:r>
      <w:r>
        <w:rPr>
          <w:color w:val="231F20"/>
          <w:spacing w:val="-15"/>
        </w:rPr>
        <w:t> </w:t>
      </w:r>
      <w:r>
        <w:rPr>
          <w:color w:val="231F20"/>
        </w:rPr>
        <w:t>sulla</w:t>
      </w:r>
      <w:r>
        <w:rPr>
          <w:color w:val="231F20"/>
          <w:spacing w:val="-15"/>
        </w:rPr>
        <w:t> </w:t>
      </w:r>
      <w:r>
        <w:rPr>
          <w:color w:val="231F20"/>
        </w:rPr>
        <w:t>base</w:t>
      </w:r>
      <w:r>
        <w:rPr>
          <w:color w:val="231F20"/>
          <w:spacing w:val="-15"/>
        </w:rPr>
        <w:t> </w:t>
      </w:r>
      <w:r>
        <w:rPr>
          <w:color w:val="231F20"/>
        </w:rPr>
        <w:t>dei</w:t>
      </w:r>
      <w:r>
        <w:rPr>
          <w:color w:val="231F20"/>
          <w:spacing w:val="-15"/>
        </w:rPr>
        <w:t> </w:t>
      </w:r>
      <w:r>
        <w:rPr>
          <w:color w:val="231F20"/>
        </w:rPr>
        <w:t>tassativi</w:t>
      </w:r>
      <w:r>
        <w:rPr>
          <w:color w:val="231F20"/>
          <w:spacing w:val="-15"/>
        </w:rPr>
        <w:t> </w:t>
      </w:r>
      <w:r>
        <w:rPr>
          <w:color w:val="231F20"/>
        </w:rPr>
        <w:t>criteri</w:t>
      </w:r>
      <w:r>
        <w:rPr>
          <w:color w:val="231F20"/>
          <w:spacing w:val="-15"/>
        </w:rPr>
        <w:t> </w:t>
      </w:r>
      <w:r>
        <w:rPr>
          <w:color w:val="231F20"/>
        </w:rPr>
        <w:t>enunciati</w:t>
      </w:r>
      <w:r>
        <w:rPr>
          <w:color w:val="231F20"/>
          <w:spacing w:val="-15"/>
        </w:rPr>
        <w:t> </w:t>
      </w:r>
      <w:r>
        <w:rPr>
          <w:color w:val="231F20"/>
        </w:rPr>
        <w:t>all’art.</w:t>
      </w:r>
      <w:r>
        <w:rPr>
          <w:color w:val="231F20"/>
          <w:spacing w:val="-15"/>
        </w:rPr>
        <w:t> </w:t>
      </w:r>
      <w:r>
        <w:rPr>
          <w:color w:val="231F20"/>
        </w:rPr>
        <w:t>52,</w:t>
      </w:r>
      <w:r>
        <w:rPr>
          <w:color w:val="231F20"/>
          <w:spacing w:val="-15"/>
        </w:rPr>
        <w:t> </w:t>
      </w:r>
      <w:r>
        <w:rPr>
          <w:color w:val="231F20"/>
        </w:rPr>
        <w:t>par. 1, della Carta stessa</w:t>
      </w:r>
      <w:r>
        <w:rPr>
          <w:color w:val="231F20"/>
          <w:position w:val="8"/>
          <w:sz w:val="14"/>
        </w:rPr>
        <w:t>131</w:t>
      </w:r>
      <w:r>
        <w:rPr>
          <w:color w:val="231F20"/>
        </w:rPr>
        <w:t>. La norma legislativa nazionale contestata nell’am- bito del processo </w:t>
      </w:r>
      <w:r>
        <w:rPr>
          <w:i/>
          <w:color w:val="231F20"/>
        </w:rPr>
        <w:t>a quo </w:t>
      </w:r>
      <w:r>
        <w:rPr>
          <w:color w:val="231F20"/>
        </w:rPr>
        <w:t>doveva pertanto essere disapplicata dal </w:t>
      </w:r>
      <w:r>
        <w:rPr>
          <w:color w:val="231F20"/>
        </w:rPr>
        <w:t>Tribunale amministrativo del Lussemburgo con conseguente annullamento, sia del provvedimento con il quale l’amministrazione finanziaria aveva </w:t>
      </w:r>
      <w:r>
        <w:rPr>
          <w:color w:val="231F20"/>
        </w:rPr>
        <w:t>ingiunto allo studio legale di fornire i documenti relativi alla consulenza di diritto tributario prestata al proprio cliente, sia del provvedimento sanzionatorio notificato</w:t>
      </w:r>
      <w:r>
        <w:rPr>
          <w:color w:val="231F20"/>
          <w:spacing w:val="-7"/>
        </w:rPr>
        <w:t> </w:t>
      </w:r>
      <w:r>
        <w:rPr>
          <w:color w:val="231F20"/>
        </w:rPr>
        <w:t>al</w:t>
      </w:r>
      <w:r>
        <w:rPr>
          <w:color w:val="231F20"/>
          <w:spacing w:val="-7"/>
        </w:rPr>
        <w:t> </w:t>
      </w:r>
      <w:r>
        <w:rPr>
          <w:color w:val="231F20"/>
        </w:rPr>
        <w:t>medesimo</w:t>
      </w:r>
      <w:r>
        <w:rPr>
          <w:color w:val="231F20"/>
          <w:spacing w:val="-7"/>
        </w:rPr>
        <w:t> </w:t>
      </w:r>
      <w:r>
        <w:rPr>
          <w:color w:val="231F20"/>
        </w:rPr>
        <w:t>studio</w:t>
      </w:r>
      <w:r>
        <w:rPr>
          <w:color w:val="231F20"/>
          <w:spacing w:val="-7"/>
        </w:rPr>
        <w:t> </w:t>
      </w:r>
      <w:r>
        <w:rPr>
          <w:color w:val="231F20"/>
        </w:rPr>
        <w:t>legale</w:t>
      </w:r>
      <w:r>
        <w:rPr>
          <w:color w:val="231F20"/>
          <w:spacing w:val="-7"/>
        </w:rPr>
        <w:t> </w:t>
      </w:r>
      <w:r>
        <w:rPr>
          <w:color w:val="231F20"/>
        </w:rPr>
        <w:t>a</w:t>
      </w:r>
      <w:r>
        <w:rPr>
          <w:color w:val="231F20"/>
          <w:spacing w:val="-7"/>
        </w:rPr>
        <w:t> </w:t>
      </w:r>
      <w:r>
        <w:rPr>
          <w:color w:val="231F20"/>
        </w:rPr>
        <w:t>seguito</w:t>
      </w:r>
      <w:r>
        <w:rPr>
          <w:color w:val="231F20"/>
          <w:spacing w:val="-7"/>
        </w:rPr>
        <w:t> </w:t>
      </w:r>
      <w:r>
        <w:rPr>
          <w:color w:val="231F20"/>
        </w:rPr>
        <w:t>del</w:t>
      </w:r>
      <w:r>
        <w:rPr>
          <w:color w:val="231F20"/>
          <w:spacing w:val="-7"/>
        </w:rPr>
        <w:t> </w:t>
      </w:r>
      <w:r>
        <w:rPr>
          <w:color w:val="231F20"/>
        </w:rPr>
        <w:t>rifiuto</w:t>
      </w:r>
      <w:r>
        <w:rPr>
          <w:color w:val="231F20"/>
          <w:spacing w:val="-7"/>
        </w:rPr>
        <w:t> </w:t>
      </w:r>
      <w:r>
        <w:rPr>
          <w:color w:val="231F20"/>
        </w:rPr>
        <w:t>di</w:t>
      </w:r>
      <w:r>
        <w:rPr>
          <w:color w:val="231F20"/>
          <w:spacing w:val="-7"/>
        </w:rPr>
        <w:t> </w:t>
      </w:r>
      <w:r>
        <w:rPr>
          <w:color w:val="231F20"/>
        </w:rPr>
        <w:t>quest’ultimo</w:t>
      </w:r>
      <w:r>
        <w:rPr>
          <w:color w:val="231F20"/>
          <w:spacing w:val="-7"/>
        </w:rPr>
        <w:t> </w:t>
      </w:r>
      <w:r>
        <w:rPr>
          <w:color w:val="231F20"/>
        </w:rPr>
        <w:t>di accedere all’ingiunzione dell’amministrazione.</w:t>
      </w:r>
    </w:p>
    <w:p>
      <w:pPr>
        <w:pStyle w:val="BodyText"/>
      </w:pPr>
    </w:p>
    <w:p>
      <w:pPr>
        <w:pStyle w:val="BodyText"/>
        <w:spacing w:before="30"/>
      </w:pPr>
    </w:p>
    <w:p>
      <w:pPr>
        <w:pStyle w:val="Heading3"/>
        <w:numPr>
          <w:ilvl w:val="0"/>
          <w:numId w:val="4"/>
        </w:numPr>
        <w:tabs>
          <w:tab w:pos="442" w:val="left" w:leader="none"/>
        </w:tabs>
        <w:spacing w:line="244" w:lineRule="auto" w:before="1" w:after="0"/>
        <w:ind w:left="157" w:right="1509" w:firstLine="0"/>
        <w:jc w:val="left"/>
        <w:rPr>
          <w:b/>
        </w:rPr>
      </w:pPr>
      <w:r>
        <w:rPr>
          <w:b/>
          <w:color w:val="231F20"/>
        </w:rPr>
        <w:t>Le sentenze aventi ad oggetto l’interpretazione del regolamento (UE) n. 904/2010 «relativo</w:t>
      </w:r>
    </w:p>
    <w:p>
      <w:pPr>
        <w:spacing w:line="244" w:lineRule="auto" w:before="0"/>
        <w:ind w:left="157" w:right="284" w:firstLine="0"/>
        <w:jc w:val="left"/>
        <w:rPr>
          <w:b/>
          <w:sz w:val="28"/>
        </w:rPr>
      </w:pPr>
      <w:r>
        <w:rPr>
          <w:b/>
          <w:color w:val="231F20"/>
          <w:sz w:val="28"/>
        </w:rPr>
        <w:t>alla cooperazione amministrativa e alla lotta contro la frode in materia di imposta sul valore aggiunto»</w:t>
      </w:r>
    </w:p>
    <w:p>
      <w:pPr>
        <w:pStyle w:val="BodyText"/>
        <w:spacing w:line="225" w:lineRule="auto" w:before="252"/>
        <w:ind w:left="157" w:right="117"/>
        <w:jc w:val="both"/>
      </w:pPr>
      <w:r>
        <w:rPr>
          <w:color w:val="231F20"/>
        </w:rPr>
        <w:t>La cooperazione fra le amministrazioni finanziarie degli Stati membri in materia di imposta sul valore aggiunto è disciplinata da uno specifico re- golamento (UE) 904/2010 e pertanto da un atto legislativo che, al con- trario</w:t>
      </w:r>
      <w:r>
        <w:rPr>
          <w:color w:val="231F20"/>
          <w:spacing w:val="-1"/>
        </w:rPr>
        <w:t> </w:t>
      </w:r>
      <w:r>
        <w:rPr>
          <w:color w:val="231F20"/>
        </w:rPr>
        <w:t>di</w:t>
      </w:r>
      <w:r>
        <w:rPr>
          <w:color w:val="231F20"/>
          <w:spacing w:val="-1"/>
        </w:rPr>
        <w:t> </w:t>
      </w:r>
      <w:r>
        <w:rPr>
          <w:color w:val="231F20"/>
        </w:rPr>
        <w:t>una</w:t>
      </w:r>
      <w:r>
        <w:rPr>
          <w:color w:val="231F20"/>
          <w:spacing w:val="-1"/>
        </w:rPr>
        <w:t> </w:t>
      </w:r>
      <w:r>
        <w:rPr>
          <w:color w:val="231F20"/>
        </w:rPr>
        <w:t>direttiva,</w:t>
      </w:r>
      <w:r>
        <w:rPr>
          <w:color w:val="231F20"/>
          <w:spacing w:val="-1"/>
        </w:rPr>
        <w:t> </w:t>
      </w:r>
      <w:r>
        <w:rPr>
          <w:color w:val="231F20"/>
        </w:rPr>
        <w:t>è</w:t>
      </w:r>
      <w:r>
        <w:rPr>
          <w:color w:val="231F20"/>
          <w:spacing w:val="-1"/>
        </w:rPr>
        <w:t> </w:t>
      </w:r>
      <w:r>
        <w:rPr>
          <w:color w:val="231F20"/>
        </w:rPr>
        <w:t>direttamente</w:t>
      </w:r>
      <w:r>
        <w:rPr>
          <w:color w:val="231F20"/>
          <w:spacing w:val="-1"/>
        </w:rPr>
        <w:t> </w:t>
      </w:r>
      <w:r>
        <w:rPr>
          <w:color w:val="231F20"/>
        </w:rPr>
        <w:t>applicabile</w:t>
      </w:r>
      <w:r>
        <w:rPr>
          <w:color w:val="231F20"/>
          <w:spacing w:val="-1"/>
        </w:rPr>
        <w:t> </w:t>
      </w:r>
      <w:r>
        <w:rPr>
          <w:color w:val="231F20"/>
        </w:rPr>
        <w:t>in</w:t>
      </w:r>
      <w:r>
        <w:rPr>
          <w:color w:val="231F20"/>
          <w:spacing w:val="-1"/>
        </w:rPr>
        <w:t> </w:t>
      </w:r>
      <w:r>
        <w:rPr>
          <w:color w:val="231F20"/>
        </w:rPr>
        <w:t>tutti</w:t>
      </w:r>
      <w:r>
        <w:rPr>
          <w:color w:val="231F20"/>
          <w:spacing w:val="-1"/>
        </w:rPr>
        <w:t> </w:t>
      </w:r>
      <w:r>
        <w:rPr>
          <w:color w:val="231F20"/>
        </w:rPr>
        <w:t>gli</w:t>
      </w:r>
      <w:r>
        <w:rPr>
          <w:color w:val="231F20"/>
          <w:spacing w:val="-1"/>
        </w:rPr>
        <w:t> </w:t>
      </w:r>
      <w:r>
        <w:rPr>
          <w:color w:val="231F20"/>
        </w:rPr>
        <w:t>Stati</w:t>
      </w:r>
      <w:r>
        <w:rPr>
          <w:color w:val="231F20"/>
          <w:spacing w:val="-1"/>
        </w:rPr>
        <w:t> </w:t>
      </w:r>
      <w:r>
        <w:rPr>
          <w:color w:val="231F20"/>
        </w:rPr>
        <w:t>membri. Tale scelta del legislatore europeo appare del tutto giustificata in </w:t>
      </w:r>
      <w:r>
        <w:rPr>
          <w:color w:val="231F20"/>
        </w:rPr>
        <w:t>quanto l’IVA rappresenta sicuramente l’imposta più armonizzata a livello dell’U- nione e pertanto una regolamentazione uniforme della collaborazione fra le amministrazioni nazionali competenti ai fini dell’accertamento e della riscossione</w:t>
      </w:r>
      <w:r>
        <w:rPr>
          <w:color w:val="231F20"/>
          <w:spacing w:val="-5"/>
        </w:rPr>
        <w:t> </w:t>
      </w:r>
      <w:r>
        <w:rPr>
          <w:color w:val="231F20"/>
        </w:rPr>
        <w:t>di</w:t>
      </w:r>
      <w:r>
        <w:rPr>
          <w:color w:val="231F20"/>
          <w:spacing w:val="-5"/>
        </w:rPr>
        <w:t> </w:t>
      </w:r>
      <w:r>
        <w:rPr>
          <w:color w:val="231F20"/>
        </w:rPr>
        <w:t>tale</w:t>
      </w:r>
      <w:r>
        <w:rPr>
          <w:color w:val="231F20"/>
          <w:spacing w:val="-5"/>
        </w:rPr>
        <w:t> </w:t>
      </w:r>
      <w:r>
        <w:rPr>
          <w:color w:val="231F20"/>
        </w:rPr>
        <w:t>imposta</w:t>
      </w:r>
      <w:r>
        <w:rPr>
          <w:color w:val="231F20"/>
          <w:spacing w:val="-5"/>
        </w:rPr>
        <w:t> </w:t>
      </w:r>
      <w:r>
        <w:rPr>
          <w:color w:val="231F20"/>
        </w:rPr>
        <w:t>costituisce</w:t>
      </w:r>
      <w:r>
        <w:rPr>
          <w:color w:val="231F20"/>
          <w:spacing w:val="-5"/>
        </w:rPr>
        <w:t> </w:t>
      </w:r>
      <w:r>
        <w:rPr>
          <w:color w:val="231F20"/>
        </w:rPr>
        <w:t>uno</w:t>
      </w:r>
      <w:r>
        <w:rPr>
          <w:color w:val="231F20"/>
          <w:spacing w:val="-5"/>
        </w:rPr>
        <w:t> </w:t>
      </w:r>
      <w:r>
        <w:rPr>
          <w:color w:val="231F20"/>
        </w:rPr>
        <w:t>strumento</w:t>
      </w:r>
      <w:r>
        <w:rPr>
          <w:color w:val="231F20"/>
          <w:spacing w:val="-5"/>
        </w:rPr>
        <w:t> </w:t>
      </w:r>
      <w:r>
        <w:rPr>
          <w:color w:val="231F20"/>
        </w:rPr>
        <w:t>normativo</w:t>
      </w:r>
      <w:r>
        <w:rPr>
          <w:color w:val="231F20"/>
          <w:spacing w:val="-5"/>
        </w:rPr>
        <w:t> </w:t>
      </w:r>
      <w:r>
        <w:rPr>
          <w:color w:val="231F20"/>
        </w:rPr>
        <w:t>molto</w:t>
      </w:r>
      <w:r>
        <w:rPr>
          <w:color w:val="231F20"/>
          <w:spacing w:val="-5"/>
        </w:rPr>
        <w:t> </w:t>
      </w:r>
      <w:r>
        <w:rPr>
          <w:color w:val="231F20"/>
        </w:rPr>
        <w:t>più efficace al fine di assicurare detta collaborazione rispetto ad una direttiva dell’Unione e alle relative 27 leggi nazionali di trasposizione della stessa.</w:t>
      </w:r>
      <w:r>
        <w:rPr>
          <w:color w:val="231F20"/>
          <w:spacing w:val="80"/>
        </w:rPr>
        <w:t> </w:t>
      </w:r>
      <w:r>
        <w:rPr>
          <w:color w:val="231F20"/>
        </w:rPr>
        <w:t>È proprio a motivo della funzione palesemente ausiliaria del regolamen-</w:t>
      </w:r>
      <w:r>
        <w:rPr>
          <w:color w:val="231F20"/>
          <w:spacing w:val="40"/>
        </w:rPr>
        <w:t> </w:t>
      </w:r>
      <w:r>
        <w:rPr>
          <w:color w:val="231F20"/>
        </w:rPr>
        <w:t>to</w:t>
      </w:r>
      <w:r>
        <w:rPr>
          <w:color w:val="231F20"/>
          <w:spacing w:val="-1"/>
        </w:rPr>
        <w:t> </w:t>
      </w:r>
      <w:r>
        <w:rPr>
          <w:color w:val="231F20"/>
        </w:rPr>
        <w:t>(UE) 904/2010 sulla cooperazione</w:t>
      </w:r>
      <w:r>
        <w:rPr>
          <w:color w:val="231F20"/>
          <w:spacing w:val="-1"/>
        </w:rPr>
        <w:t> </w:t>
      </w:r>
      <w:r>
        <w:rPr>
          <w:color w:val="231F20"/>
        </w:rPr>
        <w:t>amministrativa rispetto alla </w:t>
      </w:r>
      <w:r>
        <w:rPr>
          <w:color w:val="231F20"/>
          <w:spacing w:val="-2"/>
        </w:rPr>
        <w:t>direttiva</w:t>
      </w:r>
    </w:p>
    <w:p>
      <w:pPr>
        <w:pStyle w:val="BodyText"/>
        <w:spacing w:before="56"/>
        <w:rPr>
          <w:sz w:val="20"/>
        </w:rPr>
      </w:pPr>
      <w:r>
        <w:rPr/>
        <mc:AlternateContent>
          <mc:Choice Requires="wps">
            <w:drawing>
              <wp:anchor distT="0" distB="0" distL="0" distR="0" allowOverlap="1" layoutInCell="1" locked="0" behindDoc="1" simplePos="0" relativeHeight="487644672">
                <wp:simplePos x="0" y="0"/>
                <wp:positionH relativeFrom="page">
                  <wp:posOffset>899999</wp:posOffset>
                </wp:positionH>
                <wp:positionV relativeFrom="paragraph">
                  <wp:posOffset>212362</wp:posOffset>
                </wp:positionV>
                <wp:extent cx="792480" cy="1270"/>
                <wp:effectExtent l="0" t="0" r="0" b="0"/>
                <wp:wrapTopAndBottom/>
                <wp:docPr id="186" name="Graphic 186"/>
                <wp:cNvGraphicFramePr>
                  <a:graphicFrameLocks/>
                </wp:cNvGraphicFramePr>
                <a:graphic>
                  <a:graphicData uri="http://schemas.microsoft.com/office/word/2010/wordprocessingShape">
                    <wps:wsp>
                      <wps:cNvPr id="186" name="Graphic 186"/>
                      <wps:cNvSpPr/>
                      <wps:spPr>
                        <a:xfrm>
                          <a:off x="0" y="0"/>
                          <a:ext cx="792480" cy="1270"/>
                        </a:xfrm>
                        <a:custGeom>
                          <a:avLst/>
                          <a:gdLst/>
                          <a:ahLst/>
                          <a:cxnLst/>
                          <a:rect l="l" t="t" r="r" b="b"/>
                          <a:pathLst>
                            <a:path w="792480" h="0">
                              <a:moveTo>
                                <a:pt x="0" y="0"/>
                              </a:moveTo>
                              <a:lnTo>
                                <a:pt x="791997"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shape style="position:absolute;margin-left:70.866096pt;margin-top:16.72146pt;width:62.4pt;height:.1pt;mso-position-horizontal-relative:page;mso-position-vertical-relative:paragraph;z-index:-15671808;mso-wrap-distance-left:0;mso-wrap-distance-right:0" id="docshape154" coordorigin="1417,334" coordsize="1248,0" path="m1417,334l2665,334e" filled="false" stroked="true" strokeweight=".5pt" strokecolor="#231f20">
                <v:path arrowok="t"/>
                <v:stroke dashstyle="solid"/>
                <w10:wrap type="topAndBottom"/>
              </v:shape>
            </w:pict>
          </mc:Fallback>
        </mc:AlternateContent>
      </w:r>
    </w:p>
    <w:p>
      <w:pPr>
        <w:spacing w:before="190"/>
        <w:ind w:left="157" w:right="0" w:firstLine="0"/>
        <w:jc w:val="left"/>
        <w:rPr>
          <w:sz w:val="19"/>
        </w:rPr>
      </w:pPr>
      <w:r>
        <w:rPr>
          <w:color w:val="231F20"/>
          <w:position w:val="6"/>
          <w:sz w:val="11"/>
        </w:rPr>
        <w:t>131</w:t>
      </w:r>
      <w:r>
        <w:rPr>
          <w:color w:val="231F20"/>
          <w:spacing w:val="79"/>
          <w:position w:val="6"/>
          <w:sz w:val="11"/>
        </w:rPr>
        <w:t> </w:t>
      </w:r>
      <w:r>
        <w:rPr>
          <w:color w:val="231F20"/>
          <w:sz w:val="19"/>
        </w:rPr>
        <w:t>Corte Giust. ult. cit., C-432/23,</w:t>
      </w:r>
      <w:r>
        <w:rPr>
          <w:color w:val="231F20"/>
          <w:spacing w:val="-1"/>
          <w:sz w:val="19"/>
        </w:rPr>
        <w:t> </w:t>
      </w:r>
      <w:r>
        <w:rPr>
          <w:color w:val="231F20"/>
          <w:sz w:val="19"/>
        </w:rPr>
        <w:t>punti 72-75 e punto 3 del </w:t>
      </w:r>
      <w:r>
        <w:rPr>
          <w:color w:val="231F20"/>
          <w:spacing w:val="-2"/>
          <w:sz w:val="19"/>
        </w:rPr>
        <w:t>dispositivo.</w:t>
      </w:r>
    </w:p>
    <w:p>
      <w:pPr>
        <w:spacing w:after="0"/>
        <w:jc w:val="left"/>
        <w:rPr>
          <w:sz w:val="19"/>
        </w:rPr>
        <w:sectPr>
          <w:pgSz w:w="9640" w:h="13610"/>
          <w:pgMar w:header="0" w:footer="625" w:top="1260" w:bottom="820" w:left="1260" w:right="1240"/>
        </w:sectPr>
      </w:pPr>
    </w:p>
    <w:p>
      <w:pPr>
        <w:pStyle w:val="BodyText"/>
        <w:spacing w:line="225" w:lineRule="auto" w:before="117"/>
        <w:ind w:left="100" w:right="174"/>
        <w:jc w:val="both"/>
      </w:pPr>
      <w:r>
        <w:rPr>
          <w:color w:val="231F20"/>
        </w:rPr>
        <w:t>generale (UE) 2006/112 «relativa al sistema comune d’imposta sul </w:t>
      </w:r>
      <w:r>
        <w:rPr>
          <w:color w:val="231F20"/>
        </w:rPr>
        <w:t>valore aggiunto», che le sentenze nelle quali la Corte di giustizia ha interpretato varie</w:t>
      </w:r>
      <w:r>
        <w:rPr>
          <w:color w:val="231F20"/>
          <w:spacing w:val="-7"/>
        </w:rPr>
        <w:t> </w:t>
      </w:r>
      <w:r>
        <w:rPr>
          <w:color w:val="231F20"/>
        </w:rPr>
        <w:t>disposizioni</w:t>
      </w:r>
      <w:r>
        <w:rPr>
          <w:color w:val="231F20"/>
          <w:spacing w:val="-7"/>
        </w:rPr>
        <w:t> </w:t>
      </w:r>
      <w:r>
        <w:rPr>
          <w:color w:val="231F20"/>
        </w:rPr>
        <w:t>del</w:t>
      </w:r>
      <w:r>
        <w:rPr>
          <w:color w:val="231F20"/>
          <w:spacing w:val="-7"/>
        </w:rPr>
        <w:t> </w:t>
      </w:r>
      <w:r>
        <w:rPr>
          <w:color w:val="231F20"/>
        </w:rPr>
        <w:t>suddetto</w:t>
      </w:r>
      <w:r>
        <w:rPr>
          <w:color w:val="231F20"/>
          <w:spacing w:val="-7"/>
        </w:rPr>
        <w:t> </w:t>
      </w:r>
      <w:r>
        <w:rPr>
          <w:color w:val="231F20"/>
        </w:rPr>
        <w:t>regolamento</w:t>
      </w:r>
      <w:r>
        <w:rPr>
          <w:color w:val="231F20"/>
          <w:spacing w:val="-7"/>
        </w:rPr>
        <w:t> </w:t>
      </w:r>
      <w:r>
        <w:rPr>
          <w:color w:val="231F20"/>
        </w:rPr>
        <w:t>sono</w:t>
      </w:r>
      <w:r>
        <w:rPr>
          <w:color w:val="231F20"/>
          <w:spacing w:val="-7"/>
        </w:rPr>
        <w:t> </w:t>
      </w:r>
      <w:r>
        <w:rPr>
          <w:color w:val="231F20"/>
        </w:rPr>
        <w:t>in</w:t>
      </w:r>
      <w:r>
        <w:rPr>
          <w:color w:val="231F20"/>
          <w:spacing w:val="-7"/>
        </w:rPr>
        <w:t> </w:t>
      </w:r>
      <w:r>
        <w:rPr>
          <w:color w:val="231F20"/>
        </w:rPr>
        <w:t>primo</w:t>
      </w:r>
      <w:r>
        <w:rPr>
          <w:color w:val="231F20"/>
          <w:spacing w:val="-7"/>
        </w:rPr>
        <w:t> </w:t>
      </w:r>
      <w:r>
        <w:rPr>
          <w:color w:val="231F20"/>
        </w:rPr>
        <w:t>luogo</w:t>
      </w:r>
      <w:r>
        <w:rPr>
          <w:color w:val="231F20"/>
          <w:spacing w:val="-7"/>
        </w:rPr>
        <w:t> </w:t>
      </w:r>
      <w:r>
        <w:rPr>
          <w:color w:val="231F20"/>
        </w:rPr>
        <w:t>delle</w:t>
      </w:r>
      <w:r>
        <w:rPr>
          <w:color w:val="231F20"/>
          <w:spacing w:val="-7"/>
        </w:rPr>
        <w:t> </w:t>
      </w:r>
      <w:r>
        <w:rPr>
          <w:color w:val="231F20"/>
        </w:rPr>
        <w:t>sen- tenze interpretative di norme della medesima direttiva IVA in relazione a cause aventi ad oggetto la riscossione di tale imposta. È quindi soltanto in via accessoria che alcune giurisdizioni tributarie nazionali hanno chiesto</w:t>
      </w:r>
      <w:r>
        <w:rPr>
          <w:color w:val="231F20"/>
          <w:spacing w:val="80"/>
        </w:rPr>
        <w:t> </w:t>
      </w:r>
      <w:r>
        <w:rPr>
          <w:color w:val="231F20"/>
        </w:rPr>
        <w:t>ai giudici dell’Unione di interpretare l’una o l’altra disposizione del rego- lamento (UE) 904/2010 la cui finalità è quella - espressamente enunciata all’art.</w:t>
      </w:r>
      <w:r>
        <w:rPr>
          <w:color w:val="231F20"/>
          <w:spacing w:val="-1"/>
        </w:rPr>
        <w:t> </w:t>
      </w:r>
      <w:r>
        <w:rPr>
          <w:color w:val="231F20"/>
        </w:rPr>
        <w:t>1,</w:t>
      </w:r>
      <w:r>
        <w:rPr>
          <w:color w:val="231F20"/>
          <w:spacing w:val="-1"/>
        </w:rPr>
        <w:t> </w:t>
      </w:r>
      <w:r>
        <w:rPr>
          <w:color w:val="231F20"/>
        </w:rPr>
        <w:t>par.</w:t>
      </w:r>
      <w:r>
        <w:rPr>
          <w:color w:val="231F20"/>
          <w:spacing w:val="-1"/>
        </w:rPr>
        <w:t> </w:t>
      </w:r>
      <w:r>
        <w:rPr>
          <w:color w:val="231F20"/>
        </w:rPr>
        <w:t>2</w:t>
      </w:r>
      <w:r>
        <w:rPr>
          <w:color w:val="231F20"/>
          <w:spacing w:val="-1"/>
        </w:rPr>
        <w:t> </w:t>
      </w:r>
      <w:r>
        <w:rPr>
          <w:color w:val="231F20"/>
        </w:rPr>
        <w:t>del</w:t>
      </w:r>
      <w:r>
        <w:rPr>
          <w:color w:val="231F20"/>
          <w:spacing w:val="-1"/>
        </w:rPr>
        <w:t> </w:t>
      </w:r>
      <w:r>
        <w:rPr>
          <w:color w:val="231F20"/>
        </w:rPr>
        <w:t>regolamento</w:t>
      </w:r>
      <w:r>
        <w:rPr>
          <w:color w:val="231F20"/>
          <w:spacing w:val="-1"/>
        </w:rPr>
        <w:t> </w:t>
      </w:r>
      <w:r>
        <w:rPr>
          <w:color w:val="231F20"/>
        </w:rPr>
        <w:t>stesso</w:t>
      </w:r>
      <w:r>
        <w:rPr>
          <w:color w:val="231F20"/>
          <w:spacing w:val="-1"/>
        </w:rPr>
        <w:t> </w:t>
      </w:r>
      <w:r>
        <w:rPr>
          <w:color w:val="231F20"/>
        </w:rPr>
        <w:t>-</w:t>
      </w:r>
      <w:r>
        <w:rPr>
          <w:color w:val="231F20"/>
          <w:spacing w:val="-1"/>
        </w:rPr>
        <w:t> </w:t>
      </w:r>
      <w:r>
        <w:rPr>
          <w:color w:val="231F20"/>
        </w:rPr>
        <w:t>di</w:t>
      </w:r>
      <w:r>
        <w:rPr>
          <w:color w:val="231F20"/>
          <w:spacing w:val="-1"/>
        </w:rPr>
        <w:t> </w:t>
      </w:r>
      <w:r>
        <w:rPr>
          <w:color w:val="231F20"/>
        </w:rPr>
        <w:t>definire</w:t>
      </w:r>
      <w:r>
        <w:rPr>
          <w:color w:val="231F20"/>
          <w:spacing w:val="-1"/>
        </w:rPr>
        <w:t> </w:t>
      </w:r>
      <w:r>
        <w:rPr>
          <w:color w:val="231F20"/>
        </w:rPr>
        <w:t>le</w:t>
      </w:r>
      <w:r>
        <w:rPr>
          <w:color w:val="231F20"/>
          <w:spacing w:val="-1"/>
        </w:rPr>
        <w:t> </w:t>
      </w:r>
      <w:r>
        <w:rPr>
          <w:color w:val="231F20"/>
        </w:rPr>
        <w:t>modalità</w:t>
      </w:r>
      <w:r>
        <w:rPr>
          <w:color w:val="231F20"/>
          <w:spacing w:val="-1"/>
        </w:rPr>
        <w:t> </w:t>
      </w:r>
      <w:r>
        <w:rPr>
          <w:color w:val="231F20"/>
        </w:rPr>
        <w:t>di</w:t>
      </w:r>
      <w:r>
        <w:rPr>
          <w:color w:val="231F20"/>
          <w:spacing w:val="-1"/>
        </w:rPr>
        <w:t> </w:t>
      </w:r>
      <w:r>
        <w:rPr>
          <w:color w:val="231F20"/>
        </w:rPr>
        <w:t>collabo- razione</w:t>
      </w:r>
      <w:r>
        <w:rPr>
          <w:color w:val="231F20"/>
          <w:spacing w:val="-11"/>
        </w:rPr>
        <w:t> </w:t>
      </w:r>
      <w:r>
        <w:rPr>
          <w:color w:val="231F20"/>
        </w:rPr>
        <w:t>fra</w:t>
      </w:r>
      <w:r>
        <w:rPr>
          <w:color w:val="231F20"/>
          <w:spacing w:val="-11"/>
        </w:rPr>
        <w:t> </w:t>
      </w:r>
      <w:r>
        <w:rPr>
          <w:color w:val="231F20"/>
        </w:rPr>
        <w:t>le</w:t>
      </w:r>
      <w:r>
        <w:rPr>
          <w:color w:val="231F20"/>
          <w:spacing w:val="-11"/>
        </w:rPr>
        <w:t> </w:t>
      </w:r>
      <w:r>
        <w:rPr>
          <w:color w:val="231F20"/>
        </w:rPr>
        <w:t>amministrazioni</w:t>
      </w:r>
      <w:r>
        <w:rPr>
          <w:color w:val="231F20"/>
          <w:spacing w:val="-11"/>
        </w:rPr>
        <w:t> </w:t>
      </w:r>
      <w:r>
        <w:rPr>
          <w:color w:val="231F20"/>
        </w:rPr>
        <w:t>finanziarie</w:t>
      </w:r>
      <w:r>
        <w:rPr>
          <w:color w:val="231F20"/>
          <w:spacing w:val="-11"/>
        </w:rPr>
        <w:t> </w:t>
      </w:r>
      <w:r>
        <w:rPr>
          <w:color w:val="231F20"/>
        </w:rPr>
        <w:t>degli</w:t>
      </w:r>
      <w:r>
        <w:rPr>
          <w:color w:val="231F20"/>
          <w:spacing w:val="-11"/>
        </w:rPr>
        <w:t> </w:t>
      </w:r>
      <w:r>
        <w:rPr>
          <w:color w:val="231F20"/>
        </w:rPr>
        <w:t>Stati</w:t>
      </w:r>
      <w:r>
        <w:rPr>
          <w:color w:val="231F20"/>
          <w:spacing w:val="-11"/>
        </w:rPr>
        <w:t> </w:t>
      </w:r>
      <w:r>
        <w:rPr>
          <w:color w:val="231F20"/>
        </w:rPr>
        <w:t>membri</w:t>
      </w:r>
      <w:r>
        <w:rPr>
          <w:color w:val="231F20"/>
          <w:spacing w:val="-11"/>
        </w:rPr>
        <w:t> </w:t>
      </w:r>
      <w:r>
        <w:rPr>
          <w:color w:val="231F20"/>
        </w:rPr>
        <w:t>competenti</w:t>
      </w:r>
      <w:r>
        <w:rPr>
          <w:color w:val="231F20"/>
          <w:spacing w:val="-11"/>
        </w:rPr>
        <w:t> </w:t>
      </w:r>
      <w:r>
        <w:rPr>
          <w:color w:val="231F20"/>
        </w:rPr>
        <w:t>in materia di IVA al fine di migliorare l’accertamento e la riscossione di tale imposta</w:t>
      </w:r>
      <w:r>
        <w:rPr>
          <w:rFonts w:ascii="Times New Roman" w:hAnsi="Times New Roman"/>
          <w:color w:val="231F20"/>
          <w:position w:val="8"/>
          <w:sz w:val="14"/>
        </w:rPr>
        <w:t>132</w:t>
      </w:r>
      <w:r>
        <w:rPr>
          <w:color w:val="231F20"/>
        </w:rPr>
        <w:t>.</w:t>
      </w:r>
      <w:r>
        <w:rPr>
          <w:color w:val="231F20"/>
          <w:spacing w:val="38"/>
        </w:rPr>
        <w:t> </w:t>
      </w:r>
      <w:r>
        <w:rPr>
          <w:color w:val="231F20"/>
        </w:rPr>
        <w:t>Ne</w:t>
      </w:r>
      <w:r>
        <w:rPr>
          <w:color w:val="231F20"/>
          <w:spacing w:val="-11"/>
        </w:rPr>
        <w:t> </w:t>
      </w:r>
      <w:r>
        <w:rPr>
          <w:color w:val="231F20"/>
        </w:rPr>
        <w:t>consegue</w:t>
      </w:r>
      <w:r>
        <w:rPr>
          <w:color w:val="231F20"/>
          <w:spacing w:val="-11"/>
        </w:rPr>
        <w:t> </w:t>
      </w:r>
      <w:r>
        <w:rPr>
          <w:color w:val="231F20"/>
        </w:rPr>
        <w:t>che,</w:t>
      </w:r>
      <w:r>
        <w:rPr>
          <w:color w:val="231F20"/>
          <w:spacing w:val="-11"/>
        </w:rPr>
        <w:t> </w:t>
      </w:r>
      <w:r>
        <w:rPr>
          <w:color w:val="231F20"/>
        </w:rPr>
        <w:t>a</w:t>
      </w:r>
      <w:r>
        <w:rPr>
          <w:color w:val="231F20"/>
          <w:spacing w:val="-11"/>
        </w:rPr>
        <w:t> </w:t>
      </w:r>
      <w:r>
        <w:rPr>
          <w:color w:val="231F20"/>
        </w:rPr>
        <w:t>differenza</w:t>
      </w:r>
      <w:r>
        <w:rPr>
          <w:color w:val="231F20"/>
          <w:spacing w:val="-11"/>
        </w:rPr>
        <w:t> </w:t>
      </w:r>
      <w:r>
        <w:rPr>
          <w:color w:val="231F20"/>
        </w:rPr>
        <w:t>delle</w:t>
      </w:r>
      <w:r>
        <w:rPr>
          <w:color w:val="231F20"/>
          <w:spacing w:val="-11"/>
        </w:rPr>
        <w:t> </w:t>
      </w:r>
      <w:r>
        <w:rPr>
          <w:color w:val="231F20"/>
        </w:rPr>
        <w:t>pronunce</w:t>
      </w:r>
      <w:r>
        <w:rPr>
          <w:color w:val="231F20"/>
          <w:spacing w:val="-11"/>
        </w:rPr>
        <w:t> </w:t>
      </w:r>
      <w:r>
        <w:rPr>
          <w:color w:val="231F20"/>
        </w:rPr>
        <w:t>aventi</w:t>
      </w:r>
      <w:r>
        <w:rPr>
          <w:color w:val="231F20"/>
          <w:spacing w:val="-11"/>
        </w:rPr>
        <w:t> </w:t>
      </w:r>
      <w:r>
        <w:rPr>
          <w:color w:val="231F20"/>
        </w:rPr>
        <w:t>ad</w:t>
      </w:r>
      <w:r>
        <w:rPr>
          <w:color w:val="231F20"/>
          <w:spacing w:val="-11"/>
        </w:rPr>
        <w:t> </w:t>
      </w:r>
      <w:r>
        <w:rPr>
          <w:color w:val="231F20"/>
        </w:rPr>
        <w:t>oggetto la direttiva (UE) 2011/16 riguardante la cooperazione amministrativa in materia</w:t>
      </w:r>
      <w:r>
        <w:rPr>
          <w:color w:val="231F20"/>
          <w:spacing w:val="-10"/>
        </w:rPr>
        <w:t> </w:t>
      </w:r>
      <w:r>
        <w:rPr>
          <w:color w:val="231F20"/>
        </w:rPr>
        <w:t>di</w:t>
      </w:r>
      <w:r>
        <w:rPr>
          <w:color w:val="231F20"/>
          <w:spacing w:val="-10"/>
        </w:rPr>
        <w:t> </w:t>
      </w:r>
      <w:r>
        <w:rPr>
          <w:color w:val="231F20"/>
        </w:rPr>
        <w:t>imposte</w:t>
      </w:r>
      <w:r>
        <w:rPr>
          <w:color w:val="231F20"/>
          <w:spacing w:val="-10"/>
        </w:rPr>
        <w:t> </w:t>
      </w:r>
      <w:r>
        <w:rPr>
          <w:color w:val="231F20"/>
        </w:rPr>
        <w:t>dirette</w:t>
      </w:r>
      <w:r>
        <w:rPr>
          <w:color w:val="231F20"/>
          <w:spacing w:val="-10"/>
        </w:rPr>
        <w:t> </w:t>
      </w:r>
      <w:r>
        <w:rPr>
          <w:color w:val="231F20"/>
        </w:rPr>
        <w:t>non</w:t>
      </w:r>
      <w:r>
        <w:rPr>
          <w:color w:val="231F20"/>
          <w:spacing w:val="-10"/>
        </w:rPr>
        <w:t> </w:t>
      </w:r>
      <w:r>
        <w:rPr>
          <w:color w:val="231F20"/>
        </w:rPr>
        <w:t>armonizzate,</w:t>
      </w:r>
      <w:r>
        <w:rPr>
          <w:color w:val="231F20"/>
          <w:spacing w:val="-10"/>
        </w:rPr>
        <w:t> </w:t>
      </w:r>
      <w:r>
        <w:rPr>
          <w:color w:val="231F20"/>
        </w:rPr>
        <w:t>le</w:t>
      </w:r>
      <w:r>
        <w:rPr>
          <w:color w:val="231F20"/>
          <w:spacing w:val="-10"/>
        </w:rPr>
        <w:t> </w:t>
      </w:r>
      <w:r>
        <w:rPr>
          <w:color w:val="231F20"/>
        </w:rPr>
        <w:t>sentenze</w:t>
      </w:r>
      <w:r>
        <w:rPr>
          <w:color w:val="231F20"/>
          <w:spacing w:val="-10"/>
        </w:rPr>
        <w:t> </w:t>
      </w:r>
      <w:r>
        <w:rPr>
          <w:color w:val="231F20"/>
        </w:rPr>
        <w:t>nelle</w:t>
      </w:r>
      <w:r>
        <w:rPr>
          <w:color w:val="231F20"/>
          <w:spacing w:val="-10"/>
        </w:rPr>
        <w:t> </w:t>
      </w:r>
      <w:r>
        <w:rPr>
          <w:color w:val="231F20"/>
        </w:rPr>
        <w:t>quali</w:t>
      </w:r>
      <w:r>
        <w:rPr>
          <w:color w:val="231F20"/>
          <w:spacing w:val="-10"/>
        </w:rPr>
        <w:t> </w:t>
      </w:r>
      <w:r>
        <w:rPr>
          <w:color w:val="231F20"/>
        </w:rPr>
        <w:t>la</w:t>
      </w:r>
      <w:r>
        <w:rPr>
          <w:color w:val="231F20"/>
          <w:spacing w:val="-10"/>
        </w:rPr>
        <w:t> </w:t>
      </w:r>
      <w:r>
        <w:rPr>
          <w:color w:val="231F20"/>
        </w:rPr>
        <w:t>Corte di</w:t>
      </w:r>
      <w:r>
        <w:rPr>
          <w:color w:val="231F20"/>
          <w:spacing w:val="-4"/>
        </w:rPr>
        <w:t> </w:t>
      </w:r>
      <w:r>
        <w:rPr>
          <w:color w:val="231F20"/>
        </w:rPr>
        <w:t>giustizia</w:t>
      </w:r>
      <w:r>
        <w:rPr>
          <w:color w:val="231F20"/>
          <w:spacing w:val="-4"/>
        </w:rPr>
        <w:t> </w:t>
      </w:r>
      <w:r>
        <w:rPr>
          <w:color w:val="231F20"/>
        </w:rPr>
        <w:t>ha</w:t>
      </w:r>
      <w:r>
        <w:rPr>
          <w:color w:val="231F20"/>
          <w:spacing w:val="-4"/>
        </w:rPr>
        <w:t> </w:t>
      </w:r>
      <w:r>
        <w:rPr>
          <w:color w:val="231F20"/>
        </w:rPr>
        <w:t>statuito</w:t>
      </w:r>
      <w:r>
        <w:rPr>
          <w:color w:val="231F20"/>
          <w:spacing w:val="-4"/>
        </w:rPr>
        <w:t> </w:t>
      </w:r>
      <w:r>
        <w:rPr>
          <w:color w:val="231F20"/>
        </w:rPr>
        <w:t>sull’interpretazione</w:t>
      </w:r>
      <w:r>
        <w:rPr>
          <w:color w:val="231F20"/>
          <w:spacing w:val="-4"/>
        </w:rPr>
        <w:t> </w:t>
      </w:r>
      <w:r>
        <w:rPr>
          <w:color w:val="231F20"/>
        </w:rPr>
        <w:t>di</w:t>
      </w:r>
      <w:r>
        <w:rPr>
          <w:color w:val="231F20"/>
          <w:spacing w:val="-4"/>
        </w:rPr>
        <w:t> </w:t>
      </w:r>
      <w:r>
        <w:rPr>
          <w:color w:val="231F20"/>
        </w:rPr>
        <w:t>norme</w:t>
      </w:r>
      <w:r>
        <w:rPr>
          <w:color w:val="231F20"/>
          <w:spacing w:val="-4"/>
        </w:rPr>
        <w:t> </w:t>
      </w:r>
      <w:r>
        <w:rPr>
          <w:color w:val="231F20"/>
        </w:rPr>
        <w:t>del</w:t>
      </w:r>
      <w:r>
        <w:rPr>
          <w:color w:val="231F20"/>
          <w:spacing w:val="-4"/>
        </w:rPr>
        <w:t> </w:t>
      </w:r>
      <w:r>
        <w:rPr>
          <w:color w:val="231F20"/>
        </w:rPr>
        <w:t>regolamento</w:t>
      </w:r>
      <w:r>
        <w:rPr>
          <w:color w:val="231F20"/>
          <w:spacing w:val="-4"/>
        </w:rPr>
        <w:t> </w:t>
      </w:r>
      <w:r>
        <w:rPr>
          <w:color w:val="231F20"/>
        </w:rPr>
        <w:t>(UE) 904/2010 non hanno mai comportato un’applicazione «a monte» dell’u- no o dell’altro articolo della Carta dei diritti fondamentali per la semplice ragione che nelle cause pregiudiziali nelle quali era stata richiesta dai giu- dici nazionali, l’interpretazione delle norme della Carta era direttamente connessa all’applicazione di disposizioni «sostanziali» della direttiva (CE) 2006/112 (direttiva IVA) e mai delle norme esclusivamente procedurali del</w:t>
      </w:r>
      <w:r>
        <w:rPr>
          <w:color w:val="231F20"/>
          <w:spacing w:val="-1"/>
        </w:rPr>
        <w:t> </w:t>
      </w:r>
      <w:r>
        <w:rPr>
          <w:color w:val="231F20"/>
        </w:rPr>
        <w:t>regolamento</w:t>
      </w:r>
      <w:r>
        <w:rPr>
          <w:color w:val="231F20"/>
          <w:spacing w:val="-1"/>
        </w:rPr>
        <w:t> </w:t>
      </w:r>
      <w:r>
        <w:rPr>
          <w:color w:val="231F20"/>
        </w:rPr>
        <w:t>(UE)</w:t>
      </w:r>
      <w:r>
        <w:rPr>
          <w:color w:val="231F20"/>
          <w:spacing w:val="-1"/>
        </w:rPr>
        <w:t> </w:t>
      </w:r>
      <w:r>
        <w:rPr>
          <w:color w:val="231F20"/>
        </w:rPr>
        <w:t>904/2010.</w:t>
      </w:r>
      <w:r>
        <w:rPr>
          <w:color w:val="231F20"/>
          <w:spacing w:val="-1"/>
        </w:rPr>
        <w:t> </w:t>
      </w:r>
      <w:r>
        <w:rPr>
          <w:color w:val="231F20"/>
        </w:rPr>
        <w:t>Le</w:t>
      </w:r>
      <w:r>
        <w:rPr>
          <w:color w:val="231F20"/>
          <w:spacing w:val="-1"/>
        </w:rPr>
        <w:t> </w:t>
      </w:r>
      <w:r>
        <w:rPr>
          <w:color w:val="231F20"/>
        </w:rPr>
        <w:t>suesposte</w:t>
      </w:r>
      <w:r>
        <w:rPr>
          <w:color w:val="231F20"/>
          <w:spacing w:val="-1"/>
        </w:rPr>
        <w:t> </w:t>
      </w:r>
      <w:r>
        <w:rPr>
          <w:color w:val="231F20"/>
        </w:rPr>
        <w:t>considerazioni</w:t>
      </w:r>
      <w:r>
        <w:rPr>
          <w:color w:val="231F20"/>
          <w:spacing w:val="-1"/>
        </w:rPr>
        <w:t> </w:t>
      </w:r>
      <w:r>
        <w:rPr>
          <w:color w:val="231F20"/>
        </w:rPr>
        <w:t>introduttive rendono a questo punto più agevole l’analisi delle quattro sentenze nelle quali</w:t>
      </w:r>
      <w:r>
        <w:rPr>
          <w:color w:val="231F20"/>
          <w:spacing w:val="-13"/>
        </w:rPr>
        <w:t> </w:t>
      </w:r>
      <w:r>
        <w:rPr>
          <w:color w:val="231F20"/>
        </w:rPr>
        <w:t>la</w:t>
      </w:r>
      <w:r>
        <w:rPr>
          <w:color w:val="231F20"/>
          <w:spacing w:val="-13"/>
        </w:rPr>
        <w:t> </w:t>
      </w:r>
      <w:r>
        <w:rPr>
          <w:color w:val="231F20"/>
        </w:rPr>
        <w:t>Corte</w:t>
      </w:r>
      <w:r>
        <w:rPr>
          <w:color w:val="231F20"/>
          <w:spacing w:val="-13"/>
        </w:rPr>
        <w:t> </w:t>
      </w:r>
      <w:r>
        <w:rPr>
          <w:color w:val="231F20"/>
        </w:rPr>
        <w:t>di</w:t>
      </w:r>
      <w:r>
        <w:rPr>
          <w:color w:val="231F20"/>
          <w:spacing w:val="-13"/>
        </w:rPr>
        <w:t> </w:t>
      </w:r>
      <w:r>
        <w:rPr>
          <w:color w:val="231F20"/>
        </w:rPr>
        <w:t>giustizia</w:t>
      </w:r>
      <w:r>
        <w:rPr>
          <w:color w:val="231F20"/>
          <w:spacing w:val="-13"/>
        </w:rPr>
        <w:t> </w:t>
      </w:r>
      <w:r>
        <w:rPr>
          <w:color w:val="231F20"/>
        </w:rPr>
        <w:t>è</w:t>
      </w:r>
      <w:r>
        <w:rPr>
          <w:color w:val="231F20"/>
          <w:spacing w:val="-13"/>
        </w:rPr>
        <w:t> </w:t>
      </w:r>
      <w:r>
        <w:rPr>
          <w:color w:val="231F20"/>
        </w:rPr>
        <w:t>stata</w:t>
      </w:r>
      <w:r>
        <w:rPr>
          <w:color w:val="231F20"/>
          <w:spacing w:val="-13"/>
        </w:rPr>
        <w:t> </w:t>
      </w:r>
      <w:r>
        <w:rPr>
          <w:color w:val="231F20"/>
        </w:rPr>
        <w:t>chiamata</w:t>
      </w:r>
      <w:r>
        <w:rPr>
          <w:color w:val="231F20"/>
          <w:spacing w:val="-13"/>
        </w:rPr>
        <w:t> </w:t>
      </w:r>
      <w:r>
        <w:rPr>
          <w:color w:val="231F20"/>
        </w:rPr>
        <w:t>ad</w:t>
      </w:r>
      <w:r>
        <w:rPr>
          <w:color w:val="231F20"/>
          <w:spacing w:val="-13"/>
        </w:rPr>
        <w:t> </w:t>
      </w:r>
      <w:r>
        <w:rPr>
          <w:color w:val="231F20"/>
        </w:rPr>
        <w:t>interpretare</w:t>
      </w:r>
      <w:r>
        <w:rPr>
          <w:color w:val="231F20"/>
          <w:spacing w:val="-13"/>
        </w:rPr>
        <w:t> </w:t>
      </w:r>
      <w:r>
        <w:rPr>
          <w:color w:val="231F20"/>
        </w:rPr>
        <w:t>le</w:t>
      </w:r>
      <w:r>
        <w:rPr>
          <w:color w:val="231F20"/>
          <w:spacing w:val="-13"/>
        </w:rPr>
        <w:t> </w:t>
      </w:r>
      <w:r>
        <w:rPr>
          <w:color w:val="231F20"/>
        </w:rPr>
        <w:t>disposizioni</w:t>
      </w:r>
      <w:r>
        <w:rPr>
          <w:color w:val="231F20"/>
          <w:spacing w:val="-13"/>
        </w:rPr>
        <w:t> </w:t>
      </w:r>
      <w:r>
        <w:rPr>
          <w:color w:val="231F20"/>
        </w:rPr>
        <w:t>del regolamento (UE) 904/2010.</w:t>
      </w:r>
    </w:p>
    <w:p>
      <w:pPr>
        <w:pStyle w:val="BodyText"/>
        <w:spacing w:before="173"/>
      </w:pPr>
    </w:p>
    <w:p>
      <w:pPr>
        <w:pStyle w:val="ListParagraph"/>
        <w:numPr>
          <w:ilvl w:val="1"/>
          <w:numId w:val="4"/>
        </w:numPr>
        <w:tabs>
          <w:tab w:pos="526" w:val="left" w:leader="none"/>
        </w:tabs>
        <w:spacing w:line="244" w:lineRule="auto" w:before="0" w:after="0"/>
        <w:ind w:left="100" w:right="998" w:firstLine="0"/>
        <w:jc w:val="left"/>
        <w:rPr>
          <w:b/>
          <w:sz w:val="24"/>
        </w:rPr>
      </w:pPr>
      <w:r>
        <w:rPr>
          <w:b/>
          <w:color w:val="231F20"/>
          <w:sz w:val="24"/>
        </w:rPr>
        <w:t>La sentenza del 17 dicembre 2015, C-419/14, WebMind Licences:</w:t>
      </w:r>
      <w:r>
        <w:rPr>
          <w:b/>
          <w:color w:val="231F20"/>
          <w:spacing w:val="-5"/>
          <w:sz w:val="24"/>
        </w:rPr>
        <w:t> </w:t>
      </w:r>
      <w:r>
        <w:rPr>
          <w:b/>
          <w:color w:val="231F20"/>
          <w:sz w:val="24"/>
        </w:rPr>
        <w:t>in</w:t>
      </w:r>
      <w:r>
        <w:rPr>
          <w:b/>
          <w:color w:val="231F20"/>
          <w:spacing w:val="-5"/>
          <w:sz w:val="24"/>
        </w:rPr>
        <w:t> </w:t>
      </w:r>
      <w:r>
        <w:rPr>
          <w:b/>
          <w:color w:val="231F20"/>
          <w:sz w:val="24"/>
        </w:rPr>
        <w:t>quali</w:t>
      </w:r>
      <w:r>
        <w:rPr>
          <w:b/>
          <w:color w:val="231F20"/>
          <w:spacing w:val="-5"/>
          <w:sz w:val="24"/>
        </w:rPr>
        <w:t> </w:t>
      </w:r>
      <w:r>
        <w:rPr>
          <w:b/>
          <w:color w:val="231F20"/>
          <w:sz w:val="24"/>
        </w:rPr>
        <w:t>casi</w:t>
      </w:r>
      <w:r>
        <w:rPr>
          <w:b/>
          <w:color w:val="231F20"/>
          <w:spacing w:val="-5"/>
          <w:sz w:val="24"/>
        </w:rPr>
        <w:t> </w:t>
      </w:r>
      <w:r>
        <w:rPr>
          <w:b/>
          <w:color w:val="231F20"/>
          <w:sz w:val="24"/>
        </w:rPr>
        <w:t>vi</w:t>
      </w:r>
      <w:r>
        <w:rPr>
          <w:b/>
          <w:color w:val="231F20"/>
          <w:spacing w:val="-5"/>
          <w:sz w:val="24"/>
        </w:rPr>
        <w:t> </w:t>
      </w:r>
      <w:r>
        <w:rPr>
          <w:b/>
          <w:color w:val="231F20"/>
          <w:sz w:val="24"/>
        </w:rPr>
        <w:t>è</w:t>
      </w:r>
      <w:r>
        <w:rPr>
          <w:b/>
          <w:color w:val="231F20"/>
          <w:spacing w:val="-5"/>
          <w:sz w:val="24"/>
        </w:rPr>
        <w:t> </w:t>
      </w:r>
      <w:r>
        <w:rPr>
          <w:b/>
          <w:color w:val="231F20"/>
          <w:sz w:val="24"/>
        </w:rPr>
        <w:t>un</w:t>
      </w:r>
      <w:r>
        <w:rPr>
          <w:b/>
          <w:color w:val="231F20"/>
          <w:spacing w:val="-5"/>
          <w:sz w:val="24"/>
        </w:rPr>
        <w:t> </w:t>
      </w:r>
      <w:r>
        <w:rPr>
          <w:b/>
          <w:color w:val="231F20"/>
          <w:sz w:val="24"/>
        </w:rPr>
        <w:t>obbligo</w:t>
      </w:r>
      <w:r>
        <w:rPr>
          <w:b/>
          <w:color w:val="231F20"/>
          <w:spacing w:val="-5"/>
          <w:sz w:val="24"/>
        </w:rPr>
        <w:t> </w:t>
      </w:r>
      <w:r>
        <w:rPr>
          <w:b/>
          <w:color w:val="231F20"/>
          <w:sz w:val="24"/>
        </w:rPr>
        <w:t>di</w:t>
      </w:r>
      <w:r>
        <w:rPr>
          <w:b/>
          <w:color w:val="231F20"/>
          <w:spacing w:val="-5"/>
          <w:sz w:val="24"/>
        </w:rPr>
        <w:t> </w:t>
      </w:r>
      <w:r>
        <w:rPr>
          <w:b/>
          <w:color w:val="231F20"/>
          <w:sz w:val="24"/>
        </w:rPr>
        <w:t>richiedere</w:t>
      </w:r>
      <w:r>
        <w:rPr>
          <w:b/>
          <w:color w:val="231F20"/>
          <w:spacing w:val="-5"/>
          <w:sz w:val="24"/>
        </w:rPr>
        <w:t> </w:t>
      </w:r>
      <w:r>
        <w:rPr>
          <w:b/>
          <w:color w:val="231F20"/>
          <w:sz w:val="24"/>
        </w:rPr>
        <w:t>informazioni all’amministrazione di un altro Stato membro</w:t>
      </w:r>
    </w:p>
    <w:p>
      <w:pPr>
        <w:pStyle w:val="BodyText"/>
        <w:spacing w:line="225" w:lineRule="auto" w:before="264"/>
        <w:ind w:left="100" w:right="175"/>
        <w:jc w:val="both"/>
      </w:pPr>
      <w:r>
        <w:rPr>
          <w:color w:val="231F20"/>
        </w:rPr>
        <w:t>La</w:t>
      </w:r>
      <w:r>
        <w:rPr>
          <w:color w:val="231F20"/>
          <w:spacing w:val="-4"/>
        </w:rPr>
        <w:t> </w:t>
      </w:r>
      <w:r>
        <w:rPr>
          <w:i/>
          <w:color w:val="231F20"/>
        </w:rPr>
        <w:t>WebMind</w:t>
      </w:r>
      <w:r>
        <w:rPr>
          <w:i/>
          <w:color w:val="231F20"/>
          <w:spacing w:val="-4"/>
        </w:rPr>
        <w:t> </w:t>
      </w:r>
      <w:r>
        <w:rPr>
          <w:i/>
          <w:color w:val="231F20"/>
        </w:rPr>
        <w:t>Licences</w:t>
      </w:r>
      <w:r>
        <w:rPr>
          <w:rFonts w:ascii="Times New Roman" w:hAnsi="Times New Roman"/>
          <w:color w:val="231F20"/>
          <w:position w:val="8"/>
          <w:sz w:val="14"/>
        </w:rPr>
        <w:t>133</w:t>
      </w:r>
      <w:r>
        <w:rPr>
          <w:rFonts w:ascii="Times New Roman" w:hAnsi="Times New Roman"/>
          <w:color w:val="231F20"/>
          <w:spacing w:val="21"/>
          <w:position w:val="8"/>
          <w:sz w:val="14"/>
        </w:rPr>
        <w:t> </w:t>
      </w:r>
      <w:r>
        <w:rPr>
          <w:color w:val="231F20"/>
        </w:rPr>
        <w:t>era</w:t>
      </w:r>
      <w:r>
        <w:rPr>
          <w:color w:val="231F20"/>
          <w:spacing w:val="-4"/>
        </w:rPr>
        <w:t> </w:t>
      </w:r>
      <w:r>
        <w:rPr>
          <w:color w:val="231F20"/>
        </w:rPr>
        <w:t>una</w:t>
      </w:r>
      <w:r>
        <w:rPr>
          <w:color w:val="231F20"/>
          <w:spacing w:val="-4"/>
        </w:rPr>
        <w:t> </w:t>
      </w:r>
      <w:r>
        <w:rPr>
          <w:color w:val="231F20"/>
        </w:rPr>
        <w:t>società</w:t>
      </w:r>
      <w:r>
        <w:rPr>
          <w:color w:val="231F20"/>
          <w:spacing w:val="-4"/>
        </w:rPr>
        <w:t> </w:t>
      </w:r>
      <w:r>
        <w:rPr>
          <w:color w:val="231F20"/>
        </w:rPr>
        <w:t>commerciale</w:t>
      </w:r>
      <w:r>
        <w:rPr>
          <w:color w:val="231F20"/>
          <w:spacing w:val="-4"/>
        </w:rPr>
        <w:t> </w:t>
      </w:r>
      <w:r>
        <w:rPr>
          <w:color w:val="231F20"/>
        </w:rPr>
        <w:t>con</w:t>
      </w:r>
      <w:r>
        <w:rPr>
          <w:color w:val="231F20"/>
          <w:spacing w:val="-4"/>
        </w:rPr>
        <w:t> </w:t>
      </w:r>
      <w:r>
        <w:rPr>
          <w:color w:val="231F20"/>
        </w:rPr>
        <w:t>sede</w:t>
      </w:r>
      <w:r>
        <w:rPr>
          <w:color w:val="231F20"/>
          <w:spacing w:val="-4"/>
        </w:rPr>
        <w:t> </w:t>
      </w:r>
      <w:r>
        <w:rPr>
          <w:color w:val="231F20"/>
        </w:rPr>
        <w:t>in</w:t>
      </w:r>
      <w:r>
        <w:rPr>
          <w:color w:val="231F20"/>
          <w:spacing w:val="-4"/>
        </w:rPr>
        <w:t> </w:t>
      </w:r>
      <w:r>
        <w:rPr>
          <w:color w:val="231F20"/>
        </w:rPr>
        <w:t>Ungheria che</w:t>
      </w:r>
      <w:r>
        <w:rPr>
          <w:color w:val="231F20"/>
          <w:spacing w:val="9"/>
        </w:rPr>
        <w:t> </w:t>
      </w:r>
      <w:r>
        <w:rPr>
          <w:color w:val="231F20"/>
        </w:rPr>
        <w:t>aveva</w:t>
      </w:r>
      <w:r>
        <w:rPr>
          <w:color w:val="231F20"/>
          <w:spacing w:val="11"/>
        </w:rPr>
        <w:t> </w:t>
      </w:r>
      <w:r>
        <w:rPr>
          <w:color w:val="231F20"/>
        </w:rPr>
        <w:t>acquisito</w:t>
      </w:r>
      <w:r>
        <w:rPr>
          <w:color w:val="231F20"/>
          <w:spacing w:val="11"/>
        </w:rPr>
        <w:t> </w:t>
      </w:r>
      <w:r>
        <w:rPr>
          <w:color w:val="231F20"/>
        </w:rPr>
        <w:t>da</w:t>
      </w:r>
      <w:r>
        <w:rPr>
          <w:color w:val="231F20"/>
          <w:spacing w:val="11"/>
        </w:rPr>
        <w:t> </w:t>
      </w:r>
      <w:r>
        <w:rPr>
          <w:color w:val="231F20"/>
        </w:rPr>
        <w:t>una</w:t>
      </w:r>
      <w:r>
        <w:rPr>
          <w:color w:val="231F20"/>
          <w:spacing w:val="11"/>
        </w:rPr>
        <w:t> </w:t>
      </w:r>
      <w:r>
        <w:rPr>
          <w:color w:val="231F20"/>
        </w:rPr>
        <w:t>società</w:t>
      </w:r>
      <w:r>
        <w:rPr>
          <w:color w:val="231F20"/>
          <w:spacing w:val="12"/>
        </w:rPr>
        <w:t> </w:t>
      </w:r>
      <w:r>
        <w:rPr>
          <w:color w:val="231F20"/>
        </w:rPr>
        <w:t>con</w:t>
      </w:r>
      <w:r>
        <w:rPr>
          <w:color w:val="231F20"/>
          <w:spacing w:val="11"/>
        </w:rPr>
        <w:t> </w:t>
      </w:r>
      <w:r>
        <w:rPr>
          <w:color w:val="231F20"/>
        </w:rPr>
        <w:t>sede</w:t>
      </w:r>
      <w:r>
        <w:rPr>
          <w:color w:val="231F20"/>
          <w:spacing w:val="11"/>
        </w:rPr>
        <w:t> </w:t>
      </w:r>
      <w:r>
        <w:rPr>
          <w:color w:val="231F20"/>
        </w:rPr>
        <w:t>in</w:t>
      </w:r>
      <w:r>
        <w:rPr>
          <w:color w:val="231F20"/>
          <w:spacing w:val="11"/>
        </w:rPr>
        <w:t> </w:t>
      </w:r>
      <w:r>
        <w:rPr>
          <w:color w:val="231F20"/>
        </w:rPr>
        <w:t>Portogallo</w:t>
      </w:r>
      <w:r>
        <w:rPr>
          <w:color w:val="231F20"/>
          <w:spacing w:val="11"/>
        </w:rPr>
        <w:t> </w:t>
      </w:r>
      <w:r>
        <w:rPr>
          <w:color w:val="231F20"/>
        </w:rPr>
        <w:t>il</w:t>
      </w:r>
      <w:r>
        <w:rPr>
          <w:color w:val="231F20"/>
          <w:spacing w:val="11"/>
        </w:rPr>
        <w:t> </w:t>
      </w:r>
      <w:r>
        <w:rPr>
          <w:i/>
          <w:color w:val="231F20"/>
        </w:rPr>
        <w:t>know-how</w:t>
      </w:r>
      <w:r>
        <w:rPr>
          <w:i/>
          <w:color w:val="231F20"/>
          <w:spacing w:val="12"/>
        </w:rPr>
        <w:t> </w:t>
      </w:r>
      <w:r>
        <w:rPr>
          <w:color w:val="231F20"/>
          <w:spacing w:val="-5"/>
        </w:rPr>
        <w:t>re-</w:t>
      </w:r>
    </w:p>
    <w:p>
      <w:pPr>
        <w:pStyle w:val="BodyText"/>
        <w:spacing w:before="5"/>
        <w:rPr>
          <w:sz w:val="7"/>
        </w:rPr>
      </w:pPr>
      <w:r>
        <w:rPr/>
        <mc:AlternateContent>
          <mc:Choice Requires="wps">
            <w:drawing>
              <wp:anchor distT="0" distB="0" distL="0" distR="0" allowOverlap="1" layoutInCell="1" locked="0" behindDoc="1" simplePos="0" relativeHeight="487646208">
                <wp:simplePos x="0" y="0"/>
                <wp:positionH relativeFrom="page">
                  <wp:posOffset>864000</wp:posOffset>
                </wp:positionH>
                <wp:positionV relativeFrom="paragraph">
                  <wp:posOffset>75316</wp:posOffset>
                </wp:positionV>
                <wp:extent cx="792480" cy="1270"/>
                <wp:effectExtent l="0" t="0" r="0" b="0"/>
                <wp:wrapTopAndBottom/>
                <wp:docPr id="187" name="Graphic 187"/>
                <wp:cNvGraphicFramePr>
                  <a:graphicFrameLocks/>
                </wp:cNvGraphicFramePr>
                <a:graphic>
                  <a:graphicData uri="http://schemas.microsoft.com/office/word/2010/wordprocessingShape">
                    <wps:wsp>
                      <wps:cNvPr id="187" name="Graphic 187"/>
                      <wps:cNvSpPr/>
                      <wps:spPr>
                        <a:xfrm>
                          <a:off x="0" y="0"/>
                          <a:ext cx="792480" cy="1270"/>
                        </a:xfrm>
                        <a:custGeom>
                          <a:avLst/>
                          <a:gdLst/>
                          <a:ahLst/>
                          <a:cxnLst/>
                          <a:rect l="l" t="t" r="r" b="b"/>
                          <a:pathLst>
                            <a:path w="792480" h="0">
                              <a:moveTo>
                                <a:pt x="0" y="0"/>
                              </a:moveTo>
                              <a:lnTo>
                                <a:pt x="791997"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shape style="position:absolute;margin-left:68.031502pt;margin-top:5.93044pt;width:62.4pt;height:.1pt;mso-position-horizontal-relative:page;mso-position-vertical-relative:paragraph;z-index:-15670272;mso-wrap-distance-left:0;mso-wrap-distance-right:0" id="docshape155" coordorigin="1361,119" coordsize="1248,0" path="m1361,119l2608,119e" filled="false" stroked="true" strokeweight=".5pt" strokecolor="#231f20">
                <v:path arrowok="t"/>
                <v:stroke dashstyle="solid"/>
                <w10:wrap type="topAndBottom"/>
              </v:shape>
            </w:pict>
          </mc:Fallback>
        </mc:AlternateContent>
      </w:r>
    </w:p>
    <w:p>
      <w:pPr>
        <w:spacing w:line="225" w:lineRule="auto" w:before="201"/>
        <w:ind w:left="100" w:right="175" w:firstLine="0"/>
        <w:jc w:val="both"/>
        <w:rPr>
          <w:sz w:val="19"/>
        </w:rPr>
      </w:pPr>
      <w:r>
        <w:rPr>
          <w:color w:val="231F20"/>
          <w:position w:val="6"/>
          <w:sz w:val="11"/>
        </w:rPr>
        <w:t>132</w:t>
      </w:r>
      <w:r>
        <w:rPr>
          <w:color w:val="231F20"/>
          <w:spacing w:val="80"/>
          <w:position w:val="6"/>
          <w:sz w:val="11"/>
        </w:rPr>
        <w:t> </w:t>
      </w:r>
      <w:r>
        <w:rPr>
          <w:color w:val="231F20"/>
          <w:sz w:val="19"/>
        </w:rPr>
        <w:t>Art. 1, par. 2, regolamento (UE) 904/2010: «A tal fine esso definisce norme e procedure che consentono alle autorità competenti degli Stati membri di collaborare e di scambiare </w:t>
      </w:r>
      <w:r>
        <w:rPr>
          <w:color w:val="231F20"/>
          <w:sz w:val="19"/>
        </w:rPr>
        <w:t>tra loro</w:t>
      </w:r>
      <w:r>
        <w:rPr>
          <w:color w:val="231F20"/>
          <w:spacing w:val="-2"/>
          <w:sz w:val="19"/>
        </w:rPr>
        <w:t> </w:t>
      </w:r>
      <w:r>
        <w:rPr>
          <w:color w:val="231F20"/>
          <w:sz w:val="19"/>
        </w:rPr>
        <w:t>ogni</w:t>
      </w:r>
      <w:r>
        <w:rPr>
          <w:color w:val="231F20"/>
          <w:spacing w:val="-2"/>
          <w:sz w:val="19"/>
        </w:rPr>
        <w:t> </w:t>
      </w:r>
      <w:r>
        <w:rPr>
          <w:color w:val="231F20"/>
          <w:sz w:val="19"/>
        </w:rPr>
        <w:t>informazione</w:t>
      </w:r>
      <w:r>
        <w:rPr>
          <w:color w:val="231F20"/>
          <w:spacing w:val="-2"/>
          <w:sz w:val="19"/>
        </w:rPr>
        <w:t> </w:t>
      </w:r>
      <w:r>
        <w:rPr>
          <w:color w:val="231F20"/>
          <w:sz w:val="19"/>
        </w:rPr>
        <w:t>che</w:t>
      </w:r>
      <w:r>
        <w:rPr>
          <w:color w:val="231F20"/>
          <w:spacing w:val="-2"/>
          <w:sz w:val="19"/>
        </w:rPr>
        <w:t> </w:t>
      </w:r>
      <w:r>
        <w:rPr>
          <w:color w:val="231F20"/>
          <w:sz w:val="19"/>
        </w:rPr>
        <w:t>possa</w:t>
      </w:r>
      <w:r>
        <w:rPr>
          <w:color w:val="231F20"/>
          <w:spacing w:val="-2"/>
          <w:sz w:val="19"/>
        </w:rPr>
        <w:t> </w:t>
      </w:r>
      <w:r>
        <w:rPr>
          <w:color w:val="231F20"/>
          <w:sz w:val="19"/>
        </w:rPr>
        <w:t>consentire</w:t>
      </w:r>
      <w:r>
        <w:rPr>
          <w:color w:val="231F20"/>
          <w:spacing w:val="-2"/>
          <w:sz w:val="19"/>
        </w:rPr>
        <w:t> </w:t>
      </w:r>
      <w:r>
        <w:rPr>
          <w:color w:val="231F20"/>
          <w:sz w:val="19"/>
        </w:rPr>
        <w:t>di</w:t>
      </w:r>
      <w:r>
        <w:rPr>
          <w:color w:val="231F20"/>
          <w:spacing w:val="-2"/>
          <w:sz w:val="19"/>
        </w:rPr>
        <w:t> </w:t>
      </w:r>
      <w:r>
        <w:rPr>
          <w:color w:val="231F20"/>
          <w:sz w:val="19"/>
        </w:rPr>
        <w:t>accertare</w:t>
      </w:r>
      <w:r>
        <w:rPr>
          <w:color w:val="231F20"/>
          <w:spacing w:val="-2"/>
          <w:sz w:val="19"/>
        </w:rPr>
        <w:t> </w:t>
      </w:r>
      <w:r>
        <w:rPr>
          <w:color w:val="231F20"/>
          <w:sz w:val="19"/>
        </w:rPr>
        <w:t>correttamente</w:t>
      </w:r>
      <w:r>
        <w:rPr>
          <w:color w:val="231F20"/>
          <w:spacing w:val="-2"/>
          <w:sz w:val="19"/>
        </w:rPr>
        <w:t> </w:t>
      </w:r>
      <w:r>
        <w:rPr>
          <w:color w:val="231F20"/>
          <w:sz w:val="19"/>
        </w:rPr>
        <w:t>l’IVA,</w:t>
      </w:r>
      <w:r>
        <w:rPr>
          <w:color w:val="231F20"/>
          <w:spacing w:val="-2"/>
          <w:sz w:val="19"/>
        </w:rPr>
        <w:t> </w:t>
      </w:r>
      <w:r>
        <w:rPr>
          <w:color w:val="231F20"/>
          <w:sz w:val="19"/>
        </w:rPr>
        <w:t>di</w:t>
      </w:r>
      <w:r>
        <w:rPr>
          <w:color w:val="231F20"/>
          <w:spacing w:val="-2"/>
          <w:sz w:val="19"/>
        </w:rPr>
        <w:t> </w:t>
      </w:r>
      <w:r>
        <w:rPr>
          <w:color w:val="231F20"/>
          <w:sz w:val="19"/>
        </w:rPr>
        <w:t>verificarne</w:t>
      </w:r>
      <w:r>
        <w:rPr>
          <w:color w:val="231F20"/>
          <w:spacing w:val="-2"/>
          <w:sz w:val="19"/>
        </w:rPr>
        <w:t> </w:t>
      </w:r>
      <w:r>
        <w:rPr>
          <w:color w:val="231F20"/>
          <w:sz w:val="19"/>
        </w:rPr>
        <w:t>la corretta applicazione, in particolare sulle transazioni intracomunitarie, e di lottare contro la frode all’IVA».</w:t>
      </w:r>
    </w:p>
    <w:p>
      <w:pPr>
        <w:spacing w:line="236" w:lineRule="exact" w:before="0"/>
        <w:ind w:left="100" w:right="0" w:firstLine="0"/>
        <w:jc w:val="both"/>
        <w:rPr>
          <w:i/>
          <w:sz w:val="19"/>
        </w:rPr>
      </w:pPr>
      <w:r>
        <w:rPr>
          <w:color w:val="231F20"/>
          <w:position w:val="6"/>
          <w:sz w:val="11"/>
        </w:rPr>
        <w:t>133</w:t>
      </w:r>
      <w:r>
        <w:rPr>
          <w:color w:val="231F20"/>
          <w:spacing w:val="61"/>
          <w:position w:val="6"/>
          <w:sz w:val="11"/>
        </w:rPr>
        <w:t>  </w:t>
      </w:r>
      <w:r>
        <w:rPr>
          <w:color w:val="231F20"/>
          <w:sz w:val="19"/>
        </w:rPr>
        <w:t>Corte</w:t>
      </w:r>
      <w:r>
        <w:rPr>
          <w:color w:val="231F20"/>
          <w:spacing w:val="70"/>
          <w:sz w:val="19"/>
        </w:rPr>
        <w:t> </w:t>
      </w:r>
      <w:r>
        <w:rPr>
          <w:color w:val="231F20"/>
          <w:sz w:val="19"/>
        </w:rPr>
        <w:t>Giust.</w:t>
      </w:r>
      <w:r>
        <w:rPr>
          <w:color w:val="231F20"/>
          <w:spacing w:val="69"/>
          <w:sz w:val="19"/>
        </w:rPr>
        <w:t> </w:t>
      </w:r>
      <w:r>
        <w:rPr>
          <w:color w:val="231F20"/>
          <w:sz w:val="19"/>
        </w:rPr>
        <w:t>UE,</w:t>
      </w:r>
      <w:r>
        <w:rPr>
          <w:color w:val="231F20"/>
          <w:spacing w:val="70"/>
          <w:sz w:val="19"/>
        </w:rPr>
        <w:t> </w:t>
      </w:r>
      <w:r>
        <w:rPr>
          <w:color w:val="231F20"/>
          <w:sz w:val="19"/>
        </w:rPr>
        <w:t>sent.</w:t>
      </w:r>
      <w:r>
        <w:rPr>
          <w:color w:val="231F20"/>
          <w:spacing w:val="70"/>
          <w:sz w:val="19"/>
        </w:rPr>
        <w:t> </w:t>
      </w:r>
      <w:r>
        <w:rPr>
          <w:color w:val="231F20"/>
          <w:sz w:val="19"/>
        </w:rPr>
        <w:t>del</w:t>
      </w:r>
      <w:r>
        <w:rPr>
          <w:color w:val="231F20"/>
          <w:spacing w:val="70"/>
          <w:sz w:val="19"/>
        </w:rPr>
        <w:t> </w:t>
      </w:r>
      <w:r>
        <w:rPr>
          <w:color w:val="231F20"/>
          <w:sz w:val="19"/>
        </w:rPr>
        <w:t>17</w:t>
      </w:r>
      <w:r>
        <w:rPr>
          <w:color w:val="231F20"/>
          <w:spacing w:val="70"/>
          <w:sz w:val="19"/>
        </w:rPr>
        <w:t> </w:t>
      </w:r>
      <w:r>
        <w:rPr>
          <w:color w:val="231F20"/>
          <w:sz w:val="19"/>
        </w:rPr>
        <w:t>dicembre</w:t>
      </w:r>
      <w:r>
        <w:rPr>
          <w:color w:val="231F20"/>
          <w:spacing w:val="70"/>
          <w:sz w:val="19"/>
        </w:rPr>
        <w:t> </w:t>
      </w:r>
      <w:r>
        <w:rPr>
          <w:color w:val="231F20"/>
          <w:sz w:val="19"/>
        </w:rPr>
        <w:t>2015,</w:t>
      </w:r>
      <w:r>
        <w:rPr>
          <w:color w:val="231F20"/>
          <w:spacing w:val="69"/>
          <w:sz w:val="19"/>
        </w:rPr>
        <w:t> </w:t>
      </w:r>
      <w:r>
        <w:rPr>
          <w:color w:val="231F20"/>
          <w:sz w:val="19"/>
        </w:rPr>
        <w:t>C-419/14,</w:t>
      </w:r>
      <w:r>
        <w:rPr>
          <w:color w:val="231F20"/>
          <w:spacing w:val="70"/>
          <w:sz w:val="19"/>
        </w:rPr>
        <w:t> </w:t>
      </w:r>
      <w:r>
        <w:rPr>
          <w:i/>
          <w:color w:val="231F20"/>
          <w:sz w:val="19"/>
        </w:rPr>
        <w:t>WebMind</w:t>
      </w:r>
      <w:r>
        <w:rPr>
          <w:i/>
          <w:color w:val="231F20"/>
          <w:spacing w:val="70"/>
          <w:sz w:val="19"/>
        </w:rPr>
        <w:t> </w:t>
      </w:r>
      <w:r>
        <w:rPr>
          <w:i/>
          <w:color w:val="231F20"/>
          <w:sz w:val="19"/>
        </w:rPr>
        <w:t>Licences</w:t>
      </w:r>
      <w:r>
        <w:rPr>
          <w:i/>
          <w:color w:val="231F20"/>
          <w:spacing w:val="70"/>
          <w:sz w:val="19"/>
        </w:rPr>
        <w:t> </w:t>
      </w:r>
      <w:r>
        <w:rPr>
          <w:i/>
          <w:color w:val="231F20"/>
          <w:spacing w:val="-5"/>
          <w:sz w:val="19"/>
        </w:rPr>
        <w:t>c.</w:t>
      </w:r>
    </w:p>
    <w:p>
      <w:pPr>
        <w:spacing w:after="0" w:line="236" w:lineRule="exact"/>
        <w:jc w:val="both"/>
        <w:rPr>
          <w:sz w:val="19"/>
        </w:rPr>
        <w:sectPr>
          <w:pgSz w:w="9640" w:h="13610"/>
          <w:pgMar w:header="0" w:footer="625" w:top="1260" w:bottom="820" w:left="1260" w:right="1240"/>
        </w:sectPr>
      </w:pPr>
    </w:p>
    <w:p>
      <w:pPr>
        <w:pStyle w:val="BodyText"/>
        <w:spacing w:line="225" w:lineRule="auto" w:before="117"/>
        <w:ind w:left="157" w:right="117"/>
        <w:jc w:val="both"/>
      </w:pPr>
      <w:r>
        <w:rPr/>
        <mc:AlternateContent>
          <mc:Choice Requires="wps">
            <w:drawing>
              <wp:anchor distT="0" distB="0" distL="0" distR="0" allowOverlap="1" layoutInCell="1" locked="0" behindDoc="0" simplePos="0" relativeHeight="15788032">
                <wp:simplePos x="0" y="0"/>
                <wp:positionH relativeFrom="page">
                  <wp:posOffset>5608609</wp:posOffset>
                </wp:positionH>
                <wp:positionV relativeFrom="page">
                  <wp:posOffset>2376001</wp:posOffset>
                </wp:positionV>
                <wp:extent cx="511809" cy="2412365"/>
                <wp:effectExtent l="0" t="0" r="0" b="0"/>
                <wp:wrapNone/>
                <wp:docPr id="188" name="Group 188"/>
                <wp:cNvGraphicFramePr>
                  <a:graphicFrameLocks/>
                </wp:cNvGraphicFramePr>
                <a:graphic>
                  <a:graphicData uri="http://schemas.microsoft.com/office/word/2010/wordprocessingGroup">
                    <wpg:wgp>
                      <wpg:cNvPr id="188" name="Group 188"/>
                      <wpg:cNvGrpSpPr/>
                      <wpg:grpSpPr>
                        <a:xfrm>
                          <a:off x="0" y="0"/>
                          <a:ext cx="511809" cy="2412365"/>
                          <a:chExt cx="511809" cy="2412365"/>
                        </a:xfrm>
                      </wpg:grpSpPr>
                      <wps:wsp>
                        <wps:cNvPr id="189" name="Graphic 189"/>
                        <wps:cNvSpPr/>
                        <wps:spPr>
                          <a:xfrm>
                            <a:off x="7393" y="3"/>
                            <a:ext cx="504190" cy="360045"/>
                          </a:xfrm>
                          <a:custGeom>
                            <a:avLst/>
                            <a:gdLst/>
                            <a:ahLst/>
                            <a:cxnLst/>
                            <a:rect l="l" t="t" r="r" b="b"/>
                            <a:pathLst>
                              <a:path w="504190" h="360045">
                                <a:moveTo>
                                  <a:pt x="503999" y="0"/>
                                </a:moveTo>
                                <a:lnTo>
                                  <a:pt x="0" y="0"/>
                                </a:lnTo>
                                <a:lnTo>
                                  <a:pt x="0" y="359994"/>
                                </a:lnTo>
                                <a:lnTo>
                                  <a:pt x="503999" y="359994"/>
                                </a:lnTo>
                                <a:lnTo>
                                  <a:pt x="503999" y="0"/>
                                </a:lnTo>
                                <a:close/>
                              </a:path>
                            </a:pathLst>
                          </a:custGeom>
                          <a:solidFill>
                            <a:srgbClr val="939598"/>
                          </a:solidFill>
                        </wps:spPr>
                        <wps:bodyPr wrap="square" lIns="0" tIns="0" rIns="0" bIns="0" rtlCol="0">
                          <a:prstTxWarp prst="textNoShape">
                            <a:avLst/>
                          </a:prstTxWarp>
                          <a:noAutofit/>
                        </wps:bodyPr>
                      </wps:wsp>
                      <wps:wsp>
                        <wps:cNvPr id="190" name="Graphic 190"/>
                        <wps:cNvSpPr/>
                        <wps:spPr>
                          <a:xfrm>
                            <a:off x="6350" y="0"/>
                            <a:ext cx="1270" cy="2412365"/>
                          </a:xfrm>
                          <a:custGeom>
                            <a:avLst/>
                            <a:gdLst/>
                            <a:ahLst/>
                            <a:cxnLst/>
                            <a:rect l="l" t="t" r="r" b="b"/>
                            <a:pathLst>
                              <a:path w="0" h="2412365">
                                <a:moveTo>
                                  <a:pt x="0" y="0"/>
                                </a:moveTo>
                                <a:lnTo>
                                  <a:pt x="0" y="2411996"/>
                                </a:lnTo>
                              </a:path>
                            </a:pathLst>
                          </a:custGeom>
                          <a:ln w="12700">
                            <a:solidFill>
                              <a:srgbClr val="939598"/>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441.622803pt;margin-top:187.0867pt;width:40.3pt;height:189.95pt;mso-position-horizontal-relative:page;mso-position-vertical-relative:page;z-index:15788032" id="docshapegroup156" coordorigin="8832,3742" coordsize="806,3799">
                <v:rect style="position:absolute;left:8844;top:3741;width:794;height:567" id="docshape157" filled="true" fillcolor="#939598" stroked="false">
                  <v:fill type="solid"/>
                </v:rect>
                <v:line style="position:absolute" from="8842,3742" to="8842,7540" stroked="true" strokeweight="1pt" strokecolor="#939598">
                  <v:stroke dashstyle="solid"/>
                </v:line>
                <w10:wrap type="none"/>
              </v:group>
            </w:pict>
          </mc:Fallback>
        </mc:AlternateContent>
      </w:r>
      <w:r>
        <w:rPr/>
        <mc:AlternateContent>
          <mc:Choice Requires="wps">
            <w:drawing>
              <wp:anchor distT="0" distB="0" distL="0" distR="0" allowOverlap="1" layoutInCell="1" locked="0" behindDoc="0" simplePos="0" relativeHeight="15788544">
                <wp:simplePos x="0" y="0"/>
                <wp:positionH relativeFrom="page">
                  <wp:posOffset>5635147</wp:posOffset>
                </wp:positionH>
                <wp:positionV relativeFrom="page">
                  <wp:posOffset>2795300</wp:posOffset>
                </wp:positionV>
                <wp:extent cx="299720" cy="1995805"/>
                <wp:effectExtent l="0" t="0" r="0" b="0"/>
                <wp:wrapNone/>
                <wp:docPr id="191" name="Textbox 191"/>
                <wp:cNvGraphicFramePr>
                  <a:graphicFrameLocks/>
                </wp:cNvGraphicFramePr>
                <a:graphic>
                  <a:graphicData uri="http://schemas.microsoft.com/office/word/2010/wordprocessingShape">
                    <wps:wsp>
                      <wps:cNvPr id="191" name="Textbox 191"/>
                      <wps:cNvSpPr txBox="1"/>
                      <wps:spPr>
                        <a:xfrm>
                          <a:off x="0" y="0"/>
                          <a:ext cx="299720" cy="1995805"/>
                        </a:xfrm>
                        <a:prstGeom prst="rect">
                          <a:avLst/>
                        </a:prstGeom>
                      </wps:spPr>
                      <wps:txbx>
                        <w:txbxContent>
                          <w:p>
                            <w:pPr>
                              <w:spacing w:before="20"/>
                              <w:ind w:left="20" w:right="0" w:firstLine="0"/>
                              <w:jc w:val="left"/>
                              <w:rPr>
                                <w:rFonts w:ascii="Minion Pro"/>
                                <w:sz w:val="32"/>
                              </w:rPr>
                            </w:pPr>
                            <w:r>
                              <w:rPr>
                                <w:rFonts w:ascii="Minion Pro"/>
                                <w:color w:val="231F20"/>
                                <w:sz w:val="32"/>
                              </w:rPr>
                              <w:t>Commented</w:t>
                            </w:r>
                            <w:r>
                              <w:rPr>
                                <w:rFonts w:ascii="Minion Pro"/>
                                <w:color w:val="231F20"/>
                                <w:spacing w:val="-10"/>
                                <w:sz w:val="32"/>
                              </w:rPr>
                              <w:t> </w:t>
                            </w:r>
                            <w:r>
                              <w:rPr>
                                <w:rFonts w:ascii="Minion Pro"/>
                                <w:color w:val="231F20"/>
                                <w:spacing w:val="-2"/>
                                <w:sz w:val="32"/>
                              </w:rPr>
                              <w:t>documents</w:t>
                            </w:r>
                          </w:p>
                        </w:txbxContent>
                      </wps:txbx>
                      <wps:bodyPr wrap="square" lIns="0" tIns="0" rIns="0" bIns="0" rtlCol="0" vert="vert">
                        <a:noAutofit/>
                      </wps:bodyPr>
                    </wps:wsp>
                  </a:graphicData>
                </a:graphic>
              </wp:anchor>
            </w:drawing>
          </mc:Choice>
          <mc:Fallback>
            <w:pict>
              <v:shape style="position:absolute;margin-left:443.712402pt;margin-top:220.102402pt;width:23.6pt;height:157.15pt;mso-position-horizontal-relative:page;mso-position-vertical-relative:page;z-index:15788544" type="#_x0000_t202" id="docshape158" filled="false" stroked="false">
                <v:textbox inset="0,0,0,0" style="layout-flow:vertical">
                  <w:txbxContent>
                    <w:p>
                      <w:pPr>
                        <w:spacing w:before="20"/>
                        <w:ind w:left="20" w:right="0" w:firstLine="0"/>
                        <w:jc w:val="left"/>
                        <w:rPr>
                          <w:rFonts w:ascii="Minion Pro"/>
                          <w:sz w:val="32"/>
                        </w:rPr>
                      </w:pPr>
                      <w:r>
                        <w:rPr>
                          <w:rFonts w:ascii="Minion Pro"/>
                          <w:color w:val="231F20"/>
                          <w:sz w:val="32"/>
                        </w:rPr>
                        <w:t>Commented</w:t>
                      </w:r>
                      <w:r>
                        <w:rPr>
                          <w:rFonts w:ascii="Minion Pro"/>
                          <w:color w:val="231F20"/>
                          <w:spacing w:val="-10"/>
                          <w:sz w:val="32"/>
                        </w:rPr>
                        <w:t> </w:t>
                      </w:r>
                      <w:r>
                        <w:rPr>
                          <w:rFonts w:ascii="Minion Pro"/>
                          <w:color w:val="231F20"/>
                          <w:spacing w:val="-2"/>
                          <w:sz w:val="32"/>
                        </w:rPr>
                        <w:t>documents</w:t>
                      </w:r>
                    </w:p>
                  </w:txbxContent>
                </v:textbox>
                <w10:wrap type="none"/>
              </v:shape>
            </w:pict>
          </mc:Fallback>
        </mc:AlternateContent>
      </w:r>
      <w:r>
        <w:rPr>
          <w:color w:val="231F20"/>
        </w:rPr>
        <w:t>lativo allo sfruttamento di un sito internet per la prestazione di servizi au- diovisivi</w:t>
      </w:r>
      <w:r>
        <w:rPr>
          <w:color w:val="231F20"/>
          <w:spacing w:val="-8"/>
        </w:rPr>
        <w:t> </w:t>
      </w:r>
      <w:r>
        <w:rPr>
          <w:color w:val="231F20"/>
        </w:rPr>
        <w:t>e</w:t>
      </w:r>
      <w:r>
        <w:rPr>
          <w:color w:val="231F20"/>
          <w:spacing w:val="-8"/>
        </w:rPr>
        <w:t> </w:t>
      </w:r>
      <w:r>
        <w:rPr>
          <w:color w:val="231F20"/>
        </w:rPr>
        <w:t>che</w:t>
      </w:r>
      <w:r>
        <w:rPr>
          <w:color w:val="231F20"/>
          <w:spacing w:val="-8"/>
        </w:rPr>
        <w:t> </w:t>
      </w:r>
      <w:r>
        <w:rPr>
          <w:color w:val="231F20"/>
        </w:rPr>
        <w:t>aveva</w:t>
      </w:r>
      <w:r>
        <w:rPr>
          <w:color w:val="231F20"/>
          <w:spacing w:val="-8"/>
        </w:rPr>
        <w:t> </w:t>
      </w:r>
      <w:r>
        <w:rPr>
          <w:color w:val="231F20"/>
        </w:rPr>
        <w:t>contestualmente</w:t>
      </w:r>
      <w:r>
        <w:rPr>
          <w:color w:val="231F20"/>
          <w:spacing w:val="-8"/>
        </w:rPr>
        <w:t> </w:t>
      </w:r>
      <w:r>
        <w:rPr>
          <w:color w:val="231F20"/>
        </w:rPr>
        <w:t>concesso</w:t>
      </w:r>
      <w:r>
        <w:rPr>
          <w:color w:val="231F20"/>
          <w:spacing w:val="-8"/>
        </w:rPr>
        <w:t> </w:t>
      </w:r>
      <w:r>
        <w:rPr>
          <w:color w:val="231F20"/>
        </w:rPr>
        <w:t>in</w:t>
      </w:r>
      <w:r>
        <w:rPr>
          <w:color w:val="231F20"/>
          <w:spacing w:val="-8"/>
        </w:rPr>
        <w:t> </w:t>
      </w:r>
      <w:r>
        <w:rPr>
          <w:color w:val="231F20"/>
        </w:rPr>
        <w:t>locazione</w:t>
      </w:r>
      <w:r>
        <w:rPr>
          <w:color w:val="231F20"/>
          <w:spacing w:val="-8"/>
        </w:rPr>
        <w:t> </w:t>
      </w:r>
      <w:r>
        <w:rPr>
          <w:color w:val="231F20"/>
        </w:rPr>
        <w:t>tale</w:t>
      </w:r>
      <w:r>
        <w:rPr>
          <w:color w:val="231F20"/>
          <w:spacing w:val="-8"/>
        </w:rPr>
        <w:t> </w:t>
      </w:r>
      <w:r>
        <w:rPr>
          <w:i/>
          <w:color w:val="231F20"/>
        </w:rPr>
        <w:t>know-how</w:t>
      </w:r>
      <w:r>
        <w:rPr>
          <w:color w:val="231F20"/>
        </w:rPr>
        <w:t>, mediante un contratto di licenza, ad un’altra società pure avente sede </w:t>
      </w:r>
      <w:r>
        <w:rPr>
          <w:color w:val="231F20"/>
        </w:rPr>
        <w:t>in Portogallo</w:t>
      </w:r>
      <w:r>
        <w:rPr>
          <w:color w:val="231F20"/>
          <w:spacing w:val="-13"/>
        </w:rPr>
        <w:t> </w:t>
      </w:r>
      <w:r>
        <w:rPr>
          <w:color w:val="231F20"/>
        </w:rPr>
        <w:t>di</w:t>
      </w:r>
      <w:r>
        <w:rPr>
          <w:color w:val="231F20"/>
          <w:spacing w:val="-13"/>
        </w:rPr>
        <w:t> </w:t>
      </w:r>
      <w:r>
        <w:rPr>
          <w:color w:val="231F20"/>
        </w:rPr>
        <w:t>modo</w:t>
      </w:r>
      <w:r>
        <w:rPr>
          <w:color w:val="231F20"/>
          <w:spacing w:val="-13"/>
        </w:rPr>
        <w:t> </w:t>
      </w:r>
      <w:r>
        <w:rPr>
          <w:color w:val="231F20"/>
        </w:rPr>
        <w:t>che</w:t>
      </w:r>
      <w:r>
        <w:rPr>
          <w:color w:val="231F20"/>
          <w:spacing w:val="-13"/>
        </w:rPr>
        <w:t> </w:t>
      </w:r>
      <w:r>
        <w:rPr>
          <w:color w:val="231F20"/>
        </w:rPr>
        <w:t>l’IVA</w:t>
      </w:r>
      <w:r>
        <w:rPr>
          <w:color w:val="231F20"/>
          <w:spacing w:val="-13"/>
        </w:rPr>
        <w:t> </w:t>
      </w:r>
      <w:r>
        <w:rPr>
          <w:color w:val="231F20"/>
        </w:rPr>
        <w:t>afferente</w:t>
      </w:r>
      <w:r>
        <w:rPr>
          <w:color w:val="231F20"/>
          <w:spacing w:val="-13"/>
        </w:rPr>
        <w:t> </w:t>
      </w:r>
      <w:r>
        <w:rPr>
          <w:color w:val="231F20"/>
        </w:rPr>
        <w:t>a</w:t>
      </w:r>
      <w:r>
        <w:rPr>
          <w:color w:val="231F20"/>
          <w:spacing w:val="-13"/>
        </w:rPr>
        <w:t> </w:t>
      </w:r>
      <w:r>
        <w:rPr>
          <w:color w:val="231F20"/>
        </w:rPr>
        <w:t>detta</w:t>
      </w:r>
      <w:r>
        <w:rPr>
          <w:color w:val="231F20"/>
          <w:spacing w:val="-13"/>
        </w:rPr>
        <w:t> </w:t>
      </w:r>
      <w:r>
        <w:rPr>
          <w:color w:val="231F20"/>
        </w:rPr>
        <w:t>prestazione</w:t>
      </w:r>
      <w:r>
        <w:rPr>
          <w:color w:val="231F20"/>
          <w:spacing w:val="-13"/>
        </w:rPr>
        <w:t> </w:t>
      </w:r>
      <w:r>
        <w:rPr>
          <w:color w:val="231F20"/>
        </w:rPr>
        <w:t>di</w:t>
      </w:r>
      <w:r>
        <w:rPr>
          <w:color w:val="231F20"/>
          <w:spacing w:val="-13"/>
        </w:rPr>
        <w:t> </w:t>
      </w:r>
      <w:r>
        <w:rPr>
          <w:color w:val="231F20"/>
        </w:rPr>
        <w:t>servizi</w:t>
      </w:r>
      <w:r>
        <w:rPr>
          <w:color w:val="231F20"/>
          <w:spacing w:val="-13"/>
        </w:rPr>
        <w:t> </w:t>
      </w:r>
      <w:r>
        <w:rPr>
          <w:color w:val="231F20"/>
        </w:rPr>
        <w:t>era</w:t>
      </w:r>
      <w:r>
        <w:rPr>
          <w:color w:val="231F20"/>
          <w:spacing w:val="-13"/>
        </w:rPr>
        <w:t> </w:t>
      </w:r>
      <w:r>
        <w:rPr>
          <w:color w:val="231F20"/>
        </w:rPr>
        <w:t>sta- ta</w:t>
      </w:r>
      <w:r>
        <w:rPr>
          <w:color w:val="231F20"/>
          <w:spacing w:val="-13"/>
        </w:rPr>
        <w:t> </w:t>
      </w:r>
      <w:r>
        <w:rPr>
          <w:color w:val="231F20"/>
        </w:rPr>
        <w:t>versata</w:t>
      </w:r>
      <w:r>
        <w:rPr>
          <w:color w:val="231F20"/>
          <w:spacing w:val="-13"/>
        </w:rPr>
        <w:t> </w:t>
      </w:r>
      <w:r>
        <w:rPr>
          <w:color w:val="231F20"/>
        </w:rPr>
        <w:t>allo</w:t>
      </w:r>
      <w:r>
        <w:rPr>
          <w:color w:val="231F20"/>
          <w:spacing w:val="-13"/>
        </w:rPr>
        <w:t> </w:t>
      </w:r>
      <w:r>
        <w:rPr>
          <w:color w:val="231F20"/>
        </w:rPr>
        <w:t>Stato</w:t>
      </w:r>
      <w:r>
        <w:rPr>
          <w:color w:val="231F20"/>
          <w:spacing w:val="-13"/>
        </w:rPr>
        <w:t> </w:t>
      </w:r>
      <w:r>
        <w:rPr>
          <w:color w:val="231F20"/>
        </w:rPr>
        <w:t>portoghese.</w:t>
      </w:r>
      <w:r>
        <w:rPr>
          <w:color w:val="231F20"/>
          <w:spacing w:val="-13"/>
        </w:rPr>
        <w:t> </w:t>
      </w:r>
      <w:r>
        <w:rPr>
          <w:color w:val="231F20"/>
        </w:rPr>
        <w:t>L’amministrazione</w:t>
      </w:r>
      <w:r>
        <w:rPr>
          <w:color w:val="231F20"/>
          <w:spacing w:val="-13"/>
        </w:rPr>
        <w:t> </w:t>
      </w:r>
      <w:r>
        <w:rPr>
          <w:color w:val="231F20"/>
        </w:rPr>
        <w:t>finanziaria</w:t>
      </w:r>
      <w:r>
        <w:rPr>
          <w:color w:val="231F20"/>
          <w:spacing w:val="-13"/>
        </w:rPr>
        <w:t> </w:t>
      </w:r>
      <w:r>
        <w:rPr>
          <w:color w:val="231F20"/>
        </w:rPr>
        <w:t>ungherese,</w:t>
      </w:r>
      <w:r>
        <w:rPr>
          <w:color w:val="231F20"/>
          <w:spacing w:val="-13"/>
        </w:rPr>
        <w:t> </w:t>
      </w:r>
      <w:r>
        <w:rPr>
          <w:color w:val="231F20"/>
        </w:rPr>
        <w:t>a seguito di un accertamento fiscale, aveva invece ritenuto che il complesso </w:t>
      </w:r>
      <w:r>
        <w:rPr>
          <w:color w:val="231F20"/>
          <w:spacing w:val="-2"/>
        </w:rPr>
        <w:t>dei</w:t>
      </w:r>
      <w:r>
        <w:rPr>
          <w:color w:val="231F20"/>
          <w:spacing w:val="-7"/>
        </w:rPr>
        <w:t> </w:t>
      </w:r>
      <w:r>
        <w:rPr>
          <w:color w:val="231F20"/>
          <w:spacing w:val="-2"/>
        </w:rPr>
        <w:t>suddetti</w:t>
      </w:r>
      <w:r>
        <w:rPr>
          <w:color w:val="231F20"/>
          <w:spacing w:val="-7"/>
        </w:rPr>
        <w:t> </w:t>
      </w:r>
      <w:r>
        <w:rPr>
          <w:color w:val="231F20"/>
          <w:spacing w:val="-2"/>
        </w:rPr>
        <w:t>contratti</w:t>
      </w:r>
      <w:r>
        <w:rPr>
          <w:color w:val="231F20"/>
          <w:spacing w:val="-7"/>
        </w:rPr>
        <w:t> </w:t>
      </w:r>
      <w:r>
        <w:rPr>
          <w:color w:val="231F20"/>
          <w:spacing w:val="-2"/>
        </w:rPr>
        <w:t>configurasse</w:t>
      </w:r>
      <w:r>
        <w:rPr>
          <w:color w:val="231F20"/>
          <w:spacing w:val="-7"/>
        </w:rPr>
        <w:t> </w:t>
      </w:r>
      <w:r>
        <w:rPr>
          <w:color w:val="231F20"/>
          <w:spacing w:val="-2"/>
        </w:rPr>
        <w:t>un</w:t>
      </w:r>
      <w:r>
        <w:rPr>
          <w:color w:val="231F20"/>
          <w:spacing w:val="-7"/>
        </w:rPr>
        <w:t> </w:t>
      </w:r>
      <w:r>
        <w:rPr>
          <w:color w:val="231F20"/>
          <w:spacing w:val="-2"/>
        </w:rPr>
        <w:t>abuso</w:t>
      </w:r>
      <w:r>
        <w:rPr>
          <w:color w:val="231F20"/>
          <w:spacing w:val="-7"/>
        </w:rPr>
        <w:t> </w:t>
      </w:r>
      <w:r>
        <w:rPr>
          <w:color w:val="231F20"/>
          <w:spacing w:val="-2"/>
        </w:rPr>
        <w:t>del</w:t>
      </w:r>
      <w:r>
        <w:rPr>
          <w:color w:val="231F20"/>
          <w:spacing w:val="-7"/>
        </w:rPr>
        <w:t> </w:t>
      </w:r>
      <w:r>
        <w:rPr>
          <w:color w:val="231F20"/>
          <w:spacing w:val="-2"/>
        </w:rPr>
        <w:t>diritto</w:t>
      </w:r>
      <w:r>
        <w:rPr>
          <w:color w:val="231F20"/>
          <w:spacing w:val="-7"/>
        </w:rPr>
        <w:t> </w:t>
      </w:r>
      <w:r>
        <w:rPr>
          <w:color w:val="231F20"/>
          <w:spacing w:val="-2"/>
        </w:rPr>
        <w:t>volto</w:t>
      </w:r>
      <w:r>
        <w:rPr>
          <w:color w:val="231F20"/>
          <w:spacing w:val="-7"/>
        </w:rPr>
        <w:t> </w:t>
      </w:r>
      <w:r>
        <w:rPr>
          <w:color w:val="231F20"/>
          <w:spacing w:val="-2"/>
        </w:rPr>
        <w:t>ad</w:t>
      </w:r>
      <w:r>
        <w:rPr>
          <w:color w:val="231F20"/>
          <w:spacing w:val="-7"/>
        </w:rPr>
        <w:t> </w:t>
      </w:r>
      <w:r>
        <w:rPr>
          <w:color w:val="231F20"/>
          <w:spacing w:val="-2"/>
        </w:rPr>
        <w:t>eludere</w:t>
      </w:r>
      <w:r>
        <w:rPr>
          <w:color w:val="231F20"/>
          <w:spacing w:val="-7"/>
        </w:rPr>
        <w:t> </w:t>
      </w:r>
      <w:r>
        <w:rPr>
          <w:color w:val="231F20"/>
          <w:spacing w:val="-2"/>
        </w:rPr>
        <w:t>l’ap- </w:t>
      </w:r>
      <w:r>
        <w:rPr>
          <w:color w:val="231F20"/>
        </w:rPr>
        <w:t>plicazione</w:t>
      </w:r>
      <w:r>
        <w:rPr>
          <w:color w:val="231F20"/>
          <w:spacing w:val="-13"/>
        </w:rPr>
        <w:t> </w:t>
      </w:r>
      <w:r>
        <w:rPr>
          <w:color w:val="231F20"/>
        </w:rPr>
        <w:t>della</w:t>
      </w:r>
      <w:r>
        <w:rPr>
          <w:color w:val="231F20"/>
          <w:spacing w:val="-13"/>
        </w:rPr>
        <w:t> </w:t>
      </w:r>
      <w:r>
        <w:rPr>
          <w:color w:val="231F20"/>
        </w:rPr>
        <w:t>legislazione</w:t>
      </w:r>
      <w:r>
        <w:rPr>
          <w:color w:val="231F20"/>
          <w:spacing w:val="-13"/>
        </w:rPr>
        <w:t> </w:t>
      </w:r>
      <w:r>
        <w:rPr>
          <w:color w:val="231F20"/>
        </w:rPr>
        <w:t>fiscale</w:t>
      </w:r>
      <w:r>
        <w:rPr>
          <w:color w:val="231F20"/>
          <w:spacing w:val="-13"/>
        </w:rPr>
        <w:t> </w:t>
      </w:r>
      <w:r>
        <w:rPr>
          <w:color w:val="231F20"/>
        </w:rPr>
        <w:t>ungherese</w:t>
      </w:r>
      <w:r>
        <w:rPr>
          <w:color w:val="231F20"/>
          <w:spacing w:val="-13"/>
        </w:rPr>
        <w:t> </w:t>
      </w:r>
      <w:r>
        <w:rPr>
          <w:color w:val="231F20"/>
        </w:rPr>
        <w:t>e</w:t>
      </w:r>
      <w:r>
        <w:rPr>
          <w:color w:val="231F20"/>
          <w:spacing w:val="-13"/>
        </w:rPr>
        <w:t> </w:t>
      </w:r>
      <w:r>
        <w:rPr>
          <w:color w:val="231F20"/>
        </w:rPr>
        <w:t>che</w:t>
      </w:r>
      <w:r>
        <w:rPr>
          <w:color w:val="231F20"/>
          <w:spacing w:val="-13"/>
        </w:rPr>
        <w:t> </w:t>
      </w:r>
      <w:r>
        <w:rPr>
          <w:color w:val="231F20"/>
        </w:rPr>
        <w:t>in</w:t>
      </w:r>
      <w:r>
        <w:rPr>
          <w:color w:val="231F20"/>
          <w:spacing w:val="-13"/>
        </w:rPr>
        <w:t> </w:t>
      </w:r>
      <w:r>
        <w:rPr>
          <w:color w:val="231F20"/>
        </w:rPr>
        <w:t>realtà</w:t>
      </w:r>
      <w:r>
        <w:rPr>
          <w:color w:val="231F20"/>
          <w:spacing w:val="-13"/>
        </w:rPr>
        <w:t> </w:t>
      </w:r>
      <w:r>
        <w:rPr>
          <w:color w:val="231F20"/>
        </w:rPr>
        <w:t>lo</w:t>
      </w:r>
      <w:r>
        <w:rPr>
          <w:color w:val="231F20"/>
          <w:spacing w:val="-13"/>
        </w:rPr>
        <w:t> </w:t>
      </w:r>
      <w:r>
        <w:rPr>
          <w:color w:val="231F20"/>
        </w:rPr>
        <w:t>sfruttamento di</w:t>
      </w:r>
      <w:r>
        <w:rPr>
          <w:color w:val="231F20"/>
          <w:spacing w:val="-15"/>
        </w:rPr>
        <w:t> </w:t>
      </w:r>
      <w:r>
        <w:rPr>
          <w:color w:val="231F20"/>
        </w:rPr>
        <w:t>tale</w:t>
      </w:r>
      <w:r>
        <w:rPr>
          <w:color w:val="231F20"/>
          <w:spacing w:val="-15"/>
        </w:rPr>
        <w:t> </w:t>
      </w:r>
      <w:r>
        <w:rPr>
          <w:i/>
          <w:color w:val="231F20"/>
        </w:rPr>
        <w:t>know-how</w:t>
      </w:r>
      <w:r>
        <w:rPr>
          <w:i/>
          <w:color w:val="231F20"/>
          <w:spacing w:val="-15"/>
        </w:rPr>
        <w:t> </w:t>
      </w:r>
      <w:r>
        <w:rPr>
          <w:color w:val="231F20"/>
        </w:rPr>
        <w:t>avesse</w:t>
      </w:r>
      <w:r>
        <w:rPr>
          <w:color w:val="231F20"/>
          <w:spacing w:val="-15"/>
        </w:rPr>
        <w:t> </w:t>
      </w:r>
      <w:r>
        <w:rPr>
          <w:color w:val="231F20"/>
        </w:rPr>
        <w:t>avuto</w:t>
      </w:r>
      <w:r>
        <w:rPr>
          <w:color w:val="231F20"/>
          <w:spacing w:val="-15"/>
        </w:rPr>
        <w:t> </w:t>
      </w:r>
      <w:r>
        <w:rPr>
          <w:color w:val="231F20"/>
        </w:rPr>
        <w:t>luogo</w:t>
      </w:r>
      <w:r>
        <w:rPr>
          <w:color w:val="231F20"/>
          <w:spacing w:val="-15"/>
        </w:rPr>
        <w:t> </w:t>
      </w:r>
      <w:r>
        <w:rPr>
          <w:color w:val="231F20"/>
        </w:rPr>
        <w:t>in</w:t>
      </w:r>
      <w:r>
        <w:rPr>
          <w:color w:val="231F20"/>
          <w:spacing w:val="-15"/>
        </w:rPr>
        <w:t> </w:t>
      </w:r>
      <w:r>
        <w:rPr>
          <w:color w:val="231F20"/>
        </w:rPr>
        <w:t>territorio</w:t>
      </w:r>
      <w:r>
        <w:rPr>
          <w:color w:val="231F20"/>
          <w:spacing w:val="-15"/>
        </w:rPr>
        <w:t> </w:t>
      </w:r>
      <w:r>
        <w:rPr>
          <w:color w:val="231F20"/>
        </w:rPr>
        <w:t>ungherese.</w:t>
      </w:r>
      <w:r>
        <w:rPr>
          <w:color w:val="231F20"/>
          <w:spacing w:val="-15"/>
        </w:rPr>
        <w:t> </w:t>
      </w:r>
      <w:r>
        <w:rPr>
          <w:color w:val="231F20"/>
        </w:rPr>
        <w:t>Ne</w:t>
      </w:r>
      <w:r>
        <w:rPr>
          <w:color w:val="231F20"/>
          <w:spacing w:val="-15"/>
        </w:rPr>
        <w:t> </w:t>
      </w:r>
      <w:r>
        <w:rPr>
          <w:color w:val="231F20"/>
        </w:rPr>
        <w:t>conseguiva, sempre</w:t>
      </w:r>
      <w:r>
        <w:rPr>
          <w:color w:val="231F20"/>
          <w:spacing w:val="-8"/>
        </w:rPr>
        <w:t> </w:t>
      </w:r>
      <w:r>
        <w:rPr>
          <w:color w:val="231F20"/>
        </w:rPr>
        <w:t>secondo</w:t>
      </w:r>
      <w:r>
        <w:rPr>
          <w:color w:val="231F20"/>
          <w:spacing w:val="-8"/>
        </w:rPr>
        <w:t> </w:t>
      </w:r>
      <w:r>
        <w:rPr>
          <w:color w:val="231F20"/>
        </w:rPr>
        <w:t>la</w:t>
      </w:r>
      <w:r>
        <w:rPr>
          <w:color w:val="231F20"/>
          <w:spacing w:val="-8"/>
        </w:rPr>
        <w:t> </w:t>
      </w:r>
      <w:r>
        <w:rPr>
          <w:color w:val="231F20"/>
        </w:rPr>
        <w:t>suddetta</w:t>
      </w:r>
      <w:r>
        <w:rPr>
          <w:color w:val="231F20"/>
          <w:spacing w:val="-8"/>
        </w:rPr>
        <w:t> </w:t>
      </w:r>
      <w:r>
        <w:rPr>
          <w:color w:val="231F20"/>
        </w:rPr>
        <w:t>amministrazione,</w:t>
      </w:r>
      <w:r>
        <w:rPr>
          <w:color w:val="231F20"/>
          <w:spacing w:val="-8"/>
        </w:rPr>
        <w:t> </w:t>
      </w:r>
      <w:r>
        <w:rPr>
          <w:color w:val="231F20"/>
        </w:rPr>
        <w:t>che</w:t>
      </w:r>
      <w:r>
        <w:rPr>
          <w:color w:val="231F20"/>
          <w:spacing w:val="-8"/>
        </w:rPr>
        <w:t> </w:t>
      </w:r>
      <w:r>
        <w:rPr>
          <w:color w:val="231F20"/>
        </w:rPr>
        <w:t>l’IVA</w:t>
      </w:r>
      <w:r>
        <w:rPr>
          <w:color w:val="231F20"/>
          <w:spacing w:val="-8"/>
        </w:rPr>
        <w:t> </w:t>
      </w:r>
      <w:r>
        <w:rPr>
          <w:color w:val="231F20"/>
        </w:rPr>
        <w:t>sulla</w:t>
      </w:r>
      <w:r>
        <w:rPr>
          <w:color w:val="231F20"/>
          <w:spacing w:val="-8"/>
        </w:rPr>
        <w:t> </w:t>
      </w:r>
      <w:r>
        <w:rPr>
          <w:color w:val="231F20"/>
        </w:rPr>
        <w:t>contropartita connessa a tale prestazione di servizi doveva essere versata non allo Stato portoghese, bensì allo Stato ungherese. L’oggetto principale del processo che</w:t>
      </w:r>
      <w:r>
        <w:rPr>
          <w:color w:val="231F20"/>
          <w:spacing w:val="-15"/>
        </w:rPr>
        <w:t> </w:t>
      </w:r>
      <w:r>
        <w:rPr>
          <w:color w:val="231F20"/>
        </w:rPr>
        <w:t>la</w:t>
      </w:r>
      <w:r>
        <w:rPr>
          <w:color w:val="231F20"/>
          <w:spacing w:val="-15"/>
        </w:rPr>
        <w:t> </w:t>
      </w:r>
      <w:r>
        <w:rPr>
          <w:i/>
          <w:color w:val="231F20"/>
        </w:rPr>
        <w:t>WebMind</w:t>
      </w:r>
      <w:r>
        <w:rPr>
          <w:i/>
          <w:color w:val="231F20"/>
          <w:spacing w:val="-15"/>
        </w:rPr>
        <w:t> </w:t>
      </w:r>
      <w:r>
        <w:rPr>
          <w:i/>
          <w:color w:val="231F20"/>
        </w:rPr>
        <w:t>Licences</w:t>
      </w:r>
      <w:r>
        <w:rPr>
          <w:i/>
          <w:color w:val="231F20"/>
          <w:spacing w:val="-15"/>
        </w:rPr>
        <w:t> </w:t>
      </w:r>
      <w:r>
        <w:rPr>
          <w:color w:val="231F20"/>
        </w:rPr>
        <w:t>aveva</w:t>
      </w:r>
      <w:r>
        <w:rPr>
          <w:color w:val="231F20"/>
          <w:spacing w:val="-14"/>
        </w:rPr>
        <w:t> </w:t>
      </w:r>
      <w:r>
        <w:rPr>
          <w:color w:val="231F20"/>
        </w:rPr>
        <w:t>avviato</w:t>
      </w:r>
      <w:r>
        <w:rPr>
          <w:color w:val="231F20"/>
          <w:spacing w:val="-14"/>
        </w:rPr>
        <w:t> </w:t>
      </w:r>
      <w:r>
        <w:rPr>
          <w:color w:val="231F20"/>
        </w:rPr>
        <w:t>dinanzi</w:t>
      </w:r>
      <w:r>
        <w:rPr>
          <w:color w:val="231F20"/>
          <w:spacing w:val="-14"/>
        </w:rPr>
        <w:t> </w:t>
      </w:r>
      <w:r>
        <w:rPr>
          <w:color w:val="231F20"/>
        </w:rPr>
        <w:t>al</w:t>
      </w:r>
      <w:r>
        <w:rPr>
          <w:color w:val="231F20"/>
          <w:spacing w:val="-15"/>
        </w:rPr>
        <w:t> </w:t>
      </w:r>
      <w:r>
        <w:rPr>
          <w:color w:val="231F20"/>
        </w:rPr>
        <w:t>Tribunale</w:t>
      </w:r>
      <w:r>
        <w:rPr>
          <w:color w:val="231F20"/>
          <w:spacing w:val="-14"/>
        </w:rPr>
        <w:t> </w:t>
      </w:r>
      <w:r>
        <w:rPr>
          <w:color w:val="231F20"/>
        </w:rPr>
        <w:t>amministrativo di Budapest riguardava, da un lato, l’esistenza - o meno - di un abuso del diritto</w:t>
      </w:r>
      <w:r>
        <w:rPr>
          <w:color w:val="231F20"/>
          <w:spacing w:val="-15"/>
        </w:rPr>
        <w:t> </w:t>
      </w:r>
      <w:r>
        <w:rPr>
          <w:color w:val="231F20"/>
        </w:rPr>
        <w:t>che</w:t>
      </w:r>
      <w:r>
        <w:rPr>
          <w:color w:val="231F20"/>
          <w:spacing w:val="-15"/>
        </w:rPr>
        <w:t> </w:t>
      </w:r>
      <w:r>
        <w:rPr>
          <w:color w:val="231F20"/>
        </w:rPr>
        <w:t>dipendeva</w:t>
      </w:r>
      <w:r>
        <w:rPr>
          <w:color w:val="231F20"/>
          <w:spacing w:val="-15"/>
        </w:rPr>
        <w:t> </w:t>
      </w:r>
      <w:r>
        <w:rPr>
          <w:color w:val="231F20"/>
        </w:rPr>
        <w:t>a</w:t>
      </w:r>
      <w:r>
        <w:rPr>
          <w:color w:val="231F20"/>
          <w:spacing w:val="-15"/>
        </w:rPr>
        <w:t> </w:t>
      </w:r>
      <w:r>
        <w:rPr>
          <w:color w:val="231F20"/>
        </w:rPr>
        <w:t>sua</w:t>
      </w:r>
      <w:r>
        <w:rPr>
          <w:color w:val="231F20"/>
          <w:spacing w:val="-15"/>
        </w:rPr>
        <w:t> </w:t>
      </w:r>
      <w:r>
        <w:rPr>
          <w:color w:val="231F20"/>
        </w:rPr>
        <w:t>volta</w:t>
      </w:r>
      <w:r>
        <w:rPr>
          <w:color w:val="231F20"/>
          <w:spacing w:val="-15"/>
        </w:rPr>
        <w:t> </w:t>
      </w:r>
      <w:r>
        <w:rPr>
          <w:color w:val="231F20"/>
        </w:rPr>
        <w:t>dall’effettivo</w:t>
      </w:r>
      <w:r>
        <w:rPr>
          <w:color w:val="231F20"/>
          <w:spacing w:val="-15"/>
        </w:rPr>
        <w:t> </w:t>
      </w:r>
      <w:r>
        <w:rPr>
          <w:color w:val="231F20"/>
        </w:rPr>
        <w:t>esercizio</w:t>
      </w:r>
      <w:r>
        <w:rPr>
          <w:color w:val="231F20"/>
          <w:spacing w:val="-15"/>
        </w:rPr>
        <w:t> </w:t>
      </w:r>
      <w:r>
        <w:rPr>
          <w:color w:val="231F20"/>
        </w:rPr>
        <w:t>di</w:t>
      </w:r>
      <w:r>
        <w:rPr>
          <w:color w:val="231F20"/>
          <w:spacing w:val="-15"/>
        </w:rPr>
        <w:t> </w:t>
      </w:r>
      <w:r>
        <w:rPr>
          <w:color w:val="231F20"/>
        </w:rPr>
        <w:t>un’attività</w:t>
      </w:r>
      <w:r>
        <w:rPr>
          <w:color w:val="231F20"/>
          <w:spacing w:val="-15"/>
        </w:rPr>
        <w:t> </w:t>
      </w:r>
      <w:r>
        <w:rPr>
          <w:color w:val="231F20"/>
        </w:rPr>
        <w:t>econo- mica</w:t>
      </w:r>
      <w:r>
        <w:rPr>
          <w:color w:val="231F20"/>
          <w:spacing w:val="-6"/>
        </w:rPr>
        <w:t> </w:t>
      </w:r>
      <w:r>
        <w:rPr>
          <w:color w:val="231F20"/>
        </w:rPr>
        <w:t>da</w:t>
      </w:r>
      <w:r>
        <w:rPr>
          <w:color w:val="231F20"/>
          <w:spacing w:val="-6"/>
        </w:rPr>
        <w:t> </w:t>
      </w:r>
      <w:r>
        <w:rPr>
          <w:color w:val="231F20"/>
        </w:rPr>
        <w:t>parte</w:t>
      </w:r>
      <w:r>
        <w:rPr>
          <w:color w:val="231F20"/>
          <w:spacing w:val="-6"/>
        </w:rPr>
        <w:t> </w:t>
      </w:r>
      <w:r>
        <w:rPr>
          <w:color w:val="231F20"/>
        </w:rPr>
        <w:t>della</w:t>
      </w:r>
      <w:r>
        <w:rPr>
          <w:color w:val="231F20"/>
          <w:spacing w:val="-6"/>
        </w:rPr>
        <w:t> </w:t>
      </w:r>
      <w:r>
        <w:rPr>
          <w:color w:val="231F20"/>
        </w:rPr>
        <w:t>società</w:t>
      </w:r>
      <w:r>
        <w:rPr>
          <w:color w:val="231F20"/>
          <w:spacing w:val="-6"/>
        </w:rPr>
        <w:t> </w:t>
      </w:r>
      <w:r>
        <w:rPr>
          <w:color w:val="231F20"/>
        </w:rPr>
        <w:t>con</w:t>
      </w:r>
      <w:r>
        <w:rPr>
          <w:color w:val="231F20"/>
          <w:spacing w:val="-6"/>
        </w:rPr>
        <w:t> </w:t>
      </w:r>
      <w:r>
        <w:rPr>
          <w:color w:val="231F20"/>
        </w:rPr>
        <w:t>sede</w:t>
      </w:r>
      <w:r>
        <w:rPr>
          <w:color w:val="231F20"/>
          <w:spacing w:val="-6"/>
        </w:rPr>
        <w:t> </w:t>
      </w:r>
      <w:r>
        <w:rPr>
          <w:color w:val="231F20"/>
        </w:rPr>
        <w:t>in</w:t>
      </w:r>
      <w:r>
        <w:rPr>
          <w:color w:val="231F20"/>
          <w:spacing w:val="-6"/>
        </w:rPr>
        <w:t> </w:t>
      </w:r>
      <w:r>
        <w:rPr>
          <w:color w:val="231F20"/>
        </w:rPr>
        <w:t>Portogallo,</w:t>
      </w:r>
      <w:r>
        <w:rPr>
          <w:color w:val="231F20"/>
          <w:spacing w:val="-6"/>
        </w:rPr>
        <w:t> </w:t>
      </w:r>
      <w:r>
        <w:rPr>
          <w:color w:val="231F20"/>
        </w:rPr>
        <w:t>dall’altro</w:t>
      </w:r>
      <w:r>
        <w:rPr>
          <w:color w:val="231F20"/>
          <w:spacing w:val="-6"/>
        </w:rPr>
        <w:t> </w:t>
      </w:r>
      <w:r>
        <w:rPr>
          <w:color w:val="231F20"/>
        </w:rPr>
        <w:t>la</w:t>
      </w:r>
      <w:r>
        <w:rPr>
          <w:color w:val="231F20"/>
          <w:spacing w:val="-6"/>
        </w:rPr>
        <w:t> </w:t>
      </w:r>
      <w:r>
        <w:rPr>
          <w:color w:val="231F20"/>
        </w:rPr>
        <w:t>conseguente individuazione del luogo della prestazione di servizi imponibile che aveva avuto luogo fra la società ungherese e la società licenziataria portoghese. Tale luogo della prestazione di servizi doveva, per i giudici dell’Unione, essere rettificato qualora il giudice di merito (ungherese) avesse accertato che la </w:t>
      </w:r>
      <w:r>
        <w:rPr>
          <w:i/>
          <w:color w:val="231F20"/>
        </w:rPr>
        <w:t>WebMind Licences </w:t>
      </w:r>
      <w:r>
        <w:rPr>
          <w:color w:val="231F20"/>
        </w:rPr>
        <w:t>si era resa responsabile di una «pratica abusiva»</w:t>
      </w:r>
      <w:r>
        <w:rPr>
          <w:color w:val="231F20"/>
          <w:spacing w:val="80"/>
          <w:w w:val="150"/>
        </w:rPr>
        <w:t> </w:t>
      </w:r>
      <w:r>
        <w:rPr>
          <w:color w:val="231F20"/>
        </w:rPr>
        <w:t>e che pertanto l’IVA doveva essere versata nello Stato (l’Ungheria) in cui</w:t>
      </w:r>
      <w:r>
        <w:rPr>
          <w:color w:val="231F20"/>
          <w:spacing w:val="40"/>
        </w:rPr>
        <w:t> </w:t>
      </w:r>
      <w:r>
        <w:rPr>
          <w:color w:val="231F20"/>
        </w:rPr>
        <w:t>si trovava il luogo della prestazione di servizi che avrebbe dovuto essere correttamente fissato in assenza di quella pratica abusiva. A tale rettifica del luogo della prestazione di servizi imponibile non era d’ostacolo la cir- costanza</w:t>
      </w:r>
      <w:r>
        <w:rPr>
          <w:color w:val="231F20"/>
          <w:spacing w:val="-6"/>
        </w:rPr>
        <w:t> </w:t>
      </w:r>
      <w:r>
        <w:rPr>
          <w:color w:val="231F20"/>
        </w:rPr>
        <w:t>che</w:t>
      </w:r>
      <w:r>
        <w:rPr>
          <w:color w:val="231F20"/>
          <w:spacing w:val="-6"/>
        </w:rPr>
        <w:t> </w:t>
      </w:r>
      <w:r>
        <w:rPr>
          <w:color w:val="231F20"/>
        </w:rPr>
        <w:t>un’IVA</w:t>
      </w:r>
      <w:r>
        <w:rPr>
          <w:color w:val="231F20"/>
          <w:spacing w:val="-6"/>
        </w:rPr>
        <w:t> </w:t>
      </w:r>
      <w:r>
        <w:rPr>
          <w:color w:val="231F20"/>
        </w:rPr>
        <w:t>fosse</w:t>
      </w:r>
      <w:r>
        <w:rPr>
          <w:color w:val="231F20"/>
          <w:spacing w:val="-6"/>
        </w:rPr>
        <w:t> </w:t>
      </w:r>
      <w:r>
        <w:rPr>
          <w:color w:val="231F20"/>
        </w:rPr>
        <w:t>già</w:t>
      </w:r>
      <w:r>
        <w:rPr>
          <w:color w:val="231F20"/>
          <w:spacing w:val="-6"/>
        </w:rPr>
        <w:t> </w:t>
      </w:r>
      <w:r>
        <w:rPr>
          <w:color w:val="231F20"/>
        </w:rPr>
        <w:t>stata</w:t>
      </w:r>
      <w:r>
        <w:rPr>
          <w:color w:val="231F20"/>
          <w:spacing w:val="-6"/>
        </w:rPr>
        <w:t> </w:t>
      </w:r>
      <w:r>
        <w:rPr>
          <w:color w:val="231F20"/>
        </w:rPr>
        <w:t>versata</w:t>
      </w:r>
      <w:r>
        <w:rPr>
          <w:color w:val="231F20"/>
          <w:spacing w:val="-6"/>
        </w:rPr>
        <w:t> </w:t>
      </w:r>
      <w:r>
        <w:rPr>
          <w:color w:val="231F20"/>
        </w:rPr>
        <w:t>in</w:t>
      </w:r>
      <w:r>
        <w:rPr>
          <w:color w:val="231F20"/>
          <w:spacing w:val="-6"/>
        </w:rPr>
        <w:t> </w:t>
      </w:r>
      <w:r>
        <w:rPr>
          <w:color w:val="231F20"/>
        </w:rPr>
        <w:t>un</w:t>
      </w:r>
      <w:r>
        <w:rPr>
          <w:color w:val="231F20"/>
          <w:spacing w:val="-6"/>
        </w:rPr>
        <w:t> </w:t>
      </w:r>
      <w:r>
        <w:rPr>
          <w:color w:val="231F20"/>
        </w:rPr>
        <w:t>altro</w:t>
      </w:r>
      <w:r>
        <w:rPr>
          <w:color w:val="231F20"/>
          <w:spacing w:val="-6"/>
        </w:rPr>
        <w:t> </w:t>
      </w:r>
      <w:r>
        <w:rPr>
          <w:color w:val="231F20"/>
        </w:rPr>
        <w:t>Stato</w:t>
      </w:r>
      <w:r>
        <w:rPr>
          <w:color w:val="231F20"/>
          <w:spacing w:val="-6"/>
        </w:rPr>
        <w:t> </w:t>
      </w:r>
      <w:r>
        <w:rPr>
          <w:color w:val="231F20"/>
        </w:rPr>
        <w:t>membro</w:t>
      </w:r>
      <w:r>
        <w:rPr>
          <w:color w:val="231F20"/>
          <w:spacing w:val="-6"/>
        </w:rPr>
        <w:t> </w:t>
      </w:r>
      <w:r>
        <w:rPr>
          <w:color w:val="231F20"/>
        </w:rPr>
        <w:t>(nella fattispecie: il Portogallo).</w:t>
      </w:r>
    </w:p>
    <w:p>
      <w:pPr>
        <w:pStyle w:val="BodyText"/>
        <w:spacing w:line="225" w:lineRule="auto" w:before="34"/>
        <w:ind w:left="157" w:right="118" w:firstLine="340"/>
        <w:jc w:val="both"/>
      </w:pPr>
      <w:r>
        <w:rPr>
          <w:color w:val="231F20"/>
        </w:rPr>
        <w:t>A</w:t>
      </w:r>
      <w:r>
        <w:rPr>
          <w:color w:val="231F20"/>
          <w:spacing w:val="-14"/>
        </w:rPr>
        <w:t> </w:t>
      </w:r>
      <w:r>
        <w:rPr>
          <w:color w:val="231F20"/>
        </w:rPr>
        <w:t>questo</w:t>
      </w:r>
      <w:r>
        <w:rPr>
          <w:color w:val="231F20"/>
          <w:spacing w:val="-14"/>
        </w:rPr>
        <w:t> </w:t>
      </w:r>
      <w:r>
        <w:rPr>
          <w:color w:val="231F20"/>
        </w:rPr>
        <w:t>punto</w:t>
      </w:r>
      <w:r>
        <w:rPr>
          <w:color w:val="231F20"/>
          <w:spacing w:val="-14"/>
        </w:rPr>
        <w:t> </w:t>
      </w:r>
      <w:r>
        <w:rPr>
          <w:color w:val="231F20"/>
        </w:rPr>
        <w:t>si</w:t>
      </w:r>
      <w:r>
        <w:rPr>
          <w:color w:val="231F20"/>
          <w:spacing w:val="-14"/>
        </w:rPr>
        <w:t> </w:t>
      </w:r>
      <w:r>
        <w:rPr>
          <w:color w:val="231F20"/>
        </w:rPr>
        <w:t>innestava</w:t>
      </w:r>
      <w:r>
        <w:rPr>
          <w:color w:val="231F20"/>
          <w:spacing w:val="-14"/>
        </w:rPr>
        <w:t> </w:t>
      </w:r>
      <w:r>
        <w:rPr>
          <w:color w:val="231F20"/>
        </w:rPr>
        <w:t>la</w:t>
      </w:r>
      <w:r>
        <w:rPr>
          <w:color w:val="231F20"/>
          <w:spacing w:val="-14"/>
        </w:rPr>
        <w:t> </w:t>
      </w:r>
      <w:r>
        <w:rPr>
          <w:color w:val="231F20"/>
        </w:rPr>
        <w:t>questione</w:t>
      </w:r>
      <w:r>
        <w:rPr>
          <w:color w:val="231F20"/>
          <w:spacing w:val="-14"/>
        </w:rPr>
        <w:t> </w:t>
      </w:r>
      <w:r>
        <w:rPr>
          <w:color w:val="231F20"/>
        </w:rPr>
        <w:t>interpretativa</w:t>
      </w:r>
      <w:r>
        <w:rPr>
          <w:color w:val="231F20"/>
          <w:spacing w:val="-14"/>
        </w:rPr>
        <w:t> </w:t>
      </w:r>
      <w:r>
        <w:rPr>
          <w:color w:val="231F20"/>
        </w:rPr>
        <w:t>del</w:t>
      </w:r>
      <w:r>
        <w:rPr>
          <w:color w:val="231F20"/>
          <w:spacing w:val="-14"/>
        </w:rPr>
        <w:t> </w:t>
      </w:r>
      <w:r>
        <w:rPr>
          <w:color w:val="231F20"/>
        </w:rPr>
        <w:t>giudice</w:t>
      </w:r>
      <w:r>
        <w:rPr>
          <w:color w:val="231F20"/>
          <w:spacing w:val="-14"/>
        </w:rPr>
        <w:t> </w:t>
      </w:r>
      <w:r>
        <w:rPr>
          <w:i/>
          <w:color w:val="231F20"/>
        </w:rPr>
        <w:t>a</w:t>
      </w:r>
      <w:r>
        <w:rPr>
          <w:i/>
          <w:color w:val="231F20"/>
          <w:spacing w:val="-14"/>
        </w:rPr>
        <w:t> </w:t>
      </w:r>
      <w:r>
        <w:rPr>
          <w:i/>
          <w:color w:val="231F20"/>
        </w:rPr>
        <w:t>quo</w:t>
      </w:r>
      <w:r>
        <w:rPr>
          <w:i/>
          <w:color w:val="231F20"/>
        </w:rPr>
        <w:t> </w:t>
      </w:r>
      <w:r>
        <w:rPr>
          <w:color w:val="231F20"/>
        </w:rPr>
        <w:t>avente</w:t>
      </w:r>
      <w:r>
        <w:rPr>
          <w:color w:val="231F20"/>
          <w:spacing w:val="-10"/>
        </w:rPr>
        <w:t> </w:t>
      </w:r>
      <w:r>
        <w:rPr>
          <w:color w:val="231F20"/>
        </w:rPr>
        <w:t>ad</w:t>
      </w:r>
      <w:r>
        <w:rPr>
          <w:color w:val="231F20"/>
          <w:spacing w:val="-10"/>
        </w:rPr>
        <w:t> </w:t>
      </w:r>
      <w:r>
        <w:rPr>
          <w:color w:val="231F20"/>
        </w:rPr>
        <w:t>oggetto</w:t>
      </w:r>
      <w:r>
        <w:rPr>
          <w:color w:val="231F20"/>
          <w:spacing w:val="-10"/>
        </w:rPr>
        <w:t> </w:t>
      </w:r>
      <w:r>
        <w:rPr>
          <w:color w:val="231F20"/>
        </w:rPr>
        <w:t>il</w:t>
      </w:r>
      <w:r>
        <w:rPr>
          <w:color w:val="231F20"/>
          <w:spacing w:val="-10"/>
        </w:rPr>
        <w:t> </w:t>
      </w:r>
      <w:r>
        <w:rPr>
          <w:color w:val="231F20"/>
        </w:rPr>
        <w:t>regolamento</w:t>
      </w:r>
      <w:r>
        <w:rPr>
          <w:color w:val="231F20"/>
          <w:spacing w:val="-10"/>
        </w:rPr>
        <w:t> </w:t>
      </w:r>
      <w:r>
        <w:rPr>
          <w:color w:val="231F20"/>
        </w:rPr>
        <w:t>(UE)</w:t>
      </w:r>
      <w:r>
        <w:rPr>
          <w:color w:val="231F20"/>
          <w:spacing w:val="-10"/>
        </w:rPr>
        <w:t> </w:t>
      </w:r>
      <w:r>
        <w:rPr>
          <w:color w:val="231F20"/>
        </w:rPr>
        <w:t>904/2010:</w:t>
      </w:r>
      <w:r>
        <w:rPr>
          <w:color w:val="231F20"/>
          <w:spacing w:val="-10"/>
        </w:rPr>
        <w:t> </w:t>
      </w:r>
      <w:r>
        <w:rPr>
          <w:color w:val="231F20"/>
        </w:rPr>
        <w:t>l’amministrazione</w:t>
      </w:r>
      <w:r>
        <w:rPr>
          <w:color w:val="231F20"/>
          <w:spacing w:val="-10"/>
        </w:rPr>
        <w:t> </w:t>
      </w:r>
      <w:r>
        <w:rPr>
          <w:color w:val="231F20"/>
        </w:rPr>
        <w:t>tribu- </w:t>
      </w:r>
      <w:r>
        <w:rPr>
          <w:color w:val="231F20"/>
          <w:spacing w:val="-2"/>
        </w:rPr>
        <w:t>taria</w:t>
      </w:r>
      <w:r>
        <w:rPr>
          <w:color w:val="231F20"/>
          <w:spacing w:val="-15"/>
        </w:rPr>
        <w:t> </w:t>
      </w:r>
      <w:r>
        <w:rPr>
          <w:color w:val="231F20"/>
          <w:spacing w:val="-2"/>
        </w:rPr>
        <w:t>di</w:t>
      </w:r>
      <w:r>
        <w:rPr>
          <w:color w:val="231F20"/>
          <w:spacing w:val="-13"/>
        </w:rPr>
        <w:t> </w:t>
      </w:r>
      <w:r>
        <w:rPr>
          <w:color w:val="231F20"/>
          <w:spacing w:val="-2"/>
        </w:rPr>
        <w:t>uno</w:t>
      </w:r>
      <w:r>
        <w:rPr>
          <w:color w:val="231F20"/>
          <w:spacing w:val="-13"/>
        </w:rPr>
        <w:t> </w:t>
      </w:r>
      <w:r>
        <w:rPr>
          <w:color w:val="231F20"/>
          <w:spacing w:val="-2"/>
        </w:rPr>
        <w:t>Stato</w:t>
      </w:r>
      <w:r>
        <w:rPr>
          <w:color w:val="231F20"/>
          <w:spacing w:val="-13"/>
        </w:rPr>
        <w:t> </w:t>
      </w:r>
      <w:r>
        <w:rPr>
          <w:color w:val="231F20"/>
          <w:spacing w:val="-2"/>
        </w:rPr>
        <w:t>membro</w:t>
      </w:r>
      <w:r>
        <w:rPr>
          <w:color w:val="231F20"/>
          <w:spacing w:val="-13"/>
        </w:rPr>
        <w:t> </w:t>
      </w:r>
      <w:r>
        <w:rPr>
          <w:color w:val="231F20"/>
          <w:spacing w:val="-2"/>
        </w:rPr>
        <w:t>che</w:t>
      </w:r>
      <w:r>
        <w:rPr>
          <w:color w:val="231F20"/>
          <w:spacing w:val="-13"/>
        </w:rPr>
        <w:t> </w:t>
      </w:r>
      <w:r>
        <w:rPr>
          <w:color w:val="231F20"/>
          <w:spacing w:val="-2"/>
        </w:rPr>
        <w:t>prende</w:t>
      </w:r>
      <w:r>
        <w:rPr>
          <w:color w:val="231F20"/>
          <w:spacing w:val="-13"/>
        </w:rPr>
        <w:t> </w:t>
      </w:r>
      <w:r>
        <w:rPr>
          <w:color w:val="231F20"/>
          <w:spacing w:val="-2"/>
        </w:rPr>
        <w:t>in</w:t>
      </w:r>
      <w:r>
        <w:rPr>
          <w:color w:val="231F20"/>
          <w:spacing w:val="-13"/>
        </w:rPr>
        <w:t> </w:t>
      </w:r>
      <w:r>
        <w:rPr>
          <w:color w:val="231F20"/>
          <w:spacing w:val="-2"/>
        </w:rPr>
        <w:t>considerazione</w:t>
      </w:r>
      <w:r>
        <w:rPr>
          <w:color w:val="231F20"/>
          <w:spacing w:val="-13"/>
        </w:rPr>
        <w:t> </w:t>
      </w:r>
      <w:r>
        <w:rPr>
          <w:color w:val="231F20"/>
          <w:spacing w:val="-2"/>
        </w:rPr>
        <w:t>l’esigibilità</w:t>
      </w:r>
      <w:r>
        <w:rPr>
          <w:color w:val="231F20"/>
          <w:spacing w:val="-13"/>
        </w:rPr>
        <w:t> </w:t>
      </w:r>
      <w:r>
        <w:rPr>
          <w:color w:val="231F20"/>
          <w:spacing w:val="-2"/>
        </w:rPr>
        <w:t>dell’IVA per</w:t>
      </w:r>
      <w:r>
        <w:rPr>
          <w:color w:val="231F20"/>
          <w:spacing w:val="-10"/>
        </w:rPr>
        <w:t> </w:t>
      </w:r>
      <w:r>
        <w:rPr>
          <w:color w:val="231F20"/>
          <w:spacing w:val="-2"/>
        </w:rPr>
        <w:t>una</w:t>
      </w:r>
      <w:r>
        <w:rPr>
          <w:color w:val="231F20"/>
          <w:spacing w:val="-10"/>
        </w:rPr>
        <w:t> </w:t>
      </w:r>
      <w:r>
        <w:rPr>
          <w:color w:val="231F20"/>
          <w:spacing w:val="-2"/>
        </w:rPr>
        <w:t>prestazione</w:t>
      </w:r>
      <w:r>
        <w:rPr>
          <w:color w:val="231F20"/>
          <w:spacing w:val="-10"/>
        </w:rPr>
        <w:t> </w:t>
      </w:r>
      <w:r>
        <w:rPr>
          <w:color w:val="231F20"/>
          <w:spacing w:val="-2"/>
        </w:rPr>
        <w:t>di</w:t>
      </w:r>
      <w:r>
        <w:rPr>
          <w:color w:val="231F20"/>
          <w:spacing w:val="-10"/>
        </w:rPr>
        <w:t> </w:t>
      </w:r>
      <w:r>
        <w:rPr>
          <w:color w:val="231F20"/>
          <w:spacing w:val="-2"/>
        </w:rPr>
        <w:t>servizi</w:t>
      </w:r>
      <w:r>
        <w:rPr>
          <w:color w:val="231F20"/>
          <w:spacing w:val="-10"/>
        </w:rPr>
        <w:t> </w:t>
      </w:r>
      <w:r>
        <w:rPr>
          <w:color w:val="231F20"/>
          <w:spacing w:val="-2"/>
        </w:rPr>
        <w:t>già</w:t>
      </w:r>
      <w:r>
        <w:rPr>
          <w:color w:val="231F20"/>
          <w:spacing w:val="-10"/>
        </w:rPr>
        <w:t> </w:t>
      </w:r>
      <w:r>
        <w:rPr>
          <w:color w:val="231F20"/>
          <w:spacing w:val="-2"/>
        </w:rPr>
        <w:t>assoggettata</w:t>
      </w:r>
      <w:r>
        <w:rPr>
          <w:color w:val="231F20"/>
          <w:spacing w:val="-10"/>
        </w:rPr>
        <w:t> </w:t>
      </w:r>
      <w:r>
        <w:rPr>
          <w:color w:val="231F20"/>
          <w:spacing w:val="-2"/>
        </w:rPr>
        <w:t>ad</w:t>
      </w:r>
      <w:r>
        <w:rPr>
          <w:color w:val="231F20"/>
          <w:spacing w:val="-10"/>
        </w:rPr>
        <w:t> </w:t>
      </w:r>
      <w:r>
        <w:rPr>
          <w:color w:val="231F20"/>
          <w:spacing w:val="-2"/>
        </w:rPr>
        <w:t>IVA</w:t>
      </w:r>
      <w:r>
        <w:rPr>
          <w:color w:val="231F20"/>
          <w:spacing w:val="-10"/>
        </w:rPr>
        <w:t> </w:t>
      </w:r>
      <w:r>
        <w:rPr>
          <w:color w:val="231F20"/>
          <w:spacing w:val="-2"/>
        </w:rPr>
        <w:t>in</w:t>
      </w:r>
      <w:r>
        <w:rPr>
          <w:color w:val="231F20"/>
          <w:spacing w:val="-10"/>
        </w:rPr>
        <w:t> </w:t>
      </w:r>
      <w:r>
        <w:rPr>
          <w:color w:val="231F20"/>
          <w:spacing w:val="-2"/>
        </w:rPr>
        <w:t>un</w:t>
      </w:r>
      <w:r>
        <w:rPr>
          <w:color w:val="231F20"/>
          <w:spacing w:val="-10"/>
        </w:rPr>
        <w:t> </w:t>
      </w:r>
      <w:r>
        <w:rPr>
          <w:color w:val="231F20"/>
          <w:spacing w:val="-2"/>
        </w:rPr>
        <w:t>altro</w:t>
      </w:r>
      <w:r>
        <w:rPr>
          <w:color w:val="231F20"/>
          <w:spacing w:val="-10"/>
        </w:rPr>
        <w:t> </w:t>
      </w:r>
      <w:r>
        <w:rPr>
          <w:color w:val="231F20"/>
          <w:spacing w:val="-2"/>
        </w:rPr>
        <w:t>Stato</w:t>
      </w:r>
      <w:r>
        <w:rPr>
          <w:color w:val="231F20"/>
          <w:spacing w:val="-10"/>
        </w:rPr>
        <w:t> </w:t>
      </w:r>
      <w:r>
        <w:rPr>
          <w:color w:val="231F20"/>
          <w:spacing w:val="-2"/>
        </w:rPr>
        <w:t>mem- bro,</w:t>
      </w:r>
      <w:r>
        <w:rPr>
          <w:color w:val="231F20"/>
          <w:spacing w:val="-10"/>
        </w:rPr>
        <w:t> </w:t>
      </w:r>
      <w:r>
        <w:rPr>
          <w:color w:val="231F20"/>
          <w:spacing w:val="-2"/>
        </w:rPr>
        <w:t>è</w:t>
      </w:r>
      <w:r>
        <w:rPr>
          <w:color w:val="231F20"/>
          <w:spacing w:val="-10"/>
        </w:rPr>
        <w:t> </w:t>
      </w:r>
      <w:r>
        <w:rPr>
          <w:color w:val="231F20"/>
          <w:spacing w:val="-2"/>
        </w:rPr>
        <w:t>tenuta</w:t>
      </w:r>
      <w:r>
        <w:rPr>
          <w:color w:val="231F20"/>
          <w:spacing w:val="-10"/>
        </w:rPr>
        <w:t> </w:t>
      </w:r>
      <w:r>
        <w:rPr>
          <w:color w:val="231F20"/>
          <w:spacing w:val="-2"/>
        </w:rPr>
        <w:t>a</w:t>
      </w:r>
      <w:r>
        <w:rPr>
          <w:color w:val="231F20"/>
          <w:spacing w:val="-10"/>
        </w:rPr>
        <w:t> </w:t>
      </w:r>
      <w:r>
        <w:rPr>
          <w:color w:val="231F20"/>
          <w:spacing w:val="-2"/>
        </w:rPr>
        <w:t>trasmettere</w:t>
      </w:r>
      <w:r>
        <w:rPr>
          <w:color w:val="231F20"/>
          <w:spacing w:val="-10"/>
        </w:rPr>
        <w:t> </w:t>
      </w:r>
      <w:r>
        <w:rPr>
          <w:color w:val="231F20"/>
          <w:spacing w:val="-2"/>
        </w:rPr>
        <w:t>una</w:t>
      </w:r>
      <w:r>
        <w:rPr>
          <w:color w:val="231F20"/>
          <w:spacing w:val="-10"/>
        </w:rPr>
        <w:t> </w:t>
      </w:r>
      <w:r>
        <w:rPr>
          <w:color w:val="231F20"/>
          <w:spacing w:val="-2"/>
        </w:rPr>
        <w:t>richiesta</w:t>
      </w:r>
      <w:r>
        <w:rPr>
          <w:color w:val="231F20"/>
          <w:spacing w:val="-10"/>
        </w:rPr>
        <w:t> </w:t>
      </w:r>
      <w:r>
        <w:rPr>
          <w:color w:val="231F20"/>
          <w:spacing w:val="-2"/>
        </w:rPr>
        <w:t>di</w:t>
      </w:r>
      <w:r>
        <w:rPr>
          <w:color w:val="231F20"/>
          <w:spacing w:val="-10"/>
        </w:rPr>
        <w:t> </w:t>
      </w:r>
      <w:r>
        <w:rPr>
          <w:color w:val="231F20"/>
          <w:spacing w:val="-2"/>
        </w:rPr>
        <w:t>cooperazione</w:t>
      </w:r>
      <w:r>
        <w:rPr>
          <w:color w:val="231F20"/>
          <w:spacing w:val="-10"/>
        </w:rPr>
        <w:t> </w:t>
      </w:r>
      <w:r>
        <w:rPr>
          <w:color w:val="231F20"/>
          <w:spacing w:val="-2"/>
        </w:rPr>
        <w:t>all’amministrazione tributaria</w:t>
      </w:r>
      <w:r>
        <w:rPr>
          <w:color w:val="231F20"/>
          <w:spacing w:val="-7"/>
        </w:rPr>
        <w:t> </w:t>
      </w:r>
      <w:r>
        <w:rPr>
          <w:color w:val="231F20"/>
          <w:spacing w:val="-2"/>
        </w:rPr>
        <w:t>di</w:t>
      </w:r>
      <w:r>
        <w:rPr>
          <w:color w:val="231F20"/>
          <w:spacing w:val="-7"/>
        </w:rPr>
        <w:t> </w:t>
      </w:r>
      <w:r>
        <w:rPr>
          <w:color w:val="231F20"/>
          <w:spacing w:val="-2"/>
        </w:rPr>
        <w:t>quell’altro</w:t>
      </w:r>
      <w:r>
        <w:rPr>
          <w:color w:val="231F20"/>
          <w:spacing w:val="-7"/>
        </w:rPr>
        <w:t> </w:t>
      </w:r>
      <w:r>
        <w:rPr>
          <w:color w:val="231F20"/>
          <w:spacing w:val="-2"/>
        </w:rPr>
        <w:t>Stato</w:t>
      </w:r>
      <w:r>
        <w:rPr>
          <w:color w:val="231F20"/>
          <w:spacing w:val="-7"/>
        </w:rPr>
        <w:t> </w:t>
      </w:r>
      <w:r>
        <w:rPr>
          <w:color w:val="231F20"/>
          <w:spacing w:val="-2"/>
        </w:rPr>
        <w:t>membro?</w:t>
      </w:r>
      <w:r>
        <w:rPr>
          <w:color w:val="231F20"/>
          <w:spacing w:val="-7"/>
        </w:rPr>
        <w:t> </w:t>
      </w:r>
      <w:r>
        <w:rPr>
          <w:color w:val="231F20"/>
          <w:spacing w:val="-2"/>
        </w:rPr>
        <w:t>La</w:t>
      </w:r>
      <w:r>
        <w:rPr>
          <w:color w:val="231F20"/>
          <w:spacing w:val="-7"/>
        </w:rPr>
        <w:t> </w:t>
      </w:r>
      <w:r>
        <w:rPr>
          <w:color w:val="231F20"/>
          <w:spacing w:val="-2"/>
        </w:rPr>
        <w:t>risposta</w:t>
      </w:r>
      <w:r>
        <w:rPr>
          <w:color w:val="231F20"/>
          <w:spacing w:val="-7"/>
        </w:rPr>
        <w:t> </w:t>
      </w:r>
      <w:r>
        <w:rPr>
          <w:color w:val="231F20"/>
          <w:spacing w:val="-2"/>
        </w:rPr>
        <w:t>della</w:t>
      </w:r>
      <w:r>
        <w:rPr>
          <w:color w:val="231F20"/>
          <w:spacing w:val="-7"/>
        </w:rPr>
        <w:t> </w:t>
      </w:r>
      <w:r>
        <w:rPr>
          <w:color w:val="231F20"/>
          <w:spacing w:val="-2"/>
        </w:rPr>
        <w:t>Corte</w:t>
      </w:r>
      <w:r>
        <w:rPr>
          <w:color w:val="231F20"/>
          <w:spacing w:val="-7"/>
        </w:rPr>
        <w:t> </w:t>
      </w:r>
      <w:r>
        <w:rPr>
          <w:color w:val="231F20"/>
          <w:spacing w:val="-2"/>
        </w:rPr>
        <w:t>è</w:t>
      </w:r>
      <w:r>
        <w:rPr>
          <w:color w:val="231F20"/>
          <w:spacing w:val="-7"/>
        </w:rPr>
        <w:t> </w:t>
      </w:r>
      <w:r>
        <w:rPr>
          <w:color w:val="231F20"/>
          <w:spacing w:val="-2"/>
        </w:rPr>
        <w:t>partita</w:t>
      </w:r>
      <w:r>
        <w:rPr>
          <w:color w:val="231F20"/>
          <w:spacing w:val="-7"/>
        </w:rPr>
        <w:t> </w:t>
      </w:r>
      <w:r>
        <w:rPr>
          <w:color w:val="231F20"/>
          <w:spacing w:val="-2"/>
        </w:rPr>
        <w:t>dalla </w:t>
      </w:r>
      <w:r>
        <w:rPr>
          <w:color w:val="231F20"/>
        </w:rPr>
        <w:t>constatazione</w:t>
      </w:r>
      <w:r>
        <w:rPr>
          <w:color w:val="231F20"/>
          <w:spacing w:val="-2"/>
        </w:rPr>
        <w:t> </w:t>
      </w:r>
      <w:r>
        <w:rPr>
          <w:color w:val="231F20"/>
        </w:rPr>
        <w:t>che</w:t>
      </w:r>
      <w:r>
        <w:rPr>
          <w:color w:val="231F20"/>
          <w:spacing w:val="-2"/>
        </w:rPr>
        <w:t> </w:t>
      </w:r>
      <w:r>
        <w:rPr>
          <w:color w:val="231F20"/>
        </w:rPr>
        <w:t>il</w:t>
      </w:r>
      <w:r>
        <w:rPr>
          <w:color w:val="231F20"/>
          <w:spacing w:val="-2"/>
        </w:rPr>
        <w:t> </w:t>
      </w:r>
      <w:r>
        <w:rPr>
          <w:color w:val="231F20"/>
        </w:rPr>
        <w:t>testo</w:t>
      </w:r>
      <w:r>
        <w:rPr>
          <w:color w:val="231F20"/>
          <w:spacing w:val="-2"/>
        </w:rPr>
        <w:t> </w:t>
      </w:r>
      <w:r>
        <w:rPr>
          <w:color w:val="231F20"/>
        </w:rPr>
        <w:t>degli</w:t>
      </w:r>
      <w:r>
        <w:rPr>
          <w:color w:val="231F20"/>
          <w:spacing w:val="-2"/>
        </w:rPr>
        <w:t> </w:t>
      </w:r>
      <w:r>
        <w:rPr>
          <w:color w:val="231F20"/>
        </w:rPr>
        <w:t>articoli</w:t>
      </w:r>
      <w:r>
        <w:rPr>
          <w:color w:val="231F20"/>
          <w:spacing w:val="-2"/>
        </w:rPr>
        <w:t> </w:t>
      </w:r>
      <w:r>
        <w:rPr>
          <w:color w:val="231F20"/>
        </w:rPr>
        <w:t>del</w:t>
      </w:r>
      <w:r>
        <w:rPr>
          <w:color w:val="231F20"/>
          <w:spacing w:val="-2"/>
        </w:rPr>
        <w:t> </w:t>
      </w:r>
      <w:r>
        <w:rPr>
          <w:color w:val="231F20"/>
        </w:rPr>
        <w:t>regolamento</w:t>
      </w:r>
      <w:r>
        <w:rPr>
          <w:color w:val="231F20"/>
          <w:spacing w:val="-2"/>
        </w:rPr>
        <w:t> </w:t>
      </w:r>
      <w:r>
        <w:rPr>
          <w:color w:val="231F20"/>
        </w:rPr>
        <w:t>in</w:t>
      </w:r>
      <w:r>
        <w:rPr>
          <w:color w:val="231F20"/>
          <w:spacing w:val="-2"/>
        </w:rPr>
        <w:t> </w:t>
      </w:r>
      <w:r>
        <w:rPr>
          <w:color w:val="231F20"/>
        </w:rPr>
        <w:t>questione,</w:t>
      </w:r>
      <w:r>
        <w:rPr>
          <w:color w:val="231F20"/>
          <w:spacing w:val="-2"/>
        </w:rPr>
        <w:t> </w:t>
      </w:r>
      <w:r>
        <w:rPr>
          <w:color w:val="231F20"/>
        </w:rPr>
        <w:t>ed</w:t>
      </w:r>
      <w:r>
        <w:rPr>
          <w:color w:val="231F20"/>
          <w:spacing w:val="-2"/>
        </w:rPr>
        <w:t> </w:t>
      </w:r>
      <w:r>
        <w:rPr>
          <w:color w:val="231F20"/>
        </w:rPr>
        <w:t>in particolare</w:t>
      </w:r>
      <w:r>
        <w:rPr>
          <w:color w:val="231F20"/>
          <w:spacing w:val="-2"/>
        </w:rPr>
        <w:t> </w:t>
      </w:r>
      <w:r>
        <w:rPr>
          <w:color w:val="231F20"/>
        </w:rPr>
        <w:t>quello</w:t>
      </w:r>
      <w:r>
        <w:rPr>
          <w:color w:val="231F20"/>
          <w:spacing w:val="-2"/>
        </w:rPr>
        <w:t> </w:t>
      </w:r>
      <w:r>
        <w:rPr>
          <w:color w:val="231F20"/>
        </w:rPr>
        <w:t>del</w:t>
      </w:r>
      <w:r>
        <w:rPr>
          <w:color w:val="231F20"/>
          <w:spacing w:val="-2"/>
        </w:rPr>
        <w:t> </w:t>
      </w:r>
      <w:r>
        <w:rPr>
          <w:color w:val="231F20"/>
        </w:rPr>
        <w:t>suo</w:t>
      </w:r>
      <w:r>
        <w:rPr>
          <w:color w:val="231F20"/>
          <w:spacing w:val="-2"/>
        </w:rPr>
        <w:t> </w:t>
      </w:r>
      <w:r>
        <w:rPr>
          <w:color w:val="231F20"/>
        </w:rPr>
        <w:t>art.</w:t>
      </w:r>
      <w:r>
        <w:rPr>
          <w:color w:val="231F20"/>
          <w:spacing w:val="-2"/>
        </w:rPr>
        <w:t> </w:t>
      </w:r>
      <w:r>
        <w:rPr>
          <w:color w:val="231F20"/>
        </w:rPr>
        <w:t>1,</w:t>
      </w:r>
      <w:r>
        <w:rPr>
          <w:color w:val="231F20"/>
          <w:spacing w:val="-2"/>
        </w:rPr>
        <w:t> </w:t>
      </w:r>
      <w:r>
        <w:rPr>
          <w:color w:val="231F20"/>
        </w:rPr>
        <w:t>«non</w:t>
      </w:r>
      <w:r>
        <w:rPr>
          <w:color w:val="231F20"/>
          <w:spacing w:val="-2"/>
        </w:rPr>
        <w:t> </w:t>
      </w:r>
      <w:r>
        <w:rPr>
          <w:color w:val="231F20"/>
        </w:rPr>
        <w:t>precisa</w:t>
      </w:r>
      <w:r>
        <w:rPr>
          <w:color w:val="231F20"/>
          <w:spacing w:val="-2"/>
        </w:rPr>
        <w:t> </w:t>
      </w:r>
      <w:r>
        <w:rPr>
          <w:color w:val="231F20"/>
        </w:rPr>
        <w:t>in</w:t>
      </w:r>
      <w:r>
        <w:rPr>
          <w:color w:val="231F20"/>
          <w:spacing w:val="-2"/>
        </w:rPr>
        <w:t> </w:t>
      </w:r>
      <w:r>
        <w:rPr>
          <w:color w:val="231F20"/>
        </w:rPr>
        <w:t>quali</w:t>
      </w:r>
      <w:r>
        <w:rPr>
          <w:color w:val="231F20"/>
          <w:spacing w:val="-2"/>
        </w:rPr>
        <w:t> </w:t>
      </w:r>
      <w:r>
        <w:rPr>
          <w:color w:val="231F20"/>
        </w:rPr>
        <w:t>condizioni</w:t>
      </w:r>
      <w:r>
        <w:rPr>
          <w:color w:val="231F20"/>
          <w:spacing w:val="-2"/>
        </w:rPr>
        <w:t> </w:t>
      </w:r>
      <w:r>
        <w:rPr>
          <w:color w:val="231F20"/>
        </w:rPr>
        <w:t>l’autorità</w:t>
      </w:r>
    </w:p>
    <w:p>
      <w:pPr>
        <w:pStyle w:val="BodyText"/>
        <w:spacing w:before="4"/>
        <w:rPr>
          <w:sz w:val="4"/>
        </w:rPr>
      </w:pPr>
      <w:r>
        <w:rPr/>
        <mc:AlternateContent>
          <mc:Choice Requires="wps">
            <w:drawing>
              <wp:anchor distT="0" distB="0" distL="0" distR="0" allowOverlap="1" layoutInCell="1" locked="0" behindDoc="1" simplePos="0" relativeHeight="487646720">
                <wp:simplePos x="0" y="0"/>
                <wp:positionH relativeFrom="page">
                  <wp:posOffset>899999</wp:posOffset>
                </wp:positionH>
                <wp:positionV relativeFrom="paragraph">
                  <wp:posOffset>50587</wp:posOffset>
                </wp:positionV>
                <wp:extent cx="792480" cy="1270"/>
                <wp:effectExtent l="0" t="0" r="0" b="0"/>
                <wp:wrapTopAndBottom/>
                <wp:docPr id="192" name="Graphic 192"/>
                <wp:cNvGraphicFramePr>
                  <a:graphicFrameLocks/>
                </wp:cNvGraphicFramePr>
                <a:graphic>
                  <a:graphicData uri="http://schemas.microsoft.com/office/word/2010/wordprocessingShape">
                    <wps:wsp>
                      <wps:cNvPr id="192" name="Graphic 192"/>
                      <wps:cNvSpPr/>
                      <wps:spPr>
                        <a:xfrm>
                          <a:off x="0" y="0"/>
                          <a:ext cx="792480" cy="1270"/>
                        </a:xfrm>
                        <a:custGeom>
                          <a:avLst/>
                          <a:gdLst/>
                          <a:ahLst/>
                          <a:cxnLst/>
                          <a:rect l="l" t="t" r="r" b="b"/>
                          <a:pathLst>
                            <a:path w="792480" h="0">
                              <a:moveTo>
                                <a:pt x="0" y="0"/>
                              </a:moveTo>
                              <a:lnTo>
                                <a:pt x="791997"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shape style="position:absolute;margin-left:70.866096pt;margin-top:3.9833pt;width:62.4pt;height:.1pt;mso-position-horizontal-relative:page;mso-position-vertical-relative:paragraph;z-index:-15669760;mso-wrap-distance-left:0;mso-wrap-distance-right:0" id="docshape159" coordorigin="1417,80" coordsize="1248,0" path="m1417,80l2665,80e" filled="false" stroked="true" strokeweight=".5pt" strokecolor="#231f20">
                <v:path arrowok="t"/>
                <v:stroke dashstyle="solid"/>
                <w10:wrap type="topAndBottom"/>
              </v:shape>
            </w:pict>
          </mc:Fallback>
        </mc:AlternateContent>
      </w:r>
    </w:p>
    <w:p>
      <w:pPr>
        <w:spacing w:line="228" w:lineRule="auto" w:before="199"/>
        <w:ind w:left="157" w:right="118" w:firstLine="0"/>
        <w:jc w:val="both"/>
        <w:rPr>
          <w:sz w:val="19"/>
        </w:rPr>
      </w:pPr>
      <w:r>
        <w:rPr>
          <w:i/>
          <w:color w:val="231F20"/>
          <w:sz w:val="19"/>
        </w:rPr>
        <w:t>Amministrazione nazionale dei tributi delle dogane. </w:t>
      </w:r>
      <w:r>
        <w:rPr>
          <w:color w:val="231F20"/>
          <w:sz w:val="19"/>
        </w:rPr>
        <w:t>Per un commento: V. Covolo, </w:t>
      </w:r>
      <w:r>
        <w:rPr>
          <w:i/>
          <w:color w:val="231F20"/>
          <w:sz w:val="19"/>
        </w:rPr>
        <w:t>L’échange</w:t>
      </w:r>
      <w:r>
        <w:rPr>
          <w:i/>
          <w:color w:val="231F20"/>
          <w:sz w:val="19"/>
        </w:rPr>
        <w:t> d’informations</w:t>
      </w:r>
      <w:r>
        <w:rPr>
          <w:i/>
          <w:color w:val="231F20"/>
          <w:spacing w:val="-9"/>
          <w:sz w:val="19"/>
        </w:rPr>
        <w:t> </w:t>
      </w:r>
      <w:r>
        <w:rPr>
          <w:i/>
          <w:color w:val="231F20"/>
          <w:sz w:val="19"/>
        </w:rPr>
        <w:t>entre</w:t>
      </w:r>
      <w:r>
        <w:rPr>
          <w:i/>
          <w:color w:val="231F20"/>
          <w:spacing w:val="-9"/>
          <w:sz w:val="19"/>
        </w:rPr>
        <w:t> </w:t>
      </w:r>
      <w:r>
        <w:rPr>
          <w:i/>
          <w:color w:val="231F20"/>
          <w:sz w:val="19"/>
        </w:rPr>
        <w:t>autorités</w:t>
      </w:r>
      <w:r>
        <w:rPr>
          <w:i/>
          <w:color w:val="231F20"/>
          <w:spacing w:val="-9"/>
          <w:sz w:val="19"/>
        </w:rPr>
        <w:t> </w:t>
      </w:r>
      <w:r>
        <w:rPr>
          <w:i/>
          <w:color w:val="231F20"/>
          <w:sz w:val="19"/>
        </w:rPr>
        <w:t>administratives</w:t>
      </w:r>
      <w:r>
        <w:rPr>
          <w:i/>
          <w:color w:val="231F20"/>
          <w:spacing w:val="-9"/>
          <w:sz w:val="19"/>
        </w:rPr>
        <w:t> </w:t>
      </w:r>
      <w:r>
        <w:rPr>
          <w:i/>
          <w:color w:val="231F20"/>
          <w:sz w:val="19"/>
        </w:rPr>
        <w:t>et</w:t>
      </w:r>
      <w:r>
        <w:rPr>
          <w:i/>
          <w:color w:val="231F20"/>
          <w:spacing w:val="-9"/>
          <w:sz w:val="19"/>
        </w:rPr>
        <w:t> </w:t>
      </w:r>
      <w:r>
        <w:rPr>
          <w:i/>
          <w:color w:val="231F20"/>
          <w:sz w:val="19"/>
        </w:rPr>
        <w:t>judiciaires:</w:t>
      </w:r>
      <w:r>
        <w:rPr>
          <w:i/>
          <w:color w:val="231F20"/>
          <w:spacing w:val="-10"/>
          <w:sz w:val="19"/>
        </w:rPr>
        <w:t> </w:t>
      </w:r>
      <w:r>
        <w:rPr>
          <w:i/>
          <w:color w:val="231F20"/>
          <w:sz w:val="19"/>
        </w:rPr>
        <w:t>premiers</w:t>
      </w:r>
      <w:r>
        <w:rPr>
          <w:i/>
          <w:color w:val="231F20"/>
          <w:spacing w:val="-9"/>
          <w:sz w:val="19"/>
        </w:rPr>
        <w:t> </w:t>
      </w:r>
      <w:r>
        <w:rPr>
          <w:i/>
          <w:color w:val="231F20"/>
          <w:sz w:val="19"/>
        </w:rPr>
        <w:t>éclaircissements</w:t>
      </w:r>
      <w:r>
        <w:rPr>
          <w:i/>
          <w:color w:val="231F20"/>
          <w:spacing w:val="-9"/>
          <w:sz w:val="19"/>
        </w:rPr>
        <w:t> </w:t>
      </w:r>
      <w:r>
        <w:rPr>
          <w:i/>
          <w:color w:val="231F20"/>
          <w:sz w:val="19"/>
        </w:rPr>
        <w:t>tirés</w:t>
      </w:r>
      <w:r>
        <w:rPr>
          <w:i/>
          <w:color w:val="231F20"/>
          <w:spacing w:val="-9"/>
          <w:sz w:val="19"/>
        </w:rPr>
        <w:t> </w:t>
      </w:r>
      <w:r>
        <w:rPr>
          <w:i/>
          <w:color w:val="231F20"/>
          <w:sz w:val="19"/>
        </w:rPr>
        <w:t>de</w:t>
      </w:r>
      <w:r>
        <w:rPr>
          <w:i/>
          <w:color w:val="231F20"/>
          <w:spacing w:val="-9"/>
          <w:sz w:val="19"/>
        </w:rPr>
        <w:t> </w:t>
      </w:r>
      <w:r>
        <w:rPr>
          <w:i/>
          <w:color w:val="231F20"/>
          <w:sz w:val="19"/>
        </w:rPr>
        <w:t>l’arrêt WebMind Licences C-419/14</w:t>
      </w:r>
      <w:r>
        <w:rPr>
          <w:color w:val="231F20"/>
          <w:sz w:val="19"/>
        </w:rPr>
        <w:t>, in </w:t>
      </w:r>
      <w:r>
        <w:rPr>
          <w:i/>
          <w:color w:val="231F20"/>
          <w:sz w:val="19"/>
        </w:rPr>
        <w:t>Eucrim</w:t>
      </w:r>
      <w:r>
        <w:rPr>
          <w:color w:val="231F20"/>
          <w:sz w:val="19"/>
        </w:rPr>
        <w:t>, 2006, 3.</w:t>
      </w:r>
    </w:p>
    <w:p>
      <w:pPr>
        <w:spacing w:after="0" w:line="228" w:lineRule="auto"/>
        <w:jc w:val="both"/>
        <w:rPr>
          <w:sz w:val="19"/>
        </w:rPr>
        <w:sectPr>
          <w:pgSz w:w="9640" w:h="13610"/>
          <w:pgMar w:header="0" w:footer="625" w:top="1260" w:bottom="820" w:left="1260" w:right="1240"/>
        </w:sectPr>
      </w:pPr>
    </w:p>
    <w:p>
      <w:pPr>
        <w:pStyle w:val="BodyText"/>
        <w:spacing w:line="225" w:lineRule="auto" w:before="117"/>
        <w:ind w:left="100" w:right="174"/>
        <w:jc w:val="both"/>
      </w:pPr>
      <w:r>
        <w:rPr>
          <w:color w:val="231F20"/>
          <w:spacing w:val="-2"/>
        </w:rPr>
        <w:t>tributaria</w:t>
      </w:r>
      <w:r>
        <w:rPr>
          <w:color w:val="231F20"/>
          <w:spacing w:val="-15"/>
        </w:rPr>
        <w:t> </w:t>
      </w:r>
      <w:r>
        <w:rPr>
          <w:color w:val="231F20"/>
          <w:spacing w:val="-2"/>
        </w:rPr>
        <w:t>di</w:t>
      </w:r>
      <w:r>
        <w:rPr>
          <w:color w:val="231F20"/>
          <w:spacing w:val="-13"/>
        </w:rPr>
        <w:t> </w:t>
      </w:r>
      <w:r>
        <w:rPr>
          <w:color w:val="231F20"/>
          <w:spacing w:val="-2"/>
        </w:rPr>
        <w:t>uno</w:t>
      </w:r>
      <w:r>
        <w:rPr>
          <w:color w:val="231F20"/>
          <w:spacing w:val="-13"/>
        </w:rPr>
        <w:t> </w:t>
      </w:r>
      <w:r>
        <w:rPr>
          <w:color w:val="231F20"/>
          <w:spacing w:val="-2"/>
        </w:rPr>
        <w:t>Stato</w:t>
      </w:r>
      <w:r>
        <w:rPr>
          <w:color w:val="231F20"/>
          <w:spacing w:val="-13"/>
        </w:rPr>
        <w:t> </w:t>
      </w:r>
      <w:r>
        <w:rPr>
          <w:color w:val="231F20"/>
          <w:spacing w:val="-2"/>
        </w:rPr>
        <w:t>membro</w:t>
      </w:r>
      <w:r>
        <w:rPr>
          <w:color w:val="231F20"/>
          <w:spacing w:val="-13"/>
        </w:rPr>
        <w:t> </w:t>
      </w:r>
      <w:r>
        <w:rPr>
          <w:color w:val="231F20"/>
          <w:spacing w:val="-2"/>
        </w:rPr>
        <w:t>potrebbe</w:t>
      </w:r>
      <w:r>
        <w:rPr>
          <w:color w:val="231F20"/>
          <w:spacing w:val="-13"/>
        </w:rPr>
        <w:t> </w:t>
      </w:r>
      <w:r>
        <w:rPr>
          <w:color w:val="231F20"/>
          <w:spacing w:val="-2"/>
        </w:rPr>
        <w:t>essere</w:t>
      </w:r>
      <w:r>
        <w:rPr>
          <w:color w:val="231F20"/>
          <w:spacing w:val="-13"/>
        </w:rPr>
        <w:t> </w:t>
      </w:r>
      <w:r>
        <w:rPr>
          <w:color w:val="231F20"/>
          <w:spacing w:val="-2"/>
        </w:rPr>
        <w:t>tenuta</w:t>
      </w:r>
      <w:r>
        <w:rPr>
          <w:color w:val="231F20"/>
          <w:spacing w:val="-13"/>
        </w:rPr>
        <w:t> </w:t>
      </w:r>
      <w:r>
        <w:rPr>
          <w:color w:val="231F20"/>
          <w:spacing w:val="-2"/>
        </w:rPr>
        <w:t>a</w:t>
      </w:r>
      <w:r>
        <w:rPr>
          <w:color w:val="231F20"/>
          <w:spacing w:val="-13"/>
        </w:rPr>
        <w:t> </w:t>
      </w:r>
      <w:r>
        <w:rPr>
          <w:color w:val="231F20"/>
          <w:spacing w:val="-2"/>
        </w:rPr>
        <w:t>rivolgere</w:t>
      </w:r>
      <w:r>
        <w:rPr>
          <w:color w:val="231F20"/>
          <w:spacing w:val="-13"/>
        </w:rPr>
        <w:t> </w:t>
      </w:r>
      <w:r>
        <w:rPr>
          <w:color w:val="231F20"/>
          <w:spacing w:val="-2"/>
        </w:rPr>
        <w:t>una</w:t>
      </w:r>
      <w:r>
        <w:rPr>
          <w:color w:val="231F20"/>
          <w:spacing w:val="-13"/>
        </w:rPr>
        <w:t> </w:t>
      </w:r>
      <w:r>
        <w:rPr>
          <w:color w:val="231F20"/>
          <w:spacing w:val="-2"/>
        </w:rPr>
        <w:t>richie- sta</w:t>
      </w:r>
      <w:r>
        <w:rPr>
          <w:color w:val="231F20"/>
          <w:spacing w:val="-11"/>
        </w:rPr>
        <w:t> </w:t>
      </w:r>
      <w:r>
        <w:rPr>
          <w:color w:val="231F20"/>
          <w:spacing w:val="-2"/>
        </w:rPr>
        <w:t>di</w:t>
      </w:r>
      <w:r>
        <w:rPr>
          <w:color w:val="231F20"/>
          <w:spacing w:val="-11"/>
        </w:rPr>
        <w:t> </w:t>
      </w:r>
      <w:r>
        <w:rPr>
          <w:color w:val="231F20"/>
          <w:spacing w:val="-2"/>
        </w:rPr>
        <w:t>cooperazione</w:t>
      </w:r>
      <w:r>
        <w:rPr>
          <w:color w:val="231F20"/>
          <w:spacing w:val="-11"/>
        </w:rPr>
        <w:t> </w:t>
      </w:r>
      <w:r>
        <w:rPr>
          <w:color w:val="231F20"/>
          <w:spacing w:val="-2"/>
        </w:rPr>
        <w:t>amministrativa</w:t>
      </w:r>
      <w:r>
        <w:rPr>
          <w:color w:val="231F20"/>
          <w:spacing w:val="-11"/>
        </w:rPr>
        <w:t> </w:t>
      </w:r>
      <w:r>
        <w:rPr>
          <w:color w:val="231F20"/>
          <w:spacing w:val="-2"/>
        </w:rPr>
        <w:t>all’autorità</w:t>
      </w:r>
      <w:r>
        <w:rPr>
          <w:color w:val="231F20"/>
          <w:spacing w:val="-11"/>
        </w:rPr>
        <w:t> </w:t>
      </w:r>
      <w:r>
        <w:rPr>
          <w:color w:val="231F20"/>
          <w:spacing w:val="-2"/>
        </w:rPr>
        <w:t>di</w:t>
      </w:r>
      <w:r>
        <w:rPr>
          <w:color w:val="231F20"/>
          <w:spacing w:val="-11"/>
        </w:rPr>
        <w:t> </w:t>
      </w:r>
      <w:r>
        <w:rPr>
          <w:color w:val="231F20"/>
          <w:spacing w:val="-2"/>
        </w:rPr>
        <w:t>un</w:t>
      </w:r>
      <w:r>
        <w:rPr>
          <w:color w:val="231F20"/>
          <w:spacing w:val="-11"/>
        </w:rPr>
        <w:t> </w:t>
      </w:r>
      <w:r>
        <w:rPr>
          <w:color w:val="231F20"/>
          <w:spacing w:val="-2"/>
        </w:rPr>
        <w:t>altro</w:t>
      </w:r>
      <w:r>
        <w:rPr>
          <w:color w:val="231F20"/>
          <w:spacing w:val="-11"/>
        </w:rPr>
        <w:t> </w:t>
      </w:r>
      <w:r>
        <w:rPr>
          <w:color w:val="231F20"/>
          <w:spacing w:val="-2"/>
        </w:rPr>
        <w:t>Stato</w:t>
      </w:r>
      <w:r>
        <w:rPr>
          <w:color w:val="231F20"/>
          <w:spacing w:val="-11"/>
        </w:rPr>
        <w:t> </w:t>
      </w:r>
      <w:r>
        <w:rPr>
          <w:color w:val="231F20"/>
          <w:spacing w:val="-2"/>
        </w:rPr>
        <w:t>membro»</w:t>
      </w:r>
      <w:r>
        <w:rPr>
          <w:color w:val="231F20"/>
          <w:spacing w:val="-2"/>
          <w:position w:val="8"/>
          <w:sz w:val="14"/>
        </w:rPr>
        <w:t>134</w:t>
      </w:r>
      <w:r>
        <w:rPr>
          <w:color w:val="231F20"/>
          <w:spacing w:val="-2"/>
        </w:rPr>
        <w:t>. </w:t>
      </w:r>
      <w:r>
        <w:rPr>
          <w:color w:val="231F20"/>
        </w:rPr>
        <w:t>I</w:t>
      </w:r>
      <w:r>
        <w:rPr>
          <w:color w:val="231F20"/>
          <w:spacing w:val="-15"/>
        </w:rPr>
        <w:t> </w:t>
      </w:r>
      <w:r>
        <w:rPr>
          <w:color w:val="231F20"/>
        </w:rPr>
        <w:t>giudici</w:t>
      </w:r>
      <w:r>
        <w:rPr>
          <w:color w:val="231F20"/>
          <w:spacing w:val="-15"/>
        </w:rPr>
        <w:t> </w:t>
      </w:r>
      <w:r>
        <w:rPr>
          <w:color w:val="231F20"/>
        </w:rPr>
        <w:t>dell’Unione</w:t>
      </w:r>
      <w:r>
        <w:rPr>
          <w:color w:val="231F20"/>
          <w:spacing w:val="-15"/>
        </w:rPr>
        <w:t> </w:t>
      </w:r>
      <w:r>
        <w:rPr>
          <w:color w:val="231F20"/>
        </w:rPr>
        <w:t>hanno</w:t>
      </w:r>
      <w:r>
        <w:rPr>
          <w:color w:val="231F20"/>
          <w:spacing w:val="-15"/>
        </w:rPr>
        <w:t> </w:t>
      </w:r>
      <w:r>
        <w:rPr>
          <w:color w:val="231F20"/>
        </w:rPr>
        <w:t>tuttavia</w:t>
      </w:r>
      <w:r>
        <w:rPr>
          <w:color w:val="231F20"/>
          <w:spacing w:val="-15"/>
        </w:rPr>
        <w:t> </w:t>
      </w:r>
      <w:r>
        <w:rPr>
          <w:color w:val="231F20"/>
        </w:rPr>
        <w:t>dedotto</w:t>
      </w:r>
      <w:r>
        <w:rPr>
          <w:color w:val="231F20"/>
          <w:spacing w:val="-15"/>
        </w:rPr>
        <w:t> </w:t>
      </w:r>
      <w:r>
        <w:rPr>
          <w:color w:val="231F20"/>
        </w:rPr>
        <w:t>in</w:t>
      </w:r>
      <w:r>
        <w:rPr>
          <w:color w:val="231F20"/>
          <w:spacing w:val="-15"/>
        </w:rPr>
        <w:t> </w:t>
      </w:r>
      <w:r>
        <w:rPr>
          <w:color w:val="231F20"/>
        </w:rPr>
        <w:t>via</w:t>
      </w:r>
      <w:r>
        <w:rPr>
          <w:color w:val="231F20"/>
          <w:spacing w:val="-15"/>
        </w:rPr>
        <w:t> </w:t>
      </w:r>
      <w:r>
        <w:rPr>
          <w:color w:val="231F20"/>
        </w:rPr>
        <w:t>interpretativa</w:t>
      </w:r>
      <w:r>
        <w:rPr>
          <w:color w:val="231F20"/>
          <w:spacing w:val="-15"/>
        </w:rPr>
        <w:t> </w:t>
      </w:r>
      <w:r>
        <w:rPr>
          <w:color w:val="231F20"/>
        </w:rPr>
        <w:t>un</w:t>
      </w:r>
      <w:r>
        <w:rPr>
          <w:color w:val="231F20"/>
          <w:spacing w:val="-15"/>
        </w:rPr>
        <w:t> </w:t>
      </w:r>
      <w:r>
        <w:rPr>
          <w:color w:val="231F20"/>
        </w:rPr>
        <w:t>dovere di</w:t>
      </w:r>
      <w:r>
        <w:rPr>
          <w:color w:val="231F20"/>
          <w:spacing w:val="-15"/>
        </w:rPr>
        <w:t> </w:t>
      </w:r>
      <w:r>
        <w:rPr>
          <w:color w:val="231F20"/>
        </w:rPr>
        <w:t>cooperazione</w:t>
      </w:r>
      <w:r>
        <w:rPr>
          <w:color w:val="231F20"/>
          <w:spacing w:val="-15"/>
        </w:rPr>
        <w:t> </w:t>
      </w:r>
      <w:r>
        <w:rPr>
          <w:color w:val="231F20"/>
        </w:rPr>
        <w:t>fra</w:t>
      </w:r>
      <w:r>
        <w:rPr>
          <w:color w:val="231F20"/>
          <w:spacing w:val="-15"/>
        </w:rPr>
        <w:t> </w:t>
      </w:r>
      <w:r>
        <w:rPr>
          <w:color w:val="231F20"/>
        </w:rPr>
        <w:t>amministrazioni</w:t>
      </w:r>
      <w:r>
        <w:rPr>
          <w:color w:val="231F20"/>
          <w:spacing w:val="-15"/>
        </w:rPr>
        <w:t> </w:t>
      </w:r>
      <w:r>
        <w:rPr>
          <w:color w:val="231F20"/>
        </w:rPr>
        <w:t>finanziarie</w:t>
      </w:r>
      <w:r>
        <w:rPr>
          <w:color w:val="231F20"/>
          <w:spacing w:val="-15"/>
        </w:rPr>
        <w:t> </w:t>
      </w:r>
      <w:r>
        <w:rPr>
          <w:color w:val="231F20"/>
        </w:rPr>
        <w:t>degli</w:t>
      </w:r>
      <w:r>
        <w:rPr>
          <w:color w:val="231F20"/>
          <w:spacing w:val="-15"/>
        </w:rPr>
        <w:t> </w:t>
      </w:r>
      <w:r>
        <w:rPr>
          <w:color w:val="231F20"/>
        </w:rPr>
        <w:t>Stati</w:t>
      </w:r>
      <w:r>
        <w:rPr>
          <w:color w:val="231F20"/>
          <w:spacing w:val="-15"/>
        </w:rPr>
        <w:t> </w:t>
      </w:r>
      <w:r>
        <w:rPr>
          <w:color w:val="231F20"/>
        </w:rPr>
        <w:t>membri</w:t>
      </w:r>
      <w:r>
        <w:rPr>
          <w:color w:val="231F20"/>
          <w:spacing w:val="-15"/>
        </w:rPr>
        <w:t> </w:t>
      </w:r>
      <w:r>
        <w:rPr>
          <w:color w:val="231F20"/>
        </w:rPr>
        <w:t>dal</w:t>
      </w:r>
      <w:r>
        <w:rPr>
          <w:color w:val="231F20"/>
          <w:spacing w:val="-15"/>
        </w:rPr>
        <w:t> </w:t>
      </w:r>
      <w:r>
        <w:rPr>
          <w:color w:val="231F20"/>
        </w:rPr>
        <w:t>pun- to</w:t>
      </w:r>
      <w:r>
        <w:rPr>
          <w:color w:val="231F20"/>
          <w:spacing w:val="-7"/>
        </w:rPr>
        <w:t> </w:t>
      </w:r>
      <w:r>
        <w:rPr>
          <w:color w:val="231F20"/>
        </w:rPr>
        <w:t>n.</w:t>
      </w:r>
      <w:r>
        <w:rPr>
          <w:color w:val="231F20"/>
          <w:spacing w:val="-7"/>
        </w:rPr>
        <w:t> </w:t>
      </w:r>
      <w:r>
        <w:rPr>
          <w:color w:val="231F20"/>
        </w:rPr>
        <w:t>7</w:t>
      </w:r>
      <w:r>
        <w:rPr>
          <w:color w:val="231F20"/>
          <w:spacing w:val="-7"/>
        </w:rPr>
        <w:t> </w:t>
      </w:r>
      <w:r>
        <w:rPr>
          <w:color w:val="231F20"/>
        </w:rPr>
        <w:t>della</w:t>
      </w:r>
      <w:r>
        <w:rPr>
          <w:color w:val="231F20"/>
          <w:spacing w:val="-7"/>
        </w:rPr>
        <w:t> </w:t>
      </w:r>
      <w:r>
        <w:rPr>
          <w:color w:val="231F20"/>
        </w:rPr>
        <w:t>motivazione</w:t>
      </w:r>
      <w:r>
        <w:rPr>
          <w:color w:val="231F20"/>
          <w:spacing w:val="-7"/>
        </w:rPr>
        <w:t> </w:t>
      </w:r>
      <w:r>
        <w:rPr>
          <w:color w:val="231F20"/>
        </w:rPr>
        <w:t>del</w:t>
      </w:r>
      <w:r>
        <w:rPr>
          <w:color w:val="231F20"/>
          <w:spacing w:val="-7"/>
        </w:rPr>
        <w:t> </w:t>
      </w:r>
      <w:r>
        <w:rPr>
          <w:color w:val="231F20"/>
        </w:rPr>
        <w:t>regolamento</w:t>
      </w:r>
      <w:r>
        <w:rPr>
          <w:color w:val="231F20"/>
          <w:spacing w:val="-7"/>
        </w:rPr>
        <w:t> </w:t>
      </w:r>
      <w:r>
        <w:rPr>
          <w:color w:val="231F20"/>
        </w:rPr>
        <w:t>stesso,</w:t>
      </w:r>
      <w:r>
        <w:rPr>
          <w:color w:val="231F20"/>
          <w:spacing w:val="-7"/>
        </w:rPr>
        <w:t> </w:t>
      </w:r>
      <w:r>
        <w:rPr>
          <w:color w:val="231F20"/>
        </w:rPr>
        <w:t>in</w:t>
      </w:r>
      <w:r>
        <w:rPr>
          <w:color w:val="231F20"/>
          <w:spacing w:val="-7"/>
        </w:rPr>
        <w:t> </w:t>
      </w:r>
      <w:r>
        <w:rPr>
          <w:color w:val="231F20"/>
        </w:rPr>
        <w:t>forza</w:t>
      </w:r>
      <w:r>
        <w:rPr>
          <w:color w:val="231F20"/>
          <w:spacing w:val="-7"/>
        </w:rPr>
        <w:t> </w:t>
      </w:r>
      <w:r>
        <w:rPr>
          <w:color w:val="231F20"/>
        </w:rPr>
        <w:t>del</w:t>
      </w:r>
      <w:r>
        <w:rPr>
          <w:color w:val="231F20"/>
          <w:spacing w:val="-7"/>
        </w:rPr>
        <w:t> </w:t>
      </w:r>
      <w:r>
        <w:rPr>
          <w:color w:val="231F20"/>
        </w:rPr>
        <w:t>quale</w:t>
      </w:r>
      <w:r>
        <w:rPr>
          <w:color w:val="231F20"/>
          <w:spacing w:val="-7"/>
        </w:rPr>
        <w:t> </w:t>
      </w:r>
      <w:r>
        <w:rPr>
          <w:color w:val="231F20"/>
        </w:rPr>
        <w:t>gli</w:t>
      </w:r>
      <w:r>
        <w:rPr>
          <w:color w:val="231F20"/>
          <w:spacing w:val="-7"/>
        </w:rPr>
        <w:t> </w:t>
      </w:r>
      <w:r>
        <w:rPr>
          <w:color w:val="231F20"/>
        </w:rPr>
        <w:t>Stati </w:t>
      </w:r>
      <w:r>
        <w:rPr>
          <w:color w:val="231F20"/>
          <w:spacing w:val="-2"/>
        </w:rPr>
        <w:t>membri</w:t>
      </w:r>
      <w:r>
        <w:rPr>
          <w:color w:val="231F20"/>
          <w:spacing w:val="-9"/>
        </w:rPr>
        <w:t> </w:t>
      </w:r>
      <w:r>
        <w:rPr>
          <w:color w:val="231F20"/>
          <w:spacing w:val="-2"/>
        </w:rPr>
        <w:t>«devono</w:t>
      </w:r>
      <w:r>
        <w:rPr>
          <w:color w:val="231F20"/>
          <w:spacing w:val="-9"/>
        </w:rPr>
        <w:t> </w:t>
      </w:r>
      <w:r>
        <w:rPr>
          <w:color w:val="231F20"/>
          <w:spacing w:val="-2"/>
        </w:rPr>
        <w:t>cooperare</w:t>
      </w:r>
      <w:r>
        <w:rPr>
          <w:color w:val="231F20"/>
          <w:spacing w:val="-9"/>
        </w:rPr>
        <w:t> </w:t>
      </w:r>
      <w:r>
        <w:rPr>
          <w:color w:val="231F20"/>
          <w:spacing w:val="-2"/>
        </w:rPr>
        <w:t>per</w:t>
      </w:r>
      <w:r>
        <w:rPr>
          <w:color w:val="231F20"/>
          <w:spacing w:val="-9"/>
        </w:rPr>
        <w:t> </w:t>
      </w:r>
      <w:r>
        <w:rPr>
          <w:color w:val="231F20"/>
          <w:spacing w:val="-2"/>
        </w:rPr>
        <w:t>assicurare</w:t>
      </w:r>
      <w:r>
        <w:rPr>
          <w:color w:val="231F20"/>
          <w:spacing w:val="-9"/>
        </w:rPr>
        <w:t> </w:t>
      </w:r>
      <w:r>
        <w:rPr>
          <w:color w:val="231F20"/>
          <w:spacing w:val="-2"/>
        </w:rPr>
        <w:t>l’accertamento</w:t>
      </w:r>
      <w:r>
        <w:rPr>
          <w:color w:val="231F20"/>
          <w:spacing w:val="-9"/>
        </w:rPr>
        <w:t> </w:t>
      </w:r>
      <w:r>
        <w:rPr>
          <w:color w:val="231F20"/>
          <w:spacing w:val="-2"/>
        </w:rPr>
        <w:t>corretto</w:t>
      </w:r>
      <w:r>
        <w:rPr>
          <w:color w:val="231F20"/>
          <w:spacing w:val="-9"/>
        </w:rPr>
        <w:t> </w:t>
      </w:r>
      <w:r>
        <w:rPr>
          <w:color w:val="231F20"/>
          <w:spacing w:val="-2"/>
        </w:rPr>
        <w:t>dell’IVA», </w:t>
      </w:r>
      <w:r>
        <w:rPr>
          <w:color w:val="231F20"/>
        </w:rPr>
        <w:t>nonché «(devono) fornire assistenza ad altri Stati membri per assicurare la corretta</w:t>
      </w:r>
      <w:r>
        <w:rPr>
          <w:color w:val="231F20"/>
          <w:spacing w:val="-2"/>
        </w:rPr>
        <w:t> </w:t>
      </w:r>
      <w:r>
        <w:rPr>
          <w:color w:val="231F20"/>
        </w:rPr>
        <w:t>applicazione</w:t>
      </w:r>
      <w:r>
        <w:rPr>
          <w:color w:val="231F20"/>
          <w:spacing w:val="-2"/>
        </w:rPr>
        <w:t> </w:t>
      </w:r>
      <w:r>
        <w:rPr>
          <w:color w:val="231F20"/>
        </w:rPr>
        <w:t>dell’imposta,</w:t>
      </w:r>
      <w:r>
        <w:rPr>
          <w:color w:val="231F20"/>
          <w:spacing w:val="-2"/>
        </w:rPr>
        <w:t> </w:t>
      </w:r>
      <w:r>
        <w:rPr>
          <w:color w:val="231F20"/>
        </w:rPr>
        <w:t>connessa</w:t>
      </w:r>
      <w:r>
        <w:rPr>
          <w:color w:val="231F20"/>
          <w:spacing w:val="-2"/>
        </w:rPr>
        <w:t> </w:t>
      </w:r>
      <w:r>
        <w:rPr>
          <w:color w:val="231F20"/>
        </w:rPr>
        <w:t>ad</w:t>
      </w:r>
      <w:r>
        <w:rPr>
          <w:color w:val="231F20"/>
          <w:spacing w:val="-2"/>
        </w:rPr>
        <w:t> </w:t>
      </w:r>
      <w:r>
        <w:rPr>
          <w:color w:val="231F20"/>
        </w:rPr>
        <w:t>un’attività</w:t>
      </w:r>
      <w:r>
        <w:rPr>
          <w:color w:val="231F20"/>
          <w:spacing w:val="-2"/>
        </w:rPr>
        <w:t> </w:t>
      </w:r>
      <w:r>
        <w:rPr>
          <w:color w:val="231F20"/>
        </w:rPr>
        <w:t>che</w:t>
      </w:r>
      <w:r>
        <w:rPr>
          <w:color w:val="231F20"/>
          <w:spacing w:val="-2"/>
        </w:rPr>
        <w:t> </w:t>
      </w:r>
      <w:r>
        <w:rPr>
          <w:color w:val="231F20"/>
        </w:rPr>
        <w:t>si</w:t>
      </w:r>
      <w:r>
        <w:rPr>
          <w:color w:val="231F20"/>
          <w:spacing w:val="-2"/>
        </w:rPr>
        <w:t> </w:t>
      </w:r>
      <w:r>
        <w:rPr>
          <w:color w:val="231F20"/>
        </w:rPr>
        <w:t>svolge</w:t>
      </w:r>
      <w:r>
        <w:rPr>
          <w:color w:val="231F20"/>
          <w:spacing w:val="-2"/>
        </w:rPr>
        <w:t> </w:t>
      </w:r>
      <w:r>
        <w:rPr>
          <w:color w:val="231F20"/>
        </w:rPr>
        <w:t>sul loro</w:t>
      </w:r>
      <w:r>
        <w:rPr>
          <w:color w:val="231F20"/>
          <w:spacing w:val="-15"/>
        </w:rPr>
        <w:t> </w:t>
      </w:r>
      <w:r>
        <w:rPr>
          <w:color w:val="231F20"/>
        </w:rPr>
        <w:t>territorio</w:t>
      </w:r>
      <w:r>
        <w:rPr>
          <w:color w:val="231F20"/>
          <w:spacing w:val="-15"/>
        </w:rPr>
        <w:t> </w:t>
      </w:r>
      <w:r>
        <w:rPr>
          <w:color w:val="231F20"/>
        </w:rPr>
        <w:t>e</w:t>
      </w:r>
      <w:r>
        <w:rPr>
          <w:color w:val="231F20"/>
          <w:spacing w:val="-15"/>
        </w:rPr>
        <w:t> </w:t>
      </w:r>
      <w:r>
        <w:rPr>
          <w:color w:val="231F20"/>
        </w:rPr>
        <w:t>dovuta</w:t>
      </w:r>
      <w:r>
        <w:rPr>
          <w:color w:val="231F20"/>
          <w:spacing w:val="-15"/>
        </w:rPr>
        <w:t> </w:t>
      </w:r>
      <w:r>
        <w:rPr>
          <w:color w:val="231F20"/>
        </w:rPr>
        <w:t>in</w:t>
      </w:r>
      <w:r>
        <w:rPr>
          <w:color w:val="231F20"/>
          <w:spacing w:val="-15"/>
        </w:rPr>
        <w:t> </w:t>
      </w:r>
      <w:r>
        <w:rPr>
          <w:color w:val="231F20"/>
        </w:rPr>
        <w:t>un</w:t>
      </w:r>
      <w:r>
        <w:rPr>
          <w:color w:val="231F20"/>
          <w:spacing w:val="-15"/>
        </w:rPr>
        <w:t> </w:t>
      </w:r>
      <w:r>
        <w:rPr>
          <w:color w:val="231F20"/>
        </w:rPr>
        <w:t>altro</w:t>
      </w:r>
      <w:r>
        <w:rPr>
          <w:color w:val="231F20"/>
          <w:spacing w:val="-15"/>
        </w:rPr>
        <w:t> </w:t>
      </w:r>
      <w:r>
        <w:rPr>
          <w:color w:val="231F20"/>
        </w:rPr>
        <w:t>Stato</w:t>
      </w:r>
      <w:r>
        <w:rPr>
          <w:color w:val="231F20"/>
          <w:spacing w:val="-15"/>
        </w:rPr>
        <w:t> </w:t>
      </w:r>
      <w:r>
        <w:rPr>
          <w:color w:val="231F20"/>
        </w:rPr>
        <w:t>membro».</w:t>
      </w:r>
      <w:r>
        <w:rPr>
          <w:color w:val="231F20"/>
          <w:spacing w:val="-15"/>
        </w:rPr>
        <w:t> </w:t>
      </w:r>
      <w:r>
        <w:rPr>
          <w:color w:val="231F20"/>
        </w:rPr>
        <w:t>L’obbligo</w:t>
      </w:r>
      <w:r>
        <w:rPr>
          <w:color w:val="231F20"/>
          <w:spacing w:val="-15"/>
        </w:rPr>
        <w:t> </w:t>
      </w:r>
      <w:r>
        <w:rPr>
          <w:color w:val="231F20"/>
        </w:rPr>
        <w:t>di</w:t>
      </w:r>
      <w:r>
        <w:rPr>
          <w:color w:val="231F20"/>
          <w:spacing w:val="-15"/>
        </w:rPr>
        <w:t> </w:t>
      </w:r>
      <w:r>
        <w:rPr>
          <w:color w:val="231F20"/>
        </w:rPr>
        <w:t>trasmettere una</w:t>
      </w:r>
      <w:r>
        <w:rPr>
          <w:color w:val="231F20"/>
          <w:spacing w:val="-15"/>
        </w:rPr>
        <w:t> </w:t>
      </w:r>
      <w:r>
        <w:rPr>
          <w:color w:val="231F20"/>
        </w:rPr>
        <w:t>richiesta</w:t>
      </w:r>
      <w:r>
        <w:rPr>
          <w:color w:val="231F20"/>
          <w:spacing w:val="-15"/>
        </w:rPr>
        <w:t> </w:t>
      </w:r>
      <w:r>
        <w:rPr>
          <w:color w:val="231F20"/>
        </w:rPr>
        <w:t>di</w:t>
      </w:r>
      <w:r>
        <w:rPr>
          <w:color w:val="231F20"/>
          <w:spacing w:val="-15"/>
        </w:rPr>
        <w:t> </w:t>
      </w:r>
      <w:r>
        <w:rPr>
          <w:color w:val="231F20"/>
        </w:rPr>
        <w:t>informazioni,</w:t>
      </w:r>
      <w:r>
        <w:rPr>
          <w:color w:val="231F20"/>
          <w:spacing w:val="-15"/>
        </w:rPr>
        <w:t> </w:t>
      </w:r>
      <w:r>
        <w:rPr>
          <w:color w:val="231F20"/>
        </w:rPr>
        <w:t>sempre</w:t>
      </w:r>
      <w:r>
        <w:rPr>
          <w:color w:val="231F20"/>
          <w:spacing w:val="-15"/>
        </w:rPr>
        <w:t> </w:t>
      </w:r>
      <w:r>
        <w:rPr>
          <w:color w:val="231F20"/>
        </w:rPr>
        <w:t>secondo</w:t>
      </w:r>
      <w:r>
        <w:rPr>
          <w:color w:val="231F20"/>
          <w:spacing w:val="-15"/>
        </w:rPr>
        <w:t> </w:t>
      </w:r>
      <w:r>
        <w:rPr>
          <w:color w:val="231F20"/>
        </w:rPr>
        <w:t>la</w:t>
      </w:r>
      <w:r>
        <w:rPr>
          <w:color w:val="231F20"/>
          <w:spacing w:val="-15"/>
        </w:rPr>
        <w:t> </w:t>
      </w:r>
      <w:r>
        <w:rPr>
          <w:color w:val="231F20"/>
        </w:rPr>
        <w:t>Corte</w:t>
      </w:r>
      <w:r>
        <w:rPr>
          <w:color w:val="231F20"/>
          <w:spacing w:val="-15"/>
        </w:rPr>
        <w:t> </w:t>
      </w:r>
      <w:r>
        <w:rPr>
          <w:color w:val="231F20"/>
        </w:rPr>
        <w:t>di</w:t>
      </w:r>
      <w:r>
        <w:rPr>
          <w:color w:val="231F20"/>
          <w:spacing w:val="-15"/>
        </w:rPr>
        <w:t> </w:t>
      </w:r>
      <w:r>
        <w:rPr>
          <w:color w:val="231F20"/>
        </w:rPr>
        <w:t>giustizia,</w:t>
      </w:r>
      <w:r>
        <w:rPr>
          <w:color w:val="231F20"/>
          <w:spacing w:val="-15"/>
        </w:rPr>
        <w:t> </w:t>
      </w:r>
      <w:r>
        <w:rPr>
          <w:color w:val="231F20"/>
        </w:rPr>
        <w:t>scatta</w:t>
      </w:r>
      <w:r>
        <w:rPr>
          <w:color w:val="231F20"/>
          <w:spacing w:val="-15"/>
        </w:rPr>
        <w:t> </w:t>
      </w:r>
      <w:r>
        <w:rPr>
          <w:color w:val="231F20"/>
        </w:rPr>
        <w:t>in </w:t>
      </w:r>
      <w:r>
        <w:rPr>
          <w:color w:val="231F20"/>
          <w:spacing w:val="-2"/>
        </w:rPr>
        <w:t>particolare</w:t>
      </w:r>
      <w:r>
        <w:rPr>
          <w:color w:val="231F20"/>
          <w:spacing w:val="-12"/>
        </w:rPr>
        <w:t> </w:t>
      </w:r>
      <w:r>
        <w:rPr>
          <w:color w:val="231F20"/>
          <w:spacing w:val="-2"/>
        </w:rPr>
        <w:t>nel</w:t>
      </w:r>
      <w:r>
        <w:rPr>
          <w:color w:val="231F20"/>
          <w:spacing w:val="-12"/>
        </w:rPr>
        <w:t> </w:t>
      </w:r>
      <w:r>
        <w:rPr>
          <w:color w:val="231F20"/>
          <w:spacing w:val="-2"/>
        </w:rPr>
        <w:t>caso</w:t>
      </w:r>
      <w:r>
        <w:rPr>
          <w:color w:val="231F20"/>
          <w:spacing w:val="-12"/>
        </w:rPr>
        <w:t> </w:t>
      </w:r>
      <w:r>
        <w:rPr>
          <w:color w:val="231F20"/>
          <w:spacing w:val="-2"/>
        </w:rPr>
        <w:t>in</w:t>
      </w:r>
      <w:r>
        <w:rPr>
          <w:color w:val="231F20"/>
          <w:spacing w:val="-12"/>
        </w:rPr>
        <w:t> </w:t>
      </w:r>
      <w:r>
        <w:rPr>
          <w:color w:val="231F20"/>
          <w:spacing w:val="-2"/>
        </w:rPr>
        <w:t>cui</w:t>
      </w:r>
      <w:r>
        <w:rPr>
          <w:color w:val="231F20"/>
          <w:spacing w:val="-12"/>
        </w:rPr>
        <w:t> </w:t>
      </w:r>
      <w:r>
        <w:rPr>
          <w:color w:val="231F20"/>
          <w:spacing w:val="-2"/>
        </w:rPr>
        <w:t>-</w:t>
      </w:r>
      <w:r>
        <w:rPr>
          <w:color w:val="231F20"/>
          <w:spacing w:val="-12"/>
        </w:rPr>
        <w:t> </w:t>
      </w:r>
      <w:r>
        <w:rPr>
          <w:color w:val="231F20"/>
          <w:spacing w:val="-2"/>
        </w:rPr>
        <w:t>come</w:t>
      </w:r>
      <w:r>
        <w:rPr>
          <w:color w:val="231F20"/>
          <w:spacing w:val="-12"/>
        </w:rPr>
        <w:t> </w:t>
      </w:r>
      <w:r>
        <w:rPr>
          <w:color w:val="231F20"/>
          <w:spacing w:val="-2"/>
        </w:rPr>
        <w:t>nella</w:t>
      </w:r>
      <w:r>
        <w:rPr>
          <w:color w:val="231F20"/>
          <w:spacing w:val="-12"/>
        </w:rPr>
        <w:t> </w:t>
      </w:r>
      <w:r>
        <w:rPr>
          <w:color w:val="231F20"/>
          <w:spacing w:val="-2"/>
        </w:rPr>
        <w:t>fattispecie</w:t>
      </w:r>
      <w:r>
        <w:rPr>
          <w:color w:val="231F20"/>
          <w:spacing w:val="-12"/>
        </w:rPr>
        <w:t> </w:t>
      </w:r>
      <w:r>
        <w:rPr>
          <w:color w:val="231F20"/>
          <w:spacing w:val="-2"/>
        </w:rPr>
        <w:t>–</w:t>
      </w:r>
      <w:r>
        <w:rPr>
          <w:color w:val="231F20"/>
          <w:spacing w:val="-12"/>
        </w:rPr>
        <w:t> </w:t>
      </w:r>
      <w:r>
        <w:rPr>
          <w:color w:val="231F20"/>
          <w:spacing w:val="-2"/>
        </w:rPr>
        <w:t>l’amministrazione</w:t>
      </w:r>
      <w:r>
        <w:rPr>
          <w:color w:val="231F20"/>
          <w:spacing w:val="-12"/>
        </w:rPr>
        <w:t> </w:t>
      </w:r>
      <w:r>
        <w:rPr>
          <w:color w:val="231F20"/>
          <w:spacing w:val="-2"/>
        </w:rPr>
        <w:t>di</w:t>
      </w:r>
      <w:r>
        <w:rPr>
          <w:color w:val="231F20"/>
          <w:spacing w:val="-12"/>
        </w:rPr>
        <w:t> </w:t>
      </w:r>
      <w:r>
        <w:rPr>
          <w:color w:val="231F20"/>
          <w:spacing w:val="-2"/>
        </w:rPr>
        <w:t>uno </w:t>
      </w:r>
      <w:r>
        <w:rPr>
          <w:color w:val="231F20"/>
        </w:rPr>
        <w:t>Stato membro è al corrente della circostanza che l’amministrazione di un altro</w:t>
      </w:r>
      <w:r>
        <w:rPr>
          <w:color w:val="231F20"/>
          <w:spacing w:val="-15"/>
        </w:rPr>
        <w:t> </w:t>
      </w:r>
      <w:r>
        <w:rPr>
          <w:color w:val="231F20"/>
        </w:rPr>
        <w:t>Stato</w:t>
      </w:r>
      <w:r>
        <w:rPr>
          <w:color w:val="231F20"/>
          <w:spacing w:val="-15"/>
        </w:rPr>
        <w:t> </w:t>
      </w:r>
      <w:r>
        <w:rPr>
          <w:color w:val="231F20"/>
        </w:rPr>
        <w:t>membro</w:t>
      </w:r>
      <w:r>
        <w:rPr>
          <w:color w:val="231F20"/>
          <w:spacing w:val="-15"/>
        </w:rPr>
        <w:t> </w:t>
      </w:r>
      <w:r>
        <w:rPr>
          <w:color w:val="231F20"/>
        </w:rPr>
        <w:t>dispone</w:t>
      </w:r>
      <w:r>
        <w:rPr>
          <w:color w:val="231F20"/>
          <w:spacing w:val="-15"/>
        </w:rPr>
        <w:t> </w:t>
      </w:r>
      <w:r>
        <w:rPr>
          <w:color w:val="231F20"/>
        </w:rPr>
        <w:t>delle</w:t>
      </w:r>
      <w:r>
        <w:rPr>
          <w:color w:val="231F20"/>
          <w:spacing w:val="-15"/>
        </w:rPr>
        <w:t> </w:t>
      </w:r>
      <w:r>
        <w:rPr>
          <w:color w:val="231F20"/>
        </w:rPr>
        <w:t>informazioni</w:t>
      </w:r>
      <w:r>
        <w:rPr>
          <w:color w:val="231F20"/>
          <w:spacing w:val="-15"/>
        </w:rPr>
        <w:t> </w:t>
      </w:r>
      <w:r>
        <w:rPr>
          <w:color w:val="231F20"/>
        </w:rPr>
        <w:t>necessarie</w:t>
      </w:r>
      <w:r>
        <w:rPr>
          <w:color w:val="231F20"/>
          <w:spacing w:val="-15"/>
        </w:rPr>
        <w:t> </w:t>
      </w:r>
      <w:r>
        <w:rPr>
          <w:color w:val="231F20"/>
        </w:rPr>
        <w:t>per</w:t>
      </w:r>
      <w:r>
        <w:rPr>
          <w:color w:val="231F20"/>
          <w:spacing w:val="-15"/>
        </w:rPr>
        <w:t> </w:t>
      </w:r>
      <w:r>
        <w:rPr>
          <w:color w:val="231F20"/>
        </w:rPr>
        <w:t>individuare</w:t>
      </w:r>
      <w:r>
        <w:rPr>
          <w:color w:val="231F20"/>
          <w:spacing w:val="-15"/>
        </w:rPr>
        <w:t> </w:t>
      </w:r>
      <w:r>
        <w:rPr>
          <w:color w:val="231F20"/>
        </w:rPr>
        <w:t>il luogo</w:t>
      </w:r>
      <w:r>
        <w:rPr>
          <w:color w:val="231F20"/>
          <w:spacing w:val="-15"/>
        </w:rPr>
        <w:t> </w:t>
      </w:r>
      <w:r>
        <w:rPr>
          <w:color w:val="231F20"/>
        </w:rPr>
        <w:t>dell’operazione</w:t>
      </w:r>
      <w:r>
        <w:rPr>
          <w:color w:val="231F20"/>
          <w:spacing w:val="-15"/>
        </w:rPr>
        <w:t> </w:t>
      </w:r>
      <w:r>
        <w:rPr>
          <w:color w:val="231F20"/>
        </w:rPr>
        <w:t>imponibile</w:t>
      </w:r>
      <w:r>
        <w:rPr>
          <w:color w:val="231F20"/>
          <w:spacing w:val="-15"/>
        </w:rPr>
        <w:t> </w:t>
      </w:r>
      <w:r>
        <w:rPr>
          <w:color w:val="231F20"/>
        </w:rPr>
        <w:t>e</w:t>
      </w:r>
      <w:r>
        <w:rPr>
          <w:color w:val="231F20"/>
          <w:spacing w:val="-15"/>
        </w:rPr>
        <w:t> </w:t>
      </w:r>
      <w:r>
        <w:rPr>
          <w:color w:val="231F20"/>
        </w:rPr>
        <w:t>pertanto</w:t>
      </w:r>
      <w:r>
        <w:rPr>
          <w:color w:val="231F20"/>
          <w:spacing w:val="-15"/>
        </w:rPr>
        <w:t> </w:t>
      </w:r>
      <w:r>
        <w:rPr>
          <w:color w:val="231F20"/>
        </w:rPr>
        <w:t>per</w:t>
      </w:r>
      <w:r>
        <w:rPr>
          <w:color w:val="231F20"/>
          <w:spacing w:val="-15"/>
        </w:rPr>
        <w:t> </w:t>
      </w:r>
      <w:r>
        <w:rPr>
          <w:color w:val="231F20"/>
        </w:rPr>
        <w:t>stabilire</w:t>
      </w:r>
      <w:r>
        <w:rPr>
          <w:color w:val="231F20"/>
          <w:spacing w:val="-15"/>
        </w:rPr>
        <w:t> </w:t>
      </w:r>
      <w:r>
        <w:rPr>
          <w:color w:val="231F20"/>
        </w:rPr>
        <w:t>se</w:t>
      </w:r>
      <w:r>
        <w:rPr>
          <w:color w:val="231F20"/>
          <w:spacing w:val="-15"/>
        </w:rPr>
        <w:t> </w:t>
      </w:r>
      <w:r>
        <w:rPr>
          <w:color w:val="231F20"/>
        </w:rPr>
        <w:t>l’IVA</w:t>
      </w:r>
      <w:r>
        <w:rPr>
          <w:color w:val="231F20"/>
          <w:spacing w:val="-15"/>
        </w:rPr>
        <w:t> </w:t>
      </w:r>
      <w:r>
        <w:rPr>
          <w:color w:val="231F20"/>
        </w:rPr>
        <w:t>sia</w:t>
      </w:r>
      <w:r>
        <w:rPr>
          <w:color w:val="231F20"/>
          <w:spacing w:val="-15"/>
        </w:rPr>
        <w:t> </w:t>
      </w:r>
      <w:r>
        <w:rPr>
          <w:color w:val="231F20"/>
        </w:rPr>
        <w:t>dovuta nel proprio Stato membro</w:t>
      </w:r>
      <w:r>
        <w:rPr>
          <w:color w:val="231F20"/>
          <w:position w:val="8"/>
          <w:sz w:val="14"/>
        </w:rPr>
        <w:t>135</w:t>
      </w:r>
      <w:r>
        <w:rPr>
          <w:color w:val="231F20"/>
        </w:rPr>
        <w:t>.</w:t>
      </w:r>
    </w:p>
    <w:p>
      <w:pPr>
        <w:pStyle w:val="BodyText"/>
        <w:spacing w:before="160"/>
      </w:pPr>
    </w:p>
    <w:p>
      <w:pPr>
        <w:pStyle w:val="ListParagraph"/>
        <w:numPr>
          <w:ilvl w:val="1"/>
          <w:numId w:val="4"/>
        </w:numPr>
        <w:tabs>
          <w:tab w:pos="526" w:val="left" w:leader="none"/>
        </w:tabs>
        <w:spacing w:line="244" w:lineRule="auto" w:before="0" w:after="0"/>
        <w:ind w:left="100" w:right="390" w:firstLine="0"/>
        <w:jc w:val="left"/>
        <w:rPr>
          <w:b/>
          <w:sz w:val="24"/>
        </w:rPr>
      </w:pPr>
      <w:r>
        <w:rPr>
          <w:b/>
          <w:color w:val="231F20"/>
          <w:sz w:val="24"/>
        </w:rPr>
        <w:t>La sentenza del 20 giugno 2018, C-108/17, Enteco Baltic: inesistenza</w:t>
      </w:r>
      <w:r>
        <w:rPr>
          <w:b/>
          <w:color w:val="231F20"/>
          <w:spacing w:val="-6"/>
          <w:sz w:val="24"/>
        </w:rPr>
        <w:t> </w:t>
      </w:r>
      <w:r>
        <w:rPr>
          <w:b/>
          <w:color w:val="231F20"/>
          <w:sz w:val="24"/>
        </w:rPr>
        <w:t>di</w:t>
      </w:r>
      <w:r>
        <w:rPr>
          <w:b/>
          <w:color w:val="231F20"/>
          <w:spacing w:val="-6"/>
          <w:sz w:val="24"/>
        </w:rPr>
        <w:t> </w:t>
      </w:r>
      <w:r>
        <w:rPr>
          <w:b/>
          <w:color w:val="231F20"/>
          <w:sz w:val="24"/>
        </w:rPr>
        <w:t>un</w:t>
      </w:r>
      <w:r>
        <w:rPr>
          <w:b/>
          <w:color w:val="231F20"/>
          <w:spacing w:val="-6"/>
          <w:sz w:val="24"/>
        </w:rPr>
        <w:t> </w:t>
      </w:r>
      <w:r>
        <w:rPr>
          <w:b/>
          <w:color w:val="231F20"/>
          <w:sz w:val="24"/>
        </w:rPr>
        <w:t>obbligo</w:t>
      </w:r>
      <w:r>
        <w:rPr>
          <w:b/>
          <w:color w:val="231F20"/>
          <w:spacing w:val="-6"/>
          <w:sz w:val="24"/>
        </w:rPr>
        <w:t> </w:t>
      </w:r>
      <w:r>
        <w:rPr>
          <w:b/>
          <w:color w:val="231F20"/>
          <w:sz w:val="24"/>
        </w:rPr>
        <w:t>di</w:t>
      </w:r>
      <w:r>
        <w:rPr>
          <w:b/>
          <w:color w:val="231F20"/>
          <w:spacing w:val="-6"/>
          <w:sz w:val="24"/>
        </w:rPr>
        <w:t> </w:t>
      </w:r>
      <w:r>
        <w:rPr>
          <w:b/>
          <w:color w:val="231F20"/>
          <w:sz w:val="24"/>
        </w:rPr>
        <w:t>richiedere</w:t>
      </w:r>
      <w:r>
        <w:rPr>
          <w:b/>
          <w:color w:val="231F20"/>
          <w:spacing w:val="-6"/>
          <w:sz w:val="24"/>
        </w:rPr>
        <w:t> </w:t>
      </w:r>
      <w:r>
        <w:rPr>
          <w:b/>
          <w:color w:val="231F20"/>
          <w:sz w:val="24"/>
        </w:rPr>
        <w:t>informazioni</w:t>
      </w:r>
      <w:r>
        <w:rPr>
          <w:b/>
          <w:color w:val="231F20"/>
          <w:spacing w:val="-6"/>
          <w:sz w:val="24"/>
        </w:rPr>
        <w:t> </w:t>
      </w:r>
      <w:r>
        <w:rPr>
          <w:b/>
          <w:color w:val="231F20"/>
          <w:sz w:val="24"/>
        </w:rPr>
        <w:t>al</w:t>
      </w:r>
      <w:r>
        <w:rPr>
          <w:b/>
          <w:color w:val="231F20"/>
          <w:spacing w:val="-6"/>
          <w:sz w:val="24"/>
        </w:rPr>
        <w:t> </w:t>
      </w:r>
      <w:r>
        <w:rPr>
          <w:b/>
          <w:color w:val="231F20"/>
          <w:sz w:val="24"/>
        </w:rPr>
        <w:t>fine</w:t>
      </w:r>
      <w:r>
        <w:rPr>
          <w:b/>
          <w:color w:val="231F20"/>
          <w:spacing w:val="-6"/>
          <w:sz w:val="24"/>
        </w:rPr>
        <w:t> </w:t>
      </w:r>
      <w:r>
        <w:rPr>
          <w:b/>
          <w:color w:val="231F20"/>
          <w:sz w:val="24"/>
        </w:rPr>
        <w:t>di</w:t>
      </w:r>
      <w:r>
        <w:rPr>
          <w:b/>
          <w:color w:val="231F20"/>
          <w:spacing w:val="-6"/>
          <w:sz w:val="24"/>
        </w:rPr>
        <w:t> </w:t>
      </w:r>
      <w:r>
        <w:rPr>
          <w:b/>
          <w:color w:val="231F20"/>
          <w:sz w:val="24"/>
        </w:rPr>
        <w:t>accertare i presupposti di un’esenzione IVA all’importazione</w:t>
      </w:r>
    </w:p>
    <w:p>
      <w:pPr>
        <w:pStyle w:val="BodyText"/>
        <w:spacing w:line="225" w:lineRule="auto" w:before="264"/>
        <w:ind w:left="100" w:right="174" w:hanging="1"/>
        <w:jc w:val="both"/>
      </w:pPr>
      <w:r>
        <w:rPr>
          <w:color w:val="231F20"/>
        </w:rPr>
        <w:t>Anche</w:t>
      </w:r>
      <w:r>
        <w:rPr>
          <w:color w:val="231F20"/>
          <w:spacing w:val="-15"/>
        </w:rPr>
        <w:t> </w:t>
      </w:r>
      <w:r>
        <w:rPr>
          <w:color w:val="231F20"/>
        </w:rPr>
        <w:t>il</w:t>
      </w:r>
      <w:r>
        <w:rPr>
          <w:color w:val="231F20"/>
          <w:spacing w:val="-15"/>
        </w:rPr>
        <w:t> </w:t>
      </w:r>
      <w:r>
        <w:rPr>
          <w:color w:val="231F20"/>
        </w:rPr>
        <w:t>«centro</w:t>
      </w:r>
      <w:r>
        <w:rPr>
          <w:color w:val="231F20"/>
          <w:spacing w:val="-15"/>
        </w:rPr>
        <w:t> </w:t>
      </w:r>
      <w:r>
        <w:rPr>
          <w:color w:val="231F20"/>
        </w:rPr>
        <w:t>di</w:t>
      </w:r>
      <w:r>
        <w:rPr>
          <w:color w:val="231F20"/>
          <w:spacing w:val="-15"/>
        </w:rPr>
        <w:t> </w:t>
      </w:r>
      <w:r>
        <w:rPr>
          <w:color w:val="231F20"/>
        </w:rPr>
        <w:t>gravità»</w:t>
      </w:r>
      <w:r>
        <w:rPr>
          <w:color w:val="231F20"/>
          <w:spacing w:val="-15"/>
        </w:rPr>
        <w:t> </w:t>
      </w:r>
      <w:r>
        <w:rPr>
          <w:color w:val="231F20"/>
        </w:rPr>
        <w:t>della</w:t>
      </w:r>
      <w:r>
        <w:rPr>
          <w:color w:val="231F20"/>
          <w:spacing w:val="-15"/>
        </w:rPr>
        <w:t> </w:t>
      </w:r>
      <w:r>
        <w:rPr>
          <w:color w:val="231F20"/>
        </w:rPr>
        <w:t>sentenza</w:t>
      </w:r>
      <w:r>
        <w:rPr>
          <w:color w:val="231F20"/>
          <w:spacing w:val="-15"/>
        </w:rPr>
        <w:t> </w:t>
      </w:r>
      <w:r>
        <w:rPr>
          <w:i/>
          <w:color w:val="231F20"/>
        </w:rPr>
        <w:t>Enteco</w:t>
      </w:r>
      <w:r>
        <w:rPr>
          <w:i/>
          <w:color w:val="231F20"/>
          <w:spacing w:val="-15"/>
        </w:rPr>
        <w:t> </w:t>
      </w:r>
      <w:r>
        <w:rPr>
          <w:i/>
          <w:color w:val="231F20"/>
        </w:rPr>
        <w:t>Baltic</w:t>
      </w:r>
      <w:r>
        <w:rPr>
          <w:color w:val="231F20"/>
          <w:position w:val="8"/>
          <w:sz w:val="14"/>
        </w:rPr>
        <w:t>136</w:t>
      </w:r>
      <w:r>
        <w:rPr>
          <w:color w:val="231F20"/>
          <w:spacing w:val="4"/>
          <w:position w:val="8"/>
          <w:sz w:val="14"/>
        </w:rPr>
        <w:t> </w:t>
      </w:r>
      <w:r>
        <w:rPr>
          <w:color w:val="231F20"/>
        </w:rPr>
        <w:t>si</w:t>
      </w:r>
      <w:r>
        <w:rPr>
          <w:color w:val="231F20"/>
          <w:spacing w:val="-15"/>
        </w:rPr>
        <w:t> </w:t>
      </w:r>
      <w:r>
        <w:rPr>
          <w:color w:val="231F20"/>
        </w:rPr>
        <w:t>situa</w:t>
      </w:r>
      <w:r>
        <w:rPr>
          <w:color w:val="231F20"/>
          <w:spacing w:val="-15"/>
        </w:rPr>
        <w:t> </w:t>
      </w:r>
      <w:r>
        <w:rPr>
          <w:color w:val="231F20"/>
        </w:rPr>
        <w:t>nettamen- te</w:t>
      </w:r>
      <w:r>
        <w:rPr>
          <w:color w:val="231F20"/>
          <w:spacing w:val="-15"/>
        </w:rPr>
        <w:t> </w:t>
      </w:r>
      <w:r>
        <w:rPr>
          <w:color w:val="231F20"/>
        </w:rPr>
        <w:t>nell’ambito</w:t>
      </w:r>
      <w:r>
        <w:rPr>
          <w:color w:val="231F20"/>
          <w:spacing w:val="-15"/>
        </w:rPr>
        <w:t> </w:t>
      </w:r>
      <w:r>
        <w:rPr>
          <w:color w:val="231F20"/>
        </w:rPr>
        <w:t>di</w:t>
      </w:r>
      <w:r>
        <w:rPr>
          <w:color w:val="231F20"/>
          <w:spacing w:val="-15"/>
        </w:rPr>
        <w:t> </w:t>
      </w:r>
      <w:r>
        <w:rPr>
          <w:color w:val="231F20"/>
        </w:rPr>
        <w:t>applicazione</w:t>
      </w:r>
      <w:r>
        <w:rPr>
          <w:color w:val="231F20"/>
          <w:spacing w:val="-15"/>
        </w:rPr>
        <w:t> </w:t>
      </w:r>
      <w:r>
        <w:rPr>
          <w:color w:val="231F20"/>
        </w:rPr>
        <w:t>della</w:t>
      </w:r>
      <w:r>
        <w:rPr>
          <w:color w:val="231F20"/>
          <w:spacing w:val="-15"/>
        </w:rPr>
        <w:t> </w:t>
      </w:r>
      <w:r>
        <w:rPr>
          <w:color w:val="231F20"/>
        </w:rPr>
        <w:t>direttiva</w:t>
      </w:r>
      <w:r>
        <w:rPr>
          <w:color w:val="231F20"/>
          <w:spacing w:val="-15"/>
        </w:rPr>
        <w:t> </w:t>
      </w:r>
      <w:r>
        <w:rPr>
          <w:color w:val="231F20"/>
        </w:rPr>
        <w:t>(CE)</w:t>
      </w:r>
      <w:r>
        <w:rPr>
          <w:color w:val="231F20"/>
          <w:spacing w:val="-15"/>
        </w:rPr>
        <w:t> </w:t>
      </w:r>
      <w:r>
        <w:rPr>
          <w:color w:val="231F20"/>
        </w:rPr>
        <w:t>2006/112</w:t>
      </w:r>
      <w:r>
        <w:rPr>
          <w:color w:val="231F20"/>
          <w:spacing w:val="-15"/>
        </w:rPr>
        <w:t> </w:t>
      </w:r>
      <w:r>
        <w:rPr>
          <w:color w:val="231F20"/>
        </w:rPr>
        <w:t>(direttiva</w:t>
      </w:r>
      <w:r>
        <w:rPr>
          <w:color w:val="231F20"/>
          <w:spacing w:val="-15"/>
        </w:rPr>
        <w:t> </w:t>
      </w:r>
      <w:r>
        <w:rPr>
          <w:color w:val="231F20"/>
        </w:rPr>
        <w:t>IVA) della quale il tribunale amministrativo di Vilnius (Lituania) aveva chiesto alla Corte di giustizia l’interpretazione al fine di decidere una controversia riguardante un diniego dell’esenzione dall’IVA prevista dall’art. 143 della stessa direttiva, per le importazioni di merci da paesi terzi seguite da una cessione intracomunitaria di tali medesime merci ad un acquirente situato in</w:t>
      </w:r>
      <w:r>
        <w:rPr>
          <w:color w:val="231F20"/>
          <w:spacing w:val="-3"/>
        </w:rPr>
        <w:t> </w:t>
      </w:r>
      <w:r>
        <w:rPr>
          <w:color w:val="231F20"/>
        </w:rPr>
        <w:t>un</w:t>
      </w:r>
      <w:r>
        <w:rPr>
          <w:color w:val="231F20"/>
          <w:spacing w:val="-3"/>
        </w:rPr>
        <w:t> </w:t>
      </w:r>
      <w:r>
        <w:rPr>
          <w:color w:val="231F20"/>
        </w:rPr>
        <w:t>altro</w:t>
      </w:r>
      <w:r>
        <w:rPr>
          <w:color w:val="231F20"/>
          <w:spacing w:val="-3"/>
        </w:rPr>
        <w:t> </w:t>
      </w:r>
      <w:r>
        <w:rPr>
          <w:color w:val="231F20"/>
        </w:rPr>
        <w:t>Stato</w:t>
      </w:r>
      <w:r>
        <w:rPr>
          <w:color w:val="231F20"/>
          <w:spacing w:val="-3"/>
        </w:rPr>
        <w:t> </w:t>
      </w:r>
      <w:r>
        <w:rPr>
          <w:color w:val="231F20"/>
        </w:rPr>
        <w:t>membro.</w:t>
      </w:r>
      <w:r>
        <w:rPr>
          <w:color w:val="231F20"/>
          <w:spacing w:val="-3"/>
        </w:rPr>
        <w:t> </w:t>
      </w:r>
      <w:r>
        <w:rPr>
          <w:color w:val="231F20"/>
        </w:rPr>
        <w:t>Secondo</w:t>
      </w:r>
      <w:r>
        <w:rPr>
          <w:color w:val="231F20"/>
          <w:spacing w:val="-3"/>
        </w:rPr>
        <w:t> </w:t>
      </w:r>
      <w:r>
        <w:rPr>
          <w:color w:val="231F20"/>
        </w:rPr>
        <w:t>l’Ufficio</w:t>
      </w:r>
      <w:r>
        <w:rPr>
          <w:color w:val="231F20"/>
          <w:spacing w:val="-3"/>
        </w:rPr>
        <w:t> </w:t>
      </w:r>
      <w:r>
        <w:rPr>
          <w:color w:val="231F20"/>
        </w:rPr>
        <w:t>doganale</w:t>
      </w:r>
      <w:r>
        <w:rPr>
          <w:color w:val="231F20"/>
          <w:spacing w:val="-3"/>
        </w:rPr>
        <w:t> </w:t>
      </w:r>
      <w:r>
        <w:rPr>
          <w:color w:val="231F20"/>
        </w:rPr>
        <w:t>di</w:t>
      </w:r>
      <w:r>
        <w:rPr>
          <w:color w:val="231F20"/>
          <w:spacing w:val="-7"/>
        </w:rPr>
        <w:t> </w:t>
      </w:r>
      <w:r>
        <w:rPr>
          <w:color w:val="231F20"/>
        </w:rPr>
        <w:t>Vilnius</w:t>
      </w:r>
      <w:r>
        <w:rPr>
          <w:color w:val="231F20"/>
          <w:spacing w:val="-3"/>
        </w:rPr>
        <w:t> </w:t>
      </w:r>
      <w:r>
        <w:rPr>
          <w:color w:val="231F20"/>
        </w:rPr>
        <w:t>la</w:t>
      </w:r>
      <w:r>
        <w:rPr>
          <w:color w:val="231F20"/>
          <w:spacing w:val="-3"/>
        </w:rPr>
        <w:t> </w:t>
      </w:r>
      <w:r>
        <w:rPr>
          <w:color w:val="231F20"/>
        </w:rPr>
        <w:t>società </w:t>
      </w:r>
      <w:r>
        <w:rPr>
          <w:i/>
          <w:color w:val="231F20"/>
        </w:rPr>
        <w:t>Enteco Baltic </w:t>
      </w:r>
      <w:r>
        <w:rPr>
          <w:color w:val="231F20"/>
        </w:rPr>
        <w:t>non aveva dimostrato che dei combustibili erano stati effet- tivamente ceduti ai soggetti passivi con sede in altri Stati membri indicati nelle</w:t>
      </w:r>
      <w:r>
        <w:rPr>
          <w:color w:val="231F20"/>
          <w:spacing w:val="-1"/>
        </w:rPr>
        <w:t> </w:t>
      </w:r>
      <w:r>
        <w:rPr>
          <w:color w:val="231F20"/>
        </w:rPr>
        <w:t>dichiarazioni</w:t>
      </w:r>
      <w:r>
        <w:rPr>
          <w:color w:val="231F20"/>
          <w:spacing w:val="-1"/>
        </w:rPr>
        <w:t> </w:t>
      </w:r>
      <w:r>
        <w:rPr>
          <w:color w:val="231F20"/>
        </w:rPr>
        <w:t>di</w:t>
      </w:r>
      <w:r>
        <w:rPr>
          <w:color w:val="231F20"/>
          <w:spacing w:val="-1"/>
        </w:rPr>
        <w:t> </w:t>
      </w:r>
      <w:r>
        <w:rPr>
          <w:color w:val="231F20"/>
        </w:rPr>
        <w:t>importazione</w:t>
      </w:r>
      <w:r>
        <w:rPr>
          <w:color w:val="231F20"/>
          <w:spacing w:val="-1"/>
        </w:rPr>
        <w:t> </w:t>
      </w:r>
      <w:r>
        <w:rPr>
          <w:color w:val="231F20"/>
        </w:rPr>
        <w:t>e</w:t>
      </w:r>
      <w:r>
        <w:rPr>
          <w:color w:val="231F20"/>
          <w:spacing w:val="-1"/>
        </w:rPr>
        <w:t> </w:t>
      </w:r>
      <w:r>
        <w:rPr>
          <w:color w:val="231F20"/>
        </w:rPr>
        <w:t>non</w:t>
      </w:r>
      <w:r>
        <w:rPr>
          <w:color w:val="231F20"/>
          <w:spacing w:val="-1"/>
        </w:rPr>
        <w:t> </w:t>
      </w:r>
      <w:r>
        <w:rPr>
          <w:color w:val="231F20"/>
        </w:rPr>
        <w:t>aveva</w:t>
      </w:r>
      <w:r>
        <w:rPr>
          <w:color w:val="231F20"/>
          <w:spacing w:val="-1"/>
        </w:rPr>
        <w:t> </w:t>
      </w:r>
      <w:r>
        <w:rPr>
          <w:color w:val="231F20"/>
        </w:rPr>
        <w:t>dimostrato</w:t>
      </w:r>
      <w:r>
        <w:rPr>
          <w:color w:val="231F20"/>
          <w:spacing w:val="-1"/>
        </w:rPr>
        <w:t> </w:t>
      </w:r>
      <w:r>
        <w:rPr>
          <w:color w:val="231F20"/>
        </w:rPr>
        <w:t>che</w:t>
      </w:r>
      <w:r>
        <w:rPr>
          <w:color w:val="231F20"/>
          <w:spacing w:val="-1"/>
        </w:rPr>
        <w:t> </w:t>
      </w:r>
      <w:r>
        <w:rPr>
          <w:color w:val="231F20"/>
        </w:rPr>
        <w:t>detti</w:t>
      </w:r>
      <w:r>
        <w:rPr>
          <w:color w:val="231F20"/>
          <w:spacing w:val="-1"/>
        </w:rPr>
        <w:t> </w:t>
      </w:r>
      <w:r>
        <w:rPr>
          <w:color w:val="231F20"/>
        </w:rPr>
        <w:t>com- bustibili</w:t>
      </w:r>
      <w:r>
        <w:rPr>
          <w:color w:val="231F20"/>
          <w:spacing w:val="-3"/>
        </w:rPr>
        <w:t> </w:t>
      </w:r>
      <w:r>
        <w:rPr>
          <w:color w:val="231F20"/>
        </w:rPr>
        <w:t>erano</w:t>
      </w:r>
      <w:r>
        <w:rPr>
          <w:color w:val="231F20"/>
          <w:spacing w:val="-2"/>
        </w:rPr>
        <w:t> </w:t>
      </w:r>
      <w:r>
        <w:rPr>
          <w:color w:val="231F20"/>
        </w:rPr>
        <w:t>stati</w:t>
      </w:r>
      <w:r>
        <w:rPr>
          <w:color w:val="231F20"/>
          <w:spacing w:val="-2"/>
        </w:rPr>
        <w:t> </w:t>
      </w:r>
      <w:r>
        <w:rPr>
          <w:color w:val="231F20"/>
        </w:rPr>
        <w:t>trasportati</w:t>
      </w:r>
      <w:r>
        <w:rPr>
          <w:color w:val="231F20"/>
          <w:spacing w:val="-2"/>
        </w:rPr>
        <w:t> </w:t>
      </w:r>
      <w:r>
        <w:rPr>
          <w:color w:val="231F20"/>
        </w:rPr>
        <w:t>fino</w:t>
      </w:r>
      <w:r>
        <w:rPr>
          <w:color w:val="231F20"/>
          <w:spacing w:val="-2"/>
        </w:rPr>
        <w:t> </w:t>
      </w:r>
      <w:r>
        <w:rPr>
          <w:color w:val="231F20"/>
        </w:rPr>
        <w:t>a</w:t>
      </w:r>
      <w:r>
        <w:rPr>
          <w:color w:val="231F20"/>
          <w:spacing w:val="-2"/>
        </w:rPr>
        <w:t> </w:t>
      </w:r>
      <w:r>
        <w:rPr>
          <w:color w:val="231F20"/>
        </w:rPr>
        <w:t>destinazione</w:t>
      </w:r>
      <w:r>
        <w:rPr>
          <w:color w:val="231F20"/>
          <w:spacing w:val="-2"/>
        </w:rPr>
        <w:t> </w:t>
      </w:r>
      <w:r>
        <w:rPr>
          <w:color w:val="231F20"/>
        </w:rPr>
        <w:t>degli</w:t>
      </w:r>
      <w:r>
        <w:rPr>
          <w:color w:val="231F20"/>
          <w:spacing w:val="-2"/>
        </w:rPr>
        <w:t> </w:t>
      </w:r>
      <w:r>
        <w:rPr>
          <w:color w:val="231F20"/>
        </w:rPr>
        <w:t>acquirenti.</w:t>
      </w:r>
      <w:r>
        <w:rPr>
          <w:color w:val="231F20"/>
          <w:spacing w:val="-2"/>
        </w:rPr>
        <w:t> Pertan-</w:t>
      </w:r>
    </w:p>
    <w:p>
      <w:pPr>
        <w:pStyle w:val="BodyText"/>
        <w:spacing w:before="5"/>
        <w:rPr>
          <w:sz w:val="8"/>
        </w:rPr>
      </w:pPr>
      <w:r>
        <w:rPr/>
        <mc:AlternateContent>
          <mc:Choice Requires="wps">
            <w:drawing>
              <wp:anchor distT="0" distB="0" distL="0" distR="0" allowOverlap="1" layoutInCell="1" locked="0" behindDoc="1" simplePos="0" relativeHeight="487648256">
                <wp:simplePos x="0" y="0"/>
                <wp:positionH relativeFrom="page">
                  <wp:posOffset>864000</wp:posOffset>
                </wp:positionH>
                <wp:positionV relativeFrom="paragraph">
                  <wp:posOffset>83566</wp:posOffset>
                </wp:positionV>
                <wp:extent cx="792480" cy="1270"/>
                <wp:effectExtent l="0" t="0" r="0" b="0"/>
                <wp:wrapTopAndBottom/>
                <wp:docPr id="193" name="Graphic 193"/>
                <wp:cNvGraphicFramePr>
                  <a:graphicFrameLocks/>
                </wp:cNvGraphicFramePr>
                <a:graphic>
                  <a:graphicData uri="http://schemas.microsoft.com/office/word/2010/wordprocessingShape">
                    <wps:wsp>
                      <wps:cNvPr id="193" name="Graphic 193"/>
                      <wps:cNvSpPr/>
                      <wps:spPr>
                        <a:xfrm>
                          <a:off x="0" y="0"/>
                          <a:ext cx="792480" cy="1270"/>
                        </a:xfrm>
                        <a:custGeom>
                          <a:avLst/>
                          <a:gdLst/>
                          <a:ahLst/>
                          <a:cxnLst/>
                          <a:rect l="l" t="t" r="r" b="b"/>
                          <a:pathLst>
                            <a:path w="792480" h="0">
                              <a:moveTo>
                                <a:pt x="0" y="0"/>
                              </a:moveTo>
                              <a:lnTo>
                                <a:pt x="791997"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shape style="position:absolute;margin-left:68.031502pt;margin-top:6.58004pt;width:62.4pt;height:.1pt;mso-position-horizontal-relative:page;mso-position-vertical-relative:paragraph;z-index:-15668224;mso-wrap-distance-left:0;mso-wrap-distance-right:0" id="docshape160" coordorigin="1361,132" coordsize="1248,0" path="m1361,132l2608,132e" filled="false" stroked="true" strokeweight=".5pt" strokecolor="#231f20">
                <v:path arrowok="t"/>
                <v:stroke dashstyle="solid"/>
                <w10:wrap type="topAndBottom"/>
              </v:shape>
            </w:pict>
          </mc:Fallback>
        </mc:AlternateContent>
      </w:r>
    </w:p>
    <w:p>
      <w:pPr>
        <w:spacing w:line="235" w:lineRule="exact" w:before="190"/>
        <w:ind w:left="100" w:right="0" w:firstLine="0"/>
        <w:jc w:val="both"/>
        <w:rPr>
          <w:sz w:val="19"/>
        </w:rPr>
      </w:pPr>
      <w:r>
        <w:rPr>
          <w:color w:val="231F20"/>
          <w:position w:val="6"/>
          <w:sz w:val="11"/>
        </w:rPr>
        <w:t>134</w:t>
      </w:r>
      <w:r>
        <w:rPr>
          <w:color w:val="231F20"/>
          <w:spacing w:val="79"/>
          <w:position w:val="6"/>
          <w:sz w:val="11"/>
        </w:rPr>
        <w:t> </w:t>
      </w:r>
      <w:r>
        <w:rPr>
          <w:color w:val="231F20"/>
          <w:sz w:val="19"/>
        </w:rPr>
        <w:t>Corte Giust. UE,</w:t>
      </w:r>
      <w:r>
        <w:rPr>
          <w:color w:val="231F20"/>
          <w:spacing w:val="-1"/>
          <w:sz w:val="19"/>
        </w:rPr>
        <w:t> </w:t>
      </w:r>
      <w:r>
        <w:rPr>
          <w:color w:val="231F20"/>
          <w:sz w:val="19"/>
        </w:rPr>
        <w:t>C-419/14, ult. cit., punto </w:t>
      </w:r>
      <w:r>
        <w:rPr>
          <w:color w:val="231F20"/>
          <w:spacing w:val="-5"/>
          <w:sz w:val="19"/>
        </w:rPr>
        <w:t>56.</w:t>
      </w:r>
    </w:p>
    <w:p>
      <w:pPr>
        <w:spacing w:line="225" w:lineRule="auto" w:before="4"/>
        <w:ind w:left="100" w:right="174" w:firstLine="0"/>
        <w:jc w:val="both"/>
        <w:rPr>
          <w:sz w:val="19"/>
        </w:rPr>
      </w:pPr>
      <w:r>
        <w:rPr>
          <w:color w:val="231F20"/>
          <w:position w:val="6"/>
          <w:sz w:val="11"/>
        </w:rPr>
        <w:t>135</w:t>
      </w:r>
      <w:r>
        <w:rPr>
          <w:color w:val="231F20"/>
          <w:spacing w:val="65"/>
          <w:position w:val="6"/>
          <w:sz w:val="11"/>
        </w:rPr>
        <w:t> </w:t>
      </w:r>
      <w:r>
        <w:rPr>
          <w:color w:val="231F20"/>
          <w:sz w:val="19"/>
        </w:rPr>
        <w:t>Corte</w:t>
      </w:r>
      <w:r>
        <w:rPr>
          <w:color w:val="231F20"/>
          <w:spacing w:val="-8"/>
          <w:sz w:val="19"/>
        </w:rPr>
        <w:t> </w:t>
      </w:r>
      <w:r>
        <w:rPr>
          <w:color w:val="231F20"/>
          <w:sz w:val="19"/>
        </w:rPr>
        <w:t>Giust.</w:t>
      </w:r>
      <w:r>
        <w:rPr>
          <w:color w:val="231F20"/>
          <w:spacing w:val="-8"/>
          <w:sz w:val="19"/>
        </w:rPr>
        <w:t> </w:t>
      </w:r>
      <w:r>
        <w:rPr>
          <w:color w:val="231F20"/>
          <w:sz w:val="19"/>
        </w:rPr>
        <w:t>UE,</w:t>
      </w:r>
      <w:r>
        <w:rPr>
          <w:color w:val="231F20"/>
          <w:spacing w:val="-8"/>
          <w:sz w:val="19"/>
        </w:rPr>
        <w:t> </w:t>
      </w:r>
      <w:r>
        <w:rPr>
          <w:color w:val="231F20"/>
          <w:sz w:val="19"/>
        </w:rPr>
        <w:t>C-419/14,</w:t>
      </w:r>
      <w:r>
        <w:rPr>
          <w:color w:val="231F20"/>
          <w:spacing w:val="-8"/>
          <w:sz w:val="19"/>
        </w:rPr>
        <w:t> </w:t>
      </w:r>
      <w:r>
        <w:rPr>
          <w:color w:val="231F20"/>
          <w:sz w:val="19"/>
        </w:rPr>
        <w:t>ult.</w:t>
      </w:r>
      <w:r>
        <w:rPr>
          <w:color w:val="231F20"/>
          <w:spacing w:val="-8"/>
          <w:sz w:val="19"/>
        </w:rPr>
        <w:t> </w:t>
      </w:r>
      <w:r>
        <w:rPr>
          <w:color w:val="231F20"/>
          <w:sz w:val="19"/>
        </w:rPr>
        <w:t>cit.</w:t>
      </w:r>
      <w:r>
        <w:rPr>
          <w:i/>
          <w:color w:val="231F20"/>
          <w:sz w:val="19"/>
        </w:rPr>
        <w:t>,</w:t>
      </w:r>
      <w:r>
        <w:rPr>
          <w:i/>
          <w:color w:val="231F20"/>
          <w:spacing w:val="-8"/>
          <w:sz w:val="19"/>
        </w:rPr>
        <w:t> </w:t>
      </w:r>
      <w:r>
        <w:rPr>
          <w:color w:val="231F20"/>
          <w:sz w:val="19"/>
        </w:rPr>
        <w:t>punti</w:t>
      </w:r>
      <w:r>
        <w:rPr>
          <w:color w:val="231F20"/>
          <w:spacing w:val="-8"/>
          <w:sz w:val="19"/>
        </w:rPr>
        <w:t> </w:t>
      </w:r>
      <w:r>
        <w:rPr>
          <w:color w:val="231F20"/>
          <w:sz w:val="19"/>
        </w:rPr>
        <w:t>da</w:t>
      </w:r>
      <w:r>
        <w:rPr>
          <w:color w:val="231F20"/>
          <w:spacing w:val="-8"/>
          <w:sz w:val="19"/>
        </w:rPr>
        <w:t> </w:t>
      </w:r>
      <w:r>
        <w:rPr>
          <w:color w:val="231F20"/>
          <w:sz w:val="19"/>
        </w:rPr>
        <w:t>57</w:t>
      </w:r>
      <w:r>
        <w:rPr>
          <w:color w:val="231F20"/>
          <w:spacing w:val="-8"/>
          <w:sz w:val="19"/>
        </w:rPr>
        <w:t> </w:t>
      </w:r>
      <w:r>
        <w:rPr>
          <w:color w:val="231F20"/>
          <w:sz w:val="19"/>
        </w:rPr>
        <w:t>a</w:t>
      </w:r>
      <w:r>
        <w:rPr>
          <w:color w:val="231F20"/>
          <w:spacing w:val="-8"/>
          <w:sz w:val="19"/>
        </w:rPr>
        <w:t> </w:t>
      </w:r>
      <w:r>
        <w:rPr>
          <w:color w:val="231F20"/>
          <w:sz w:val="19"/>
        </w:rPr>
        <w:t>59.</w:t>
      </w:r>
      <w:r>
        <w:rPr>
          <w:color w:val="231F20"/>
          <w:spacing w:val="-12"/>
          <w:sz w:val="19"/>
        </w:rPr>
        <w:t> </w:t>
      </w:r>
      <w:r>
        <w:rPr>
          <w:color w:val="231F20"/>
          <w:sz w:val="19"/>
        </w:rPr>
        <w:t>Tale</w:t>
      </w:r>
      <w:r>
        <w:rPr>
          <w:color w:val="231F20"/>
          <w:spacing w:val="-8"/>
          <w:sz w:val="19"/>
        </w:rPr>
        <w:t> </w:t>
      </w:r>
      <w:r>
        <w:rPr>
          <w:color w:val="231F20"/>
          <w:sz w:val="19"/>
        </w:rPr>
        <w:t>principio</w:t>
      </w:r>
      <w:r>
        <w:rPr>
          <w:color w:val="231F20"/>
          <w:spacing w:val="-8"/>
          <w:sz w:val="19"/>
        </w:rPr>
        <w:t> </w:t>
      </w:r>
      <w:r>
        <w:rPr>
          <w:color w:val="231F20"/>
          <w:sz w:val="19"/>
        </w:rPr>
        <w:t>interpretativo</w:t>
      </w:r>
      <w:r>
        <w:rPr>
          <w:color w:val="231F20"/>
          <w:spacing w:val="-8"/>
          <w:sz w:val="19"/>
        </w:rPr>
        <w:t> </w:t>
      </w:r>
      <w:r>
        <w:rPr>
          <w:color w:val="231F20"/>
          <w:sz w:val="19"/>
        </w:rPr>
        <w:t>è</w:t>
      </w:r>
      <w:r>
        <w:rPr>
          <w:color w:val="231F20"/>
          <w:spacing w:val="-8"/>
          <w:sz w:val="19"/>
        </w:rPr>
        <w:t> </w:t>
      </w:r>
      <w:r>
        <w:rPr>
          <w:color w:val="231F20"/>
          <w:sz w:val="19"/>
        </w:rPr>
        <w:t>stato successivamente</w:t>
      </w:r>
      <w:r>
        <w:rPr>
          <w:color w:val="231F20"/>
          <w:spacing w:val="-12"/>
          <w:sz w:val="19"/>
        </w:rPr>
        <w:t> </w:t>
      </w:r>
      <w:r>
        <w:rPr>
          <w:color w:val="231F20"/>
          <w:sz w:val="19"/>
        </w:rPr>
        <w:t>confermato</w:t>
      </w:r>
      <w:r>
        <w:rPr>
          <w:color w:val="231F20"/>
          <w:spacing w:val="-12"/>
          <w:sz w:val="19"/>
        </w:rPr>
        <w:t> </w:t>
      </w:r>
      <w:r>
        <w:rPr>
          <w:color w:val="231F20"/>
          <w:sz w:val="19"/>
        </w:rPr>
        <w:t>da</w:t>
      </w:r>
      <w:r>
        <w:rPr>
          <w:color w:val="231F20"/>
          <w:spacing w:val="-12"/>
          <w:sz w:val="19"/>
        </w:rPr>
        <w:t> </w:t>
      </w:r>
      <w:r>
        <w:rPr>
          <w:color w:val="231F20"/>
          <w:sz w:val="19"/>
        </w:rPr>
        <w:t>Corte</w:t>
      </w:r>
      <w:r>
        <w:rPr>
          <w:color w:val="231F20"/>
          <w:spacing w:val="-12"/>
          <w:sz w:val="19"/>
        </w:rPr>
        <w:t> </w:t>
      </w:r>
      <w:r>
        <w:rPr>
          <w:color w:val="231F20"/>
          <w:sz w:val="19"/>
        </w:rPr>
        <w:t>Giust.</w:t>
      </w:r>
      <w:r>
        <w:rPr>
          <w:color w:val="231F20"/>
          <w:spacing w:val="-12"/>
          <w:sz w:val="19"/>
        </w:rPr>
        <w:t> </w:t>
      </w:r>
      <w:r>
        <w:rPr>
          <w:color w:val="231F20"/>
          <w:sz w:val="19"/>
        </w:rPr>
        <w:t>UE,</w:t>
      </w:r>
      <w:r>
        <w:rPr>
          <w:color w:val="231F20"/>
          <w:spacing w:val="-12"/>
          <w:sz w:val="19"/>
        </w:rPr>
        <w:t> </w:t>
      </w:r>
      <w:r>
        <w:rPr>
          <w:color w:val="231F20"/>
          <w:sz w:val="19"/>
        </w:rPr>
        <w:t>sent.</w:t>
      </w:r>
      <w:r>
        <w:rPr>
          <w:color w:val="231F20"/>
          <w:spacing w:val="-12"/>
          <w:sz w:val="19"/>
        </w:rPr>
        <w:t> </w:t>
      </w:r>
      <w:r>
        <w:rPr>
          <w:color w:val="231F20"/>
          <w:sz w:val="19"/>
        </w:rPr>
        <w:t>del</w:t>
      </w:r>
      <w:r>
        <w:rPr>
          <w:color w:val="231F20"/>
          <w:spacing w:val="-11"/>
          <w:sz w:val="19"/>
        </w:rPr>
        <w:t> </w:t>
      </w:r>
      <w:r>
        <w:rPr>
          <w:color w:val="231F20"/>
          <w:sz w:val="19"/>
        </w:rPr>
        <w:t>18</w:t>
      </w:r>
      <w:r>
        <w:rPr>
          <w:color w:val="231F20"/>
          <w:spacing w:val="-12"/>
          <w:sz w:val="19"/>
        </w:rPr>
        <w:t> </w:t>
      </w:r>
      <w:r>
        <w:rPr>
          <w:color w:val="231F20"/>
          <w:sz w:val="19"/>
        </w:rPr>
        <w:t>giugno</w:t>
      </w:r>
      <w:r>
        <w:rPr>
          <w:color w:val="231F20"/>
          <w:spacing w:val="-12"/>
          <w:sz w:val="19"/>
        </w:rPr>
        <w:t> </w:t>
      </w:r>
      <w:r>
        <w:rPr>
          <w:color w:val="231F20"/>
          <w:sz w:val="19"/>
        </w:rPr>
        <w:t>2020,</w:t>
      </w:r>
      <w:r>
        <w:rPr>
          <w:color w:val="231F20"/>
          <w:spacing w:val="-12"/>
          <w:sz w:val="19"/>
        </w:rPr>
        <w:t> </w:t>
      </w:r>
      <w:r>
        <w:rPr>
          <w:color w:val="231F20"/>
          <w:sz w:val="19"/>
        </w:rPr>
        <w:t>C-276/18,</w:t>
      </w:r>
      <w:r>
        <w:rPr>
          <w:color w:val="231F20"/>
          <w:spacing w:val="-12"/>
          <w:sz w:val="19"/>
        </w:rPr>
        <w:t> </w:t>
      </w:r>
      <w:r>
        <w:rPr>
          <w:i/>
          <w:color w:val="231F20"/>
          <w:sz w:val="19"/>
        </w:rPr>
        <w:t>KrakVet</w:t>
      </w:r>
      <w:r>
        <w:rPr>
          <w:i/>
          <w:color w:val="231F20"/>
          <w:sz w:val="19"/>
        </w:rPr>
        <w:t> Marek Batko c. Direzione nazionale per i ricorsi in materia tributaria</w:t>
      </w:r>
      <w:r>
        <w:rPr>
          <w:color w:val="231F20"/>
          <w:sz w:val="19"/>
        </w:rPr>
        <w:t>, punti 46 e 47 (v. </w:t>
      </w:r>
      <w:r>
        <w:rPr>
          <w:i/>
          <w:color w:val="231F20"/>
          <w:sz w:val="19"/>
        </w:rPr>
        <w:t>infra</w:t>
      </w:r>
      <w:r>
        <w:rPr>
          <w:color w:val="231F20"/>
          <w:sz w:val="19"/>
        </w:rPr>
        <w:t>).</w:t>
      </w:r>
    </w:p>
    <w:p>
      <w:pPr>
        <w:spacing w:line="225" w:lineRule="auto" w:before="3"/>
        <w:ind w:left="100" w:right="174" w:firstLine="0"/>
        <w:jc w:val="both"/>
        <w:rPr>
          <w:i/>
          <w:sz w:val="19"/>
        </w:rPr>
      </w:pPr>
      <w:r>
        <w:rPr>
          <w:color w:val="231F20"/>
          <w:position w:val="6"/>
          <w:sz w:val="11"/>
        </w:rPr>
        <w:t>136</w:t>
      </w:r>
      <w:r>
        <w:rPr>
          <w:color w:val="231F20"/>
          <w:spacing w:val="40"/>
          <w:position w:val="6"/>
          <w:sz w:val="11"/>
        </w:rPr>
        <w:t> </w:t>
      </w:r>
      <w:r>
        <w:rPr>
          <w:color w:val="231F20"/>
          <w:sz w:val="19"/>
        </w:rPr>
        <w:t>Corte Giust. UE, sent. del 20 giugno 2018, C-108/17, </w:t>
      </w:r>
      <w:r>
        <w:rPr>
          <w:i/>
          <w:color w:val="231F20"/>
          <w:sz w:val="19"/>
        </w:rPr>
        <w:t>Enteco Baltic c. Amministrazione</w:t>
      </w:r>
      <w:r>
        <w:rPr>
          <w:i/>
          <w:color w:val="231F20"/>
          <w:sz w:val="19"/>
        </w:rPr>
        <w:t> doganale della Lituania.</w:t>
      </w:r>
    </w:p>
    <w:p>
      <w:pPr>
        <w:spacing w:after="0" w:line="225" w:lineRule="auto"/>
        <w:jc w:val="both"/>
        <w:rPr>
          <w:sz w:val="19"/>
        </w:rPr>
        <w:sectPr>
          <w:pgSz w:w="9640" w:h="13610"/>
          <w:pgMar w:header="0" w:footer="625" w:top="1260" w:bottom="820" w:left="1260" w:right="1240"/>
        </w:sectPr>
      </w:pPr>
    </w:p>
    <w:p>
      <w:pPr>
        <w:pStyle w:val="BodyText"/>
        <w:spacing w:line="225" w:lineRule="auto" w:before="117"/>
        <w:ind w:left="157" w:right="117"/>
        <w:jc w:val="both"/>
      </w:pPr>
      <w:r>
        <w:rPr/>
        <mc:AlternateContent>
          <mc:Choice Requires="wps">
            <w:drawing>
              <wp:anchor distT="0" distB="0" distL="0" distR="0" allowOverlap="1" layoutInCell="1" locked="0" behindDoc="0" simplePos="0" relativeHeight="15790080">
                <wp:simplePos x="0" y="0"/>
                <wp:positionH relativeFrom="page">
                  <wp:posOffset>5608609</wp:posOffset>
                </wp:positionH>
                <wp:positionV relativeFrom="page">
                  <wp:posOffset>2376001</wp:posOffset>
                </wp:positionV>
                <wp:extent cx="511809" cy="2412365"/>
                <wp:effectExtent l="0" t="0" r="0" b="0"/>
                <wp:wrapNone/>
                <wp:docPr id="194" name="Group 194"/>
                <wp:cNvGraphicFramePr>
                  <a:graphicFrameLocks/>
                </wp:cNvGraphicFramePr>
                <a:graphic>
                  <a:graphicData uri="http://schemas.microsoft.com/office/word/2010/wordprocessingGroup">
                    <wpg:wgp>
                      <wpg:cNvPr id="194" name="Group 194"/>
                      <wpg:cNvGrpSpPr/>
                      <wpg:grpSpPr>
                        <a:xfrm>
                          <a:off x="0" y="0"/>
                          <a:ext cx="511809" cy="2412365"/>
                          <a:chExt cx="511809" cy="2412365"/>
                        </a:xfrm>
                      </wpg:grpSpPr>
                      <wps:wsp>
                        <wps:cNvPr id="195" name="Graphic 195"/>
                        <wps:cNvSpPr/>
                        <wps:spPr>
                          <a:xfrm>
                            <a:off x="7393" y="3"/>
                            <a:ext cx="504190" cy="360045"/>
                          </a:xfrm>
                          <a:custGeom>
                            <a:avLst/>
                            <a:gdLst/>
                            <a:ahLst/>
                            <a:cxnLst/>
                            <a:rect l="l" t="t" r="r" b="b"/>
                            <a:pathLst>
                              <a:path w="504190" h="360045">
                                <a:moveTo>
                                  <a:pt x="503999" y="0"/>
                                </a:moveTo>
                                <a:lnTo>
                                  <a:pt x="0" y="0"/>
                                </a:lnTo>
                                <a:lnTo>
                                  <a:pt x="0" y="359994"/>
                                </a:lnTo>
                                <a:lnTo>
                                  <a:pt x="503999" y="359994"/>
                                </a:lnTo>
                                <a:lnTo>
                                  <a:pt x="503999" y="0"/>
                                </a:lnTo>
                                <a:close/>
                              </a:path>
                            </a:pathLst>
                          </a:custGeom>
                          <a:solidFill>
                            <a:srgbClr val="939598"/>
                          </a:solidFill>
                        </wps:spPr>
                        <wps:bodyPr wrap="square" lIns="0" tIns="0" rIns="0" bIns="0" rtlCol="0">
                          <a:prstTxWarp prst="textNoShape">
                            <a:avLst/>
                          </a:prstTxWarp>
                          <a:noAutofit/>
                        </wps:bodyPr>
                      </wps:wsp>
                      <wps:wsp>
                        <wps:cNvPr id="196" name="Graphic 196"/>
                        <wps:cNvSpPr/>
                        <wps:spPr>
                          <a:xfrm>
                            <a:off x="6350" y="0"/>
                            <a:ext cx="1270" cy="2412365"/>
                          </a:xfrm>
                          <a:custGeom>
                            <a:avLst/>
                            <a:gdLst/>
                            <a:ahLst/>
                            <a:cxnLst/>
                            <a:rect l="l" t="t" r="r" b="b"/>
                            <a:pathLst>
                              <a:path w="0" h="2412365">
                                <a:moveTo>
                                  <a:pt x="0" y="0"/>
                                </a:moveTo>
                                <a:lnTo>
                                  <a:pt x="0" y="2411996"/>
                                </a:lnTo>
                              </a:path>
                            </a:pathLst>
                          </a:custGeom>
                          <a:ln w="12700">
                            <a:solidFill>
                              <a:srgbClr val="939598"/>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441.622803pt;margin-top:187.0867pt;width:40.3pt;height:189.95pt;mso-position-horizontal-relative:page;mso-position-vertical-relative:page;z-index:15790080" id="docshapegroup161" coordorigin="8832,3742" coordsize="806,3799">
                <v:rect style="position:absolute;left:8844;top:3741;width:794;height:567" id="docshape162" filled="true" fillcolor="#939598" stroked="false">
                  <v:fill type="solid"/>
                </v:rect>
                <v:line style="position:absolute" from="8842,3742" to="8842,7540" stroked="true" strokeweight="1pt" strokecolor="#939598">
                  <v:stroke dashstyle="solid"/>
                </v:line>
                <w10:wrap type="none"/>
              </v:group>
            </w:pict>
          </mc:Fallback>
        </mc:AlternateContent>
      </w:r>
      <w:r>
        <w:rPr/>
        <mc:AlternateContent>
          <mc:Choice Requires="wps">
            <w:drawing>
              <wp:anchor distT="0" distB="0" distL="0" distR="0" allowOverlap="1" layoutInCell="1" locked="0" behindDoc="0" simplePos="0" relativeHeight="15790592">
                <wp:simplePos x="0" y="0"/>
                <wp:positionH relativeFrom="page">
                  <wp:posOffset>5635147</wp:posOffset>
                </wp:positionH>
                <wp:positionV relativeFrom="page">
                  <wp:posOffset>2795300</wp:posOffset>
                </wp:positionV>
                <wp:extent cx="299720" cy="1995805"/>
                <wp:effectExtent l="0" t="0" r="0" b="0"/>
                <wp:wrapNone/>
                <wp:docPr id="197" name="Textbox 197"/>
                <wp:cNvGraphicFramePr>
                  <a:graphicFrameLocks/>
                </wp:cNvGraphicFramePr>
                <a:graphic>
                  <a:graphicData uri="http://schemas.microsoft.com/office/word/2010/wordprocessingShape">
                    <wps:wsp>
                      <wps:cNvPr id="197" name="Textbox 197"/>
                      <wps:cNvSpPr txBox="1"/>
                      <wps:spPr>
                        <a:xfrm>
                          <a:off x="0" y="0"/>
                          <a:ext cx="299720" cy="1995805"/>
                        </a:xfrm>
                        <a:prstGeom prst="rect">
                          <a:avLst/>
                        </a:prstGeom>
                      </wps:spPr>
                      <wps:txbx>
                        <w:txbxContent>
                          <w:p>
                            <w:pPr>
                              <w:spacing w:before="20"/>
                              <w:ind w:left="20" w:right="0" w:firstLine="0"/>
                              <w:jc w:val="left"/>
                              <w:rPr>
                                <w:rFonts w:ascii="Minion Pro"/>
                                <w:sz w:val="32"/>
                              </w:rPr>
                            </w:pPr>
                            <w:r>
                              <w:rPr>
                                <w:rFonts w:ascii="Minion Pro"/>
                                <w:color w:val="231F20"/>
                                <w:sz w:val="32"/>
                              </w:rPr>
                              <w:t>Commented</w:t>
                            </w:r>
                            <w:r>
                              <w:rPr>
                                <w:rFonts w:ascii="Minion Pro"/>
                                <w:color w:val="231F20"/>
                                <w:spacing w:val="-10"/>
                                <w:sz w:val="32"/>
                              </w:rPr>
                              <w:t> </w:t>
                            </w:r>
                            <w:r>
                              <w:rPr>
                                <w:rFonts w:ascii="Minion Pro"/>
                                <w:color w:val="231F20"/>
                                <w:spacing w:val="-2"/>
                                <w:sz w:val="32"/>
                              </w:rPr>
                              <w:t>documents</w:t>
                            </w:r>
                          </w:p>
                        </w:txbxContent>
                      </wps:txbx>
                      <wps:bodyPr wrap="square" lIns="0" tIns="0" rIns="0" bIns="0" rtlCol="0" vert="vert">
                        <a:noAutofit/>
                      </wps:bodyPr>
                    </wps:wsp>
                  </a:graphicData>
                </a:graphic>
              </wp:anchor>
            </w:drawing>
          </mc:Choice>
          <mc:Fallback>
            <w:pict>
              <v:shape style="position:absolute;margin-left:443.712402pt;margin-top:220.102402pt;width:23.6pt;height:157.15pt;mso-position-horizontal-relative:page;mso-position-vertical-relative:page;z-index:15790592" type="#_x0000_t202" id="docshape163" filled="false" stroked="false">
                <v:textbox inset="0,0,0,0" style="layout-flow:vertical">
                  <w:txbxContent>
                    <w:p>
                      <w:pPr>
                        <w:spacing w:before="20"/>
                        <w:ind w:left="20" w:right="0" w:firstLine="0"/>
                        <w:jc w:val="left"/>
                        <w:rPr>
                          <w:rFonts w:ascii="Minion Pro"/>
                          <w:sz w:val="32"/>
                        </w:rPr>
                      </w:pPr>
                      <w:r>
                        <w:rPr>
                          <w:rFonts w:ascii="Minion Pro"/>
                          <w:color w:val="231F20"/>
                          <w:sz w:val="32"/>
                        </w:rPr>
                        <w:t>Commented</w:t>
                      </w:r>
                      <w:r>
                        <w:rPr>
                          <w:rFonts w:ascii="Minion Pro"/>
                          <w:color w:val="231F20"/>
                          <w:spacing w:val="-10"/>
                          <w:sz w:val="32"/>
                        </w:rPr>
                        <w:t> </w:t>
                      </w:r>
                      <w:r>
                        <w:rPr>
                          <w:rFonts w:ascii="Minion Pro"/>
                          <w:color w:val="231F20"/>
                          <w:spacing w:val="-2"/>
                          <w:sz w:val="32"/>
                        </w:rPr>
                        <w:t>documents</w:t>
                      </w:r>
                    </w:p>
                  </w:txbxContent>
                </v:textbox>
                <w10:wrap type="none"/>
              </v:shape>
            </w:pict>
          </mc:Fallback>
        </mc:AlternateContent>
      </w:r>
      <w:r>
        <w:rPr>
          <w:color w:val="231F20"/>
        </w:rPr>
        <w:t>to</w:t>
      </w:r>
      <w:r>
        <w:rPr>
          <w:color w:val="231F20"/>
          <w:spacing w:val="-4"/>
        </w:rPr>
        <w:t> </w:t>
      </w:r>
      <w:r>
        <w:rPr>
          <w:color w:val="231F20"/>
        </w:rPr>
        <w:t>il</w:t>
      </w:r>
      <w:r>
        <w:rPr>
          <w:color w:val="231F20"/>
          <w:spacing w:val="-4"/>
        </w:rPr>
        <w:t> </w:t>
      </w:r>
      <w:r>
        <w:rPr>
          <w:color w:val="231F20"/>
        </w:rPr>
        <w:t>processo</w:t>
      </w:r>
      <w:r>
        <w:rPr>
          <w:color w:val="231F20"/>
          <w:spacing w:val="-4"/>
        </w:rPr>
        <w:t> </w:t>
      </w:r>
      <w:r>
        <w:rPr>
          <w:color w:val="231F20"/>
        </w:rPr>
        <w:t>instaurato</w:t>
      </w:r>
      <w:r>
        <w:rPr>
          <w:color w:val="231F20"/>
          <w:spacing w:val="-4"/>
        </w:rPr>
        <w:t> </w:t>
      </w:r>
      <w:r>
        <w:rPr>
          <w:color w:val="231F20"/>
        </w:rPr>
        <w:t>dinanzi</w:t>
      </w:r>
      <w:r>
        <w:rPr>
          <w:color w:val="231F20"/>
          <w:spacing w:val="-4"/>
        </w:rPr>
        <w:t> </w:t>
      </w:r>
      <w:r>
        <w:rPr>
          <w:color w:val="231F20"/>
        </w:rPr>
        <w:t>al</w:t>
      </w:r>
      <w:r>
        <w:rPr>
          <w:color w:val="231F20"/>
          <w:spacing w:val="-4"/>
        </w:rPr>
        <w:t> </w:t>
      </w:r>
      <w:r>
        <w:rPr>
          <w:color w:val="231F20"/>
        </w:rPr>
        <w:t>giudice</w:t>
      </w:r>
      <w:r>
        <w:rPr>
          <w:color w:val="231F20"/>
          <w:spacing w:val="-4"/>
        </w:rPr>
        <w:t> </w:t>
      </w:r>
      <w:r>
        <w:rPr>
          <w:color w:val="231F20"/>
        </w:rPr>
        <w:t>di</w:t>
      </w:r>
      <w:r>
        <w:rPr>
          <w:color w:val="231F20"/>
          <w:spacing w:val="-4"/>
        </w:rPr>
        <w:t> </w:t>
      </w:r>
      <w:r>
        <w:rPr>
          <w:color w:val="231F20"/>
        </w:rPr>
        <w:t>rinvio</w:t>
      </w:r>
      <w:r>
        <w:rPr>
          <w:color w:val="231F20"/>
          <w:spacing w:val="-4"/>
        </w:rPr>
        <w:t> </w:t>
      </w:r>
      <w:r>
        <w:rPr>
          <w:color w:val="231F20"/>
        </w:rPr>
        <w:t>verteva</w:t>
      </w:r>
      <w:r>
        <w:rPr>
          <w:color w:val="231F20"/>
          <w:spacing w:val="-4"/>
        </w:rPr>
        <w:t> </w:t>
      </w:r>
      <w:r>
        <w:rPr>
          <w:color w:val="231F20"/>
        </w:rPr>
        <w:t>essenzialmente sui mezzi di prova che la </w:t>
      </w:r>
      <w:r>
        <w:rPr>
          <w:i/>
          <w:color w:val="231F20"/>
        </w:rPr>
        <w:t>Enteco Baltic </w:t>
      </w:r>
      <w:r>
        <w:rPr>
          <w:color w:val="231F20"/>
        </w:rPr>
        <w:t>doveva produrre </w:t>
      </w:r>
      <w:r>
        <w:rPr>
          <w:color w:val="231F20"/>
        </w:rPr>
        <w:t>all’amministra- zione finanziaria lituana per dimostrare il trasferimento di proprietà agli acquirenti,</w:t>
      </w:r>
      <w:r>
        <w:rPr>
          <w:color w:val="231F20"/>
          <w:spacing w:val="-7"/>
        </w:rPr>
        <w:t> </w:t>
      </w:r>
      <w:r>
        <w:rPr>
          <w:color w:val="231F20"/>
        </w:rPr>
        <w:t>l’effettiva</w:t>
      </w:r>
      <w:r>
        <w:rPr>
          <w:color w:val="231F20"/>
          <w:spacing w:val="-7"/>
        </w:rPr>
        <w:t> </w:t>
      </w:r>
      <w:r>
        <w:rPr>
          <w:color w:val="231F20"/>
        </w:rPr>
        <w:t>spedizione</w:t>
      </w:r>
      <w:r>
        <w:rPr>
          <w:color w:val="231F20"/>
          <w:spacing w:val="-7"/>
        </w:rPr>
        <w:t> </w:t>
      </w:r>
      <w:r>
        <w:rPr>
          <w:color w:val="231F20"/>
        </w:rPr>
        <w:t>dei</w:t>
      </w:r>
      <w:r>
        <w:rPr>
          <w:color w:val="231F20"/>
          <w:spacing w:val="-7"/>
        </w:rPr>
        <w:t> </w:t>
      </w:r>
      <w:r>
        <w:rPr>
          <w:color w:val="231F20"/>
        </w:rPr>
        <w:t>combustibili</w:t>
      </w:r>
      <w:r>
        <w:rPr>
          <w:color w:val="231F20"/>
          <w:spacing w:val="-7"/>
        </w:rPr>
        <w:t> </w:t>
      </w:r>
      <w:r>
        <w:rPr>
          <w:color w:val="231F20"/>
        </w:rPr>
        <w:t>importati</w:t>
      </w:r>
      <w:r>
        <w:rPr>
          <w:color w:val="231F20"/>
          <w:spacing w:val="-7"/>
        </w:rPr>
        <w:t> </w:t>
      </w:r>
      <w:r>
        <w:rPr>
          <w:color w:val="231F20"/>
        </w:rPr>
        <w:t>verso</w:t>
      </w:r>
      <w:r>
        <w:rPr>
          <w:color w:val="231F20"/>
          <w:spacing w:val="-7"/>
        </w:rPr>
        <w:t> </w:t>
      </w:r>
      <w:r>
        <w:rPr>
          <w:color w:val="231F20"/>
        </w:rPr>
        <w:t>altri</w:t>
      </w:r>
      <w:r>
        <w:rPr>
          <w:color w:val="231F20"/>
          <w:spacing w:val="-7"/>
        </w:rPr>
        <w:t> </w:t>
      </w:r>
      <w:r>
        <w:rPr>
          <w:color w:val="231F20"/>
        </w:rPr>
        <w:t>Stati membri e di conseguenza il proprio diritto all’esenzione da IVA. Il quesi- to interpretativo avente ad oggetto il regolamento (UE) 904/2010 verteva sull’esistenza,</w:t>
      </w:r>
      <w:r>
        <w:rPr>
          <w:color w:val="231F20"/>
          <w:spacing w:val="-10"/>
        </w:rPr>
        <w:t> </w:t>
      </w:r>
      <w:r>
        <w:rPr>
          <w:color w:val="231F20"/>
        </w:rPr>
        <w:t>o</w:t>
      </w:r>
      <w:r>
        <w:rPr>
          <w:color w:val="231F20"/>
          <w:spacing w:val="-10"/>
        </w:rPr>
        <w:t> </w:t>
      </w:r>
      <w:r>
        <w:rPr>
          <w:color w:val="231F20"/>
        </w:rPr>
        <w:t>meno,</w:t>
      </w:r>
      <w:r>
        <w:rPr>
          <w:color w:val="231F20"/>
          <w:spacing w:val="-10"/>
        </w:rPr>
        <w:t> </w:t>
      </w:r>
      <w:r>
        <w:rPr>
          <w:color w:val="231F20"/>
        </w:rPr>
        <w:t>di</w:t>
      </w:r>
      <w:r>
        <w:rPr>
          <w:color w:val="231F20"/>
          <w:spacing w:val="-10"/>
        </w:rPr>
        <w:t> </w:t>
      </w:r>
      <w:r>
        <w:rPr>
          <w:color w:val="231F20"/>
        </w:rPr>
        <w:t>un</w:t>
      </w:r>
      <w:r>
        <w:rPr>
          <w:color w:val="231F20"/>
          <w:spacing w:val="-10"/>
        </w:rPr>
        <w:t> </w:t>
      </w:r>
      <w:r>
        <w:rPr>
          <w:color w:val="231F20"/>
        </w:rPr>
        <w:t>obbligo</w:t>
      </w:r>
      <w:r>
        <w:rPr>
          <w:color w:val="231F20"/>
          <w:spacing w:val="-10"/>
        </w:rPr>
        <w:t> </w:t>
      </w:r>
      <w:r>
        <w:rPr>
          <w:color w:val="231F20"/>
        </w:rPr>
        <w:t>dell’amministrazione</w:t>
      </w:r>
      <w:r>
        <w:rPr>
          <w:color w:val="231F20"/>
          <w:spacing w:val="-10"/>
        </w:rPr>
        <w:t> </w:t>
      </w:r>
      <w:r>
        <w:rPr>
          <w:color w:val="231F20"/>
        </w:rPr>
        <w:t>finanziaria</w:t>
      </w:r>
      <w:r>
        <w:rPr>
          <w:color w:val="231F20"/>
          <w:spacing w:val="-10"/>
        </w:rPr>
        <w:t> </w:t>
      </w:r>
      <w:r>
        <w:rPr>
          <w:color w:val="231F20"/>
        </w:rPr>
        <w:t>dello Stato membro di importazione di beni di richiedere informazioni all’am- ministrazione</w:t>
      </w:r>
      <w:r>
        <w:rPr>
          <w:color w:val="231F20"/>
          <w:spacing w:val="-6"/>
        </w:rPr>
        <w:t> </w:t>
      </w:r>
      <w:r>
        <w:rPr>
          <w:color w:val="231F20"/>
        </w:rPr>
        <w:t>dello</w:t>
      </w:r>
      <w:r>
        <w:rPr>
          <w:color w:val="231F20"/>
          <w:spacing w:val="-6"/>
        </w:rPr>
        <w:t> </w:t>
      </w:r>
      <w:r>
        <w:rPr>
          <w:color w:val="231F20"/>
        </w:rPr>
        <w:t>Stato</w:t>
      </w:r>
      <w:r>
        <w:rPr>
          <w:color w:val="231F20"/>
          <w:spacing w:val="-6"/>
        </w:rPr>
        <w:t> </w:t>
      </w:r>
      <w:r>
        <w:rPr>
          <w:color w:val="231F20"/>
        </w:rPr>
        <w:t>membro</w:t>
      </w:r>
      <w:r>
        <w:rPr>
          <w:color w:val="231F20"/>
          <w:spacing w:val="-6"/>
        </w:rPr>
        <w:t> </w:t>
      </w:r>
      <w:r>
        <w:rPr>
          <w:color w:val="231F20"/>
        </w:rPr>
        <w:t>di</w:t>
      </w:r>
      <w:r>
        <w:rPr>
          <w:color w:val="231F20"/>
          <w:spacing w:val="-6"/>
        </w:rPr>
        <w:t> </w:t>
      </w:r>
      <w:r>
        <w:rPr>
          <w:color w:val="231F20"/>
        </w:rPr>
        <w:t>destinazione</w:t>
      </w:r>
      <w:r>
        <w:rPr>
          <w:color w:val="231F20"/>
          <w:spacing w:val="-6"/>
        </w:rPr>
        <w:t> </w:t>
      </w:r>
      <w:r>
        <w:rPr>
          <w:color w:val="231F20"/>
        </w:rPr>
        <w:t>finale</w:t>
      </w:r>
      <w:r>
        <w:rPr>
          <w:color w:val="231F20"/>
          <w:spacing w:val="-6"/>
        </w:rPr>
        <w:t> </w:t>
      </w:r>
      <w:r>
        <w:rPr>
          <w:color w:val="231F20"/>
        </w:rPr>
        <w:t>degli</w:t>
      </w:r>
      <w:r>
        <w:rPr>
          <w:color w:val="231F20"/>
          <w:spacing w:val="-6"/>
        </w:rPr>
        <w:t> </w:t>
      </w:r>
      <w:r>
        <w:rPr>
          <w:color w:val="231F20"/>
        </w:rPr>
        <w:t>stessi</w:t>
      </w:r>
      <w:r>
        <w:rPr>
          <w:color w:val="231F20"/>
          <w:spacing w:val="-6"/>
        </w:rPr>
        <w:t> </w:t>
      </w:r>
      <w:r>
        <w:rPr>
          <w:color w:val="231F20"/>
        </w:rPr>
        <w:t>beni</w:t>
      </w:r>
      <w:r>
        <w:rPr>
          <w:color w:val="231F20"/>
          <w:spacing w:val="-6"/>
        </w:rPr>
        <w:t> </w:t>
      </w:r>
      <w:r>
        <w:rPr>
          <w:color w:val="231F20"/>
        </w:rPr>
        <w:t>al fine di accertare il diritto dell’importatore all’esenzione da IVA.</w:t>
      </w:r>
    </w:p>
    <w:p>
      <w:pPr>
        <w:pStyle w:val="BodyText"/>
        <w:spacing w:line="225" w:lineRule="auto" w:before="13"/>
        <w:ind w:left="157" w:right="117" w:firstLine="340"/>
        <w:jc w:val="both"/>
      </w:pPr>
      <w:r>
        <w:rPr>
          <w:color w:val="231F20"/>
        </w:rPr>
        <w:t>La</w:t>
      </w:r>
      <w:r>
        <w:rPr>
          <w:color w:val="231F20"/>
          <w:spacing w:val="-10"/>
        </w:rPr>
        <w:t> </w:t>
      </w:r>
      <w:r>
        <w:rPr>
          <w:color w:val="231F20"/>
        </w:rPr>
        <w:t>risposta</w:t>
      </w:r>
      <w:r>
        <w:rPr>
          <w:color w:val="231F20"/>
          <w:spacing w:val="-11"/>
        </w:rPr>
        <w:t> </w:t>
      </w:r>
      <w:r>
        <w:rPr>
          <w:color w:val="231F20"/>
        </w:rPr>
        <w:t>negativa</w:t>
      </w:r>
      <w:r>
        <w:rPr>
          <w:color w:val="231F20"/>
          <w:spacing w:val="-11"/>
        </w:rPr>
        <w:t> </w:t>
      </w:r>
      <w:r>
        <w:rPr>
          <w:color w:val="231F20"/>
        </w:rPr>
        <w:t>della</w:t>
      </w:r>
      <w:r>
        <w:rPr>
          <w:color w:val="231F20"/>
          <w:spacing w:val="-10"/>
        </w:rPr>
        <w:t> </w:t>
      </w:r>
      <w:r>
        <w:rPr>
          <w:color w:val="231F20"/>
        </w:rPr>
        <w:t>Corte</w:t>
      </w:r>
      <w:r>
        <w:rPr>
          <w:color w:val="231F20"/>
          <w:spacing w:val="-11"/>
        </w:rPr>
        <w:t> </w:t>
      </w:r>
      <w:r>
        <w:rPr>
          <w:color w:val="231F20"/>
        </w:rPr>
        <w:t>a</w:t>
      </w:r>
      <w:r>
        <w:rPr>
          <w:color w:val="231F20"/>
          <w:spacing w:val="-10"/>
        </w:rPr>
        <w:t> </w:t>
      </w:r>
      <w:r>
        <w:rPr>
          <w:color w:val="231F20"/>
        </w:rPr>
        <w:t>tale</w:t>
      </w:r>
      <w:r>
        <w:rPr>
          <w:color w:val="231F20"/>
          <w:spacing w:val="-10"/>
        </w:rPr>
        <w:t> </w:t>
      </w:r>
      <w:r>
        <w:rPr>
          <w:color w:val="231F20"/>
        </w:rPr>
        <w:t>quesito</w:t>
      </w:r>
      <w:r>
        <w:rPr>
          <w:color w:val="231F20"/>
          <w:spacing w:val="-11"/>
        </w:rPr>
        <w:t> </w:t>
      </w:r>
      <w:r>
        <w:rPr>
          <w:color w:val="231F20"/>
        </w:rPr>
        <w:t>del</w:t>
      </w:r>
      <w:r>
        <w:rPr>
          <w:color w:val="231F20"/>
          <w:spacing w:val="-10"/>
        </w:rPr>
        <w:t> </w:t>
      </w:r>
      <w:r>
        <w:rPr>
          <w:color w:val="231F20"/>
        </w:rPr>
        <w:t>tribunale</w:t>
      </w:r>
      <w:r>
        <w:rPr>
          <w:color w:val="231F20"/>
          <w:spacing w:val="-11"/>
        </w:rPr>
        <w:t> </w:t>
      </w:r>
      <w:r>
        <w:rPr>
          <w:color w:val="231F20"/>
        </w:rPr>
        <w:t>amministra- tivo della Lituania è partita da un consolidato principio giurisprudenziale in forza del quale spetta all’importatore dimostrare l’esistenza delle condi- zioni</w:t>
      </w:r>
      <w:r>
        <w:rPr>
          <w:color w:val="231F20"/>
          <w:spacing w:val="-4"/>
        </w:rPr>
        <w:t> </w:t>
      </w:r>
      <w:r>
        <w:rPr>
          <w:color w:val="231F20"/>
        </w:rPr>
        <w:t>per</w:t>
      </w:r>
      <w:r>
        <w:rPr>
          <w:color w:val="231F20"/>
          <w:spacing w:val="-4"/>
        </w:rPr>
        <w:t> </w:t>
      </w:r>
      <w:r>
        <w:rPr>
          <w:color w:val="231F20"/>
        </w:rPr>
        <w:t>poter</w:t>
      </w:r>
      <w:r>
        <w:rPr>
          <w:color w:val="231F20"/>
          <w:spacing w:val="-4"/>
        </w:rPr>
        <w:t> </w:t>
      </w:r>
      <w:r>
        <w:rPr>
          <w:color w:val="231F20"/>
        </w:rPr>
        <w:t>beneficiare</w:t>
      </w:r>
      <w:r>
        <w:rPr>
          <w:color w:val="231F20"/>
          <w:spacing w:val="-4"/>
        </w:rPr>
        <w:t> </w:t>
      </w:r>
      <w:r>
        <w:rPr>
          <w:color w:val="231F20"/>
        </w:rPr>
        <w:t>dell’esenzione</w:t>
      </w:r>
      <w:r>
        <w:rPr>
          <w:color w:val="231F20"/>
          <w:spacing w:val="-4"/>
        </w:rPr>
        <w:t> </w:t>
      </w:r>
      <w:r>
        <w:rPr>
          <w:color w:val="231F20"/>
        </w:rPr>
        <w:t>dall’IVA</w:t>
      </w:r>
      <w:r>
        <w:rPr>
          <w:color w:val="231F20"/>
          <w:spacing w:val="-4"/>
        </w:rPr>
        <w:t> </w:t>
      </w:r>
      <w:r>
        <w:rPr>
          <w:color w:val="231F20"/>
        </w:rPr>
        <w:t>all’importazione</w:t>
      </w:r>
      <w:r>
        <w:rPr>
          <w:color w:val="231F20"/>
          <w:spacing w:val="-4"/>
        </w:rPr>
        <w:t> </w:t>
      </w:r>
      <w:r>
        <w:rPr>
          <w:color w:val="231F20"/>
        </w:rPr>
        <w:t>in</w:t>
      </w:r>
      <w:r>
        <w:rPr>
          <w:color w:val="231F20"/>
          <w:spacing w:val="-4"/>
        </w:rPr>
        <w:t> </w:t>
      </w:r>
      <w:r>
        <w:rPr>
          <w:color w:val="231F20"/>
        </w:rPr>
        <w:t>caso di un’importazione di beni seguita da una cessione intracomunitaria dei beni stessi. Da tale premessa i giudici dell’Unione hanno tratto la conse- guenza che, qualora l’importatore/venditore «non sia in grado di produrre le prove necessarie a dimostrare che le condizioni dell’esenzione di una cessione intracomunitaria di beni sono soddisfatte, le autorità tributarie dello Stato membro di partenza della spedizione o del trasporto di beni non sono tenute a chiedere informazioni alle autorità dello Stato mem- bro</w:t>
      </w:r>
      <w:r>
        <w:rPr>
          <w:color w:val="231F20"/>
          <w:spacing w:val="-6"/>
        </w:rPr>
        <w:t> </w:t>
      </w:r>
      <w:r>
        <w:rPr>
          <w:color w:val="231F20"/>
        </w:rPr>
        <w:t>di</w:t>
      </w:r>
      <w:r>
        <w:rPr>
          <w:color w:val="231F20"/>
          <w:spacing w:val="-6"/>
        </w:rPr>
        <w:t> </w:t>
      </w:r>
      <w:r>
        <w:rPr>
          <w:color w:val="231F20"/>
        </w:rPr>
        <w:t>destinazione»</w:t>
      </w:r>
      <w:r>
        <w:rPr>
          <w:color w:val="231F20"/>
          <w:spacing w:val="-6"/>
        </w:rPr>
        <w:t> </w:t>
      </w:r>
      <w:r>
        <w:rPr>
          <w:color w:val="231F20"/>
        </w:rPr>
        <w:t>in</w:t>
      </w:r>
      <w:r>
        <w:rPr>
          <w:color w:val="231F20"/>
          <w:spacing w:val="-6"/>
        </w:rPr>
        <w:t> </w:t>
      </w:r>
      <w:r>
        <w:rPr>
          <w:color w:val="231F20"/>
        </w:rPr>
        <w:t>quanto</w:t>
      </w:r>
      <w:r>
        <w:rPr>
          <w:color w:val="231F20"/>
          <w:spacing w:val="-6"/>
        </w:rPr>
        <w:t> </w:t>
      </w:r>
      <w:r>
        <w:rPr>
          <w:color w:val="231F20"/>
        </w:rPr>
        <w:t>nessuna</w:t>
      </w:r>
      <w:r>
        <w:rPr>
          <w:color w:val="231F20"/>
          <w:spacing w:val="-6"/>
        </w:rPr>
        <w:t> </w:t>
      </w:r>
      <w:r>
        <w:rPr>
          <w:color w:val="231F20"/>
        </w:rPr>
        <w:t>disposizione</w:t>
      </w:r>
      <w:r>
        <w:rPr>
          <w:color w:val="231F20"/>
          <w:spacing w:val="-6"/>
        </w:rPr>
        <w:t> </w:t>
      </w:r>
      <w:r>
        <w:rPr>
          <w:color w:val="231F20"/>
        </w:rPr>
        <w:t>del</w:t>
      </w:r>
      <w:r>
        <w:rPr>
          <w:color w:val="231F20"/>
          <w:spacing w:val="-6"/>
        </w:rPr>
        <w:t> </w:t>
      </w:r>
      <w:r>
        <w:rPr>
          <w:color w:val="231F20"/>
        </w:rPr>
        <w:t>regolamento</w:t>
      </w:r>
      <w:r>
        <w:rPr>
          <w:color w:val="231F20"/>
          <w:spacing w:val="-6"/>
        </w:rPr>
        <w:t> </w:t>
      </w:r>
      <w:r>
        <w:rPr>
          <w:color w:val="231F20"/>
        </w:rPr>
        <w:t>(UE) 904/2010</w:t>
      </w:r>
      <w:r>
        <w:rPr>
          <w:color w:val="231F20"/>
          <w:spacing w:val="-10"/>
        </w:rPr>
        <w:t> </w:t>
      </w:r>
      <w:r>
        <w:rPr>
          <w:color w:val="231F20"/>
        </w:rPr>
        <w:t>prevede</w:t>
      </w:r>
      <w:r>
        <w:rPr>
          <w:color w:val="231F20"/>
          <w:spacing w:val="-10"/>
        </w:rPr>
        <w:t> </w:t>
      </w:r>
      <w:r>
        <w:rPr>
          <w:color w:val="231F20"/>
        </w:rPr>
        <w:t>un</w:t>
      </w:r>
      <w:r>
        <w:rPr>
          <w:color w:val="231F20"/>
          <w:spacing w:val="-10"/>
        </w:rPr>
        <w:t> </w:t>
      </w:r>
      <w:r>
        <w:rPr>
          <w:color w:val="231F20"/>
        </w:rPr>
        <w:t>tale</w:t>
      </w:r>
      <w:r>
        <w:rPr>
          <w:color w:val="231F20"/>
          <w:spacing w:val="-10"/>
        </w:rPr>
        <w:t> </w:t>
      </w:r>
      <w:r>
        <w:rPr>
          <w:color w:val="231F20"/>
        </w:rPr>
        <w:t>obbligo</w:t>
      </w:r>
      <w:r>
        <w:rPr>
          <w:color w:val="231F20"/>
          <w:position w:val="8"/>
          <w:sz w:val="14"/>
        </w:rPr>
        <w:t>137</w:t>
      </w:r>
      <w:r>
        <w:rPr>
          <w:color w:val="231F20"/>
        </w:rPr>
        <w:t>,</w:t>
      </w:r>
      <w:r>
        <w:rPr>
          <w:color w:val="231F20"/>
          <w:spacing w:val="-10"/>
        </w:rPr>
        <w:t> </w:t>
      </w:r>
      <w:r>
        <w:rPr>
          <w:color w:val="231F20"/>
        </w:rPr>
        <w:t>né</w:t>
      </w:r>
      <w:r>
        <w:rPr>
          <w:color w:val="231F20"/>
          <w:spacing w:val="-10"/>
        </w:rPr>
        <w:t> </w:t>
      </w:r>
      <w:r>
        <w:rPr>
          <w:color w:val="231F20"/>
        </w:rPr>
        <w:t>un</w:t>
      </w:r>
      <w:r>
        <w:rPr>
          <w:color w:val="231F20"/>
          <w:spacing w:val="-10"/>
        </w:rPr>
        <w:t> </w:t>
      </w:r>
      <w:r>
        <w:rPr>
          <w:color w:val="231F20"/>
        </w:rPr>
        <w:t>tale</w:t>
      </w:r>
      <w:r>
        <w:rPr>
          <w:color w:val="231F20"/>
          <w:spacing w:val="-10"/>
        </w:rPr>
        <w:t> </w:t>
      </w:r>
      <w:r>
        <w:rPr>
          <w:color w:val="231F20"/>
        </w:rPr>
        <w:t>obbligo</w:t>
      </w:r>
      <w:r>
        <w:rPr>
          <w:color w:val="231F20"/>
          <w:spacing w:val="-10"/>
        </w:rPr>
        <w:t> </w:t>
      </w:r>
      <w:r>
        <w:rPr>
          <w:color w:val="231F20"/>
        </w:rPr>
        <w:t>può</w:t>
      </w:r>
      <w:r>
        <w:rPr>
          <w:color w:val="231F20"/>
          <w:spacing w:val="-10"/>
        </w:rPr>
        <w:t> </w:t>
      </w:r>
      <w:r>
        <w:rPr>
          <w:color w:val="231F20"/>
        </w:rPr>
        <w:t>essere</w:t>
      </w:r>
      <w:r>
        <w:rPr>
          <w:color w:val="231F20"/>
          <w:spacing w:val="-10"/>
        </w:rPr>
        <w:t> </w:t>
      </w:r>
      <w:r>
        <w:rPr>
          <w:color w:val="231F20"/>
        </w:rPr>
        <w:t>dedotto in via interpretativa dagli artt. 1, 7 e 54 del regolamento stesso</w:t>
      </w:r>
      <w:r>
        <w:rPr>
          <w:color w:val="231F20"/>
          <w:position w:val="8"/>
          <w:sz w:val="14"/>
        </w:rPr>
        <w:t>138</w:t>
      </w:r>
      <w:r>
        <w:rPr>
          <w:color w:val="231F20"/>
        </w:rPr>
        <w:t>. Da tale constatazione</w:t>
      </w:r>
      <w:r>
        <w:rPr>
          <w:color w:val="231F20"/>
          <w:spacing w:val="-8"/>
        </w:rPr>
        <w:t> </w:t>
      </w:r>
      <w:r>
        <w:rPr>
          <w:color w:val="231F20"/>
        </w:rPr>
        <w:t>la</w:t>
      </w:r>
      <w:r>
        <w:rPr>
          <w:color w:val="231F20"/>
          <w:spacing w:val="-8"/>
        </w:rPr>
        <w:t> </w:t>
      </w:r>
      <w:r>
        <w:rPr>
          <w:color w:val="231F20"/>
        </w:rPr>
        <w:t>Corte</w:t>
      </w:r>
      <w:r>
        <w:rPr>
          <w:color w:val="231F20"/>
          <w:spacing w:val="-8"/>
        </w:rPr>
        <w:t> </w:t>
      </w:r>
      <w:r>
        <w:rPr>
          <w:color w:val="231F20"/>
        </w:rPr>
        <w:t>di</w:t>
      </w:r>
      <w:r>
        <w:rPr>
          <w:color w:val="231F20"/>
          <w:spacing w:val="-8"/>
        </w:rPr>
        <w:t> </w:t>
      </w:r>
      <w:r>
        <w:rPr>
          <w:color w:val="231F20"/>
        </w:rPr>
        <w:t>giustizia</w:t>
      </w:r>
      <w:r>
        <w:rPr>
          <w:color w:val="231F20"/>
          <w:spacing w:val="-8"/>
        </w:rPr>
        <w:t> </w:t>
      </w:r>
      <w:r>
        <w:rPr>
          <w:color w:val="231F20"/>
        </w:rPr>
        <w:t>ha</w:t>
      </w:r>
      <w:r>
        <w:rPr>
          <w:color w:val="231F20"/>
          <w:spacing w:val="-8"/>
        </w:rPr>
        <w:t> </w:t>
      </w:r>
      <w:r>
        <w:rPr>
          <w:color w:val="231F20"/>
        </w:rPr>
        <w:t>dedotto</w:t>
      </w:r>
      <w:r>
        <w:rPr>
          <w:color w:val="231F20"/>
          <w:spacing w:val="-8"/>
        </w:rPr>
        <w:t> </w:t>
      </w:r>
      <w:r>
        <w:rPr>
          <w:color w:val="231F20"/>
        </w:rPr>
        <w:t>l’ulteriore</w:t>
      </w:r>
      <w:r>
        <w:rPr>
          <w:color w:val="231F20"/>
          <w:spacing w:val="-8"/>
        </w:rPr>
        <w:t> </w:t>
      </w:r>
      <w:r>
        <w:rPr>
          <w:color w:val="231F20"/>
        </w:rPr>
        <w:t>conseguenza</w:t>
      </w:r>
      <w:r>
        <w:rPr>
          <w:color w:val="231F20"/>
          <w:spacing w:val="-8"/>
        </w:rPr>
        <w:t> </w:t>
      </w:r>
      <w:r>
        <w:rPr>
          <w:color w:val="231F20"/>
        </w:rPr>
        <w:t>che</w:t>
      </w:r>
      <w:r>
        <w:rPr>
          <w:color w:val="231F20"/>
          <w:spacing w:val="-8"/>
        </w:rPr>
        <w:t> </w:t>
      </w:r>
      <w:r>
        <w:rPr>
          <w:color w:val="231F20"/>
        </w:rPr>
        <w:t>il regolamento</w:t>
      </w:r>
      <w:r>
        <w:rPr>
          <w:color w:val="231F20"/>
          <w:spacing w:val="-4"/>
        </w:rPr>
        <w:t> </w:t>
      </w:r>
      <w:r>
        <w:rPr>
          <w:color w:val="231F20"/>
        </w:rPr>
        <w:t>(UE)</w:t>
      </w:r>
      <w:r>
        <w:rPr>
          <w:color w:val="231F20"/>
          <w:spacing w:val="-4"/>
        </w:rPr>
        <w:t> </w:t>
      </w:r>
      <w:r>
        <w:rPr>
          <w:color w:val="231F20"/>
        </w:rPr>
        <w:t>904/2010</w:t>
      </w:r>
      <w:r>
        <w:rPr>
          <w:color w:val="231F20"/>
          <w:spacing w:val="-4"/>
        </w:rPr>
        <w:t> </w:t>
      </w:r>
      <w:r>
        <w:rPr>
          <w:color w:val="231F20"/>
        </w:rPr>
        <w:t>«non</w:t>
      </w:r>
      <w:r>
        <w:rPr>
          <w:color w:val="231F20"/>
          <w:spacing w:val="-4"/>
        </w:rPr>
        <w:t> </w:t>
      </w:r>
      <w:r>
        <w:rPr>
          <w:color w:val="231F20"/>
        </w:rPr>
        <w:t>attribuisce</w:t>
      </w:r>
      <w:r>
        <w:rPr>
          <w:color w:val="231F20"/>
          <w:spacing w:val="-4"/>
        </w:rPr>
        <w:t> </w:t>
      </w:r>
      <w:r>
        <w:rPr>
          <w:color w:val="231F20"/>
        </w:rPr>
        <w:t>alcun</w:t>
      </w:r>
      <w:r>
        <w:rPr>
          <w:color w:val="231F20"/>
          <w:spacing w:val="-4"/>
        </w:rPr>
        <w:t> </w:t>
      </w:r>
      <w:r>
        <w:rPr>
          <w:color w:val="231F20"/>
        </w:rPr>
        <w:t>diritto</w:t>
      </w:r>
      <w:r>
        <w:rPr>
          <w:color w:val="231F20"/>
          <w:spacing w:val="-4"/>
        </w:rPr>
        <w:t> </w:t>
      </w:r>
      <w:r>
        <w:rPr>
          <w:color w:val="231F20"/>
        </w:rPr>
        <w:t>specifico</w:t>
      </w:r>
      <w:r>
        <w:rPr>
          <w:color w:val="231F20"/>
          <w:spacing w:val="-4"/>
        </w:rPr>
        <w:t> </w:t>
      </w:r>
      <w:r>
        <w:rPr>
          <w:color w:val="231F20"/>
        </w:rPr>
        <w:t>ad</w:t>
      </w:r>
      <w:r>
        <w:rPr>
          <w:color w:val="231F20"/>
          <w:spacing w:val="-4"/>
        </w:rPr>
        <w:t> </w:t>
      </w:r>
      <w:r>
        <w:rPr>
          <w:color w:val="231F20"/>
        </w:rPr>
        <w:t>un soggetto passivo di chiedere la trasmissione di informazioni nell’ipotesi in cui</w:t>
      </w:r>
      <w:r>
        <w:rPr>
          <w:color w:val="231F20"/>
          <w:spacing w:val="-8"/>
        </w:rPr>
        <w:t> </w:t>
      </w:r>
      <w:r>
        <w:rPr>
          <w:color w:val="231F20"/>
        </w:rPr>
        <w:t>non</w:t>
      </w:r>
      <w:r>
        <w:rPr>
          <w:color w:val="231F20"/>
          <w:spacing w:val="-8"/>
        </w:rPr>
        <w:t> </w:t>
      </w:r>
      <w:r>
        <w:rPr>
          <w:color w:val="231F20"/>
        </w:rPr>
        <w:t>fosse</w:t>
      </w:r>
      <w:r>
        <w:rPr>
          <w:color w:val="231F20"/>
          <w:spacing w:val="-8"/>
        </w:rPr>
        <w:t> </w:t>
      </w:r>
      <w:r>
        <w:rPr>
          <w:color w:val="231F20"/>
        </w:rPr>
        <w:t>in</w:t>
      </w:r>
      <w:r>
        <w:rPr>
          <w:color w:val="231F20"/>
          <w:spacing w:val="-8"/>
        </w:rPr>
        <w:t> </w:t>
      </w:r>
      <w:r>
        <w:rPr>
          <w:color w:val="231F20"/>
        </w:rPr>
        <w:t>grado</w:t>
      </w:r>
      <w:r>
        <w:rPr>
          <w:color w:val="231F20"/>
          <w:spacing w:val="-8"/>
        </w:rPr>
        <w:t> </w:t>
      </w:r>
      <w:r>
        <w:rPr>
          <w:color w:val="231F20"/>
        </w:rPr>
        <w:t>di</w:t>
      </w:r>
      <w:r>
        <w:rPr>
          <w:color w:val="231F20"/>
          <w:spacing w:val="-8"/>
        </w:rPr>
        <w:t> </w:t>
      </w:r>
      <w:r>
        <w:rPr>
          <w:color w:val="231F20"/>
        </w:rPr>
        <w:t>fornire</w:t>
      </w:r>
      <w:r>
        <w:rPr>
          <w:color w:val="231F20"/>
          <w:spacing w:val="-8"/>
        </w:rPr>
        <w:t> </w:t>
      </w:r>
      <w:r>
        <w:rPr>
          <w:color w:val="231F20"/>
        </w:rPr>
        <w:t>esso</w:t>
      </w:r>
      <w:r>
        <w:rPr>
          <w:color w:val="231F20"/>
          <w:spacing w:val="-8"/>
        </w:rPr>
        <w:t> </w:t>
      </w:r>
      <w:r>
        <w:rPr>
          <w:color w:val="231F20"/>
        </w:rPr>
        <w:t>stesso</w:t>
      </w:r>
      <w:r>
        <w:rPr>
          <w:color w:val="231F20"/>
          <w:spacing w:val="-8"/>
        </w:rPr>
        <w:t> </w:t>
      </w:r>
      <w:r>
        <w:rPr>
          <w:color w:val="231F20"/>
        </w:rPr>
        <w:t>le</w:t>
      </w:r>
      <w:r>
        <w:rPr>
          <w:color w:val="231F20"/>
          <w:spacing w:val="-8"/>
        </w:rPr>
        <w:t> </w:t>
      </w:r>
      <w:r>
        <w:rPr>
          <w:color w:val="231F20"/>
        </w:rPr>
        <w:t>prove</w:t>
      </w:r>
      <w:r>
        <w:rPr>
          <w:color w:val="231F20"/>
          <w:spacing w:val="-8"/>
        </w:rPr>
        <w:t> </w:t>
      </w:r>
      <w:r>
        <w:rPr>
          <w:color w:val="231F20"/>
        </w:rPr>
        <w:t>atte</w:t>
      </w:r>
      <w:r>
        <w:rPr>
          <w:color w:val="231F20"/>
          <w:spacing w:val="-8"/>
        </w:rPr>
        <w:t> </w:t>
      </w:r>
      <w:r>
        <w:rPr>
          <w:color w:val="231F20"/>
        </w:rPr>
        <w:t>a</w:t>
      </w:r>
      <w:r>
        <w:rPr>
          <w:color w:val="231F20"/>
          <w:spacing w:val="-8"/>
        </w:rPr>
        <w:t> </w:t>
      </w:r>
      <w:r>
        <w:rPr>
          <w:color w:val="231F20"/>
        </w:rPr>
        <w:t>giustificare</w:t>
      </w:r>
      <w:r>
        <w:rPr>
          <w:color w:val="231F20"/>
          <w:spacing w:val="-8"/>
        </w:rPr>
        <w:t> </w:t>
      </w:r>
      <w:r>
        <w:rPr>
          <w:color w:val="231F20"/>
        </w:rPr>
        <w:t>il</w:t>
      </w:r>
      <w:r>
        <w:rPr>
          <w:color w:val="231F20"/>
          <w:spacing w:val="-8"/>
        </w:rPr>
        <w:t> </w:t>
      </w:r>
      <w:r>
        <w:rPr>
          <w:color w:val="231F20"/>
        </w:rPr>
        <w:t>suo diritto all’esenzione dell’IVA»</w:t>
      </w:r>
      <w:r>
        <w:rPr>
          <w:color w:val="231F20"/>
          <w:position w:val="8"/>
          <w:sz w:val="14"/>
        </w:rPr>
        <w:t>139</w:t>
      </w:r>
      <w:r>
        <w:rPr>
          <w:color w:val="231F20"/>
        </w:rPr>
        <w:t>.</w:t>
      </w:r>
    </w:p>
    <w:p>
      <w:pPr>
        <w:pStyle w:val="BodyText"/>
        <w:spacing w:before="10"/>
        <w:rPr>
          <w:sz w:val="15"/>
        </w:rPr>
      </w:pPr>
      <w:r>
        <w:rPr/>
        <mc:AlternateContent>
          <mc:Choice Requires="wps">
            <w:drawing>
              <wp:anchor distT="0" distB="0" distL="0" distR="0" allowOverlap="1" layoutInCell="1" locked="0" behindDoc="1" simplePos="0" relativeHeight="487648768">
                <wp:simplePos x="0" y="0"/>
                <wp:positionH relativeFrom="page">
                  <wp:posOffset>899999</wp:posOffset>
                </wp:positionH>
                <wp:positionV relativeFrom="paragraph">
                  <wp:posOffset>142929</wp:posOffset>
                </wp:positionV>
                <wp:extent cx="792480" cy="1270"/>
                <wp:effectExtent l="0" t="0" r="0" b="0"/>
                <wp:wrapTopAndBottom/>
                <wp:docPr id="198" name="Graphic 198"/>
                <wp:cNvGraphicFramePr>
                  <a:graphicFrameLocks/>
                </wp:cNvGraphicFramePr>
                <a:graphic>
                  <a:graphicData uri="http://schemas.microsoft.com/office/word/2010/wordprocessingShape">
                    <wps:wsp>
                      <wps:cNvPr id="198" name="Graphic 198"/>
                      <wps:cNvSpPr/>
                      <wps:spPr>
                        <a:xfrm>
                          <a:off x="0" y="0"/>
                          <a:ext cx="792480" cy="1270"/>
                        </a:xfrm>
                        <a:custGeom>
                          <a:avLst/>
                          <a:gdLst/>
                          <a:ahLst/>
                          <a:cxnLst/>
                          <a:rect l="l" t="t" r="r" b="b"/>
                          <a:pathLst>
                            <a:path w="792480" h="0">
                              <a:moveTo>
                                <a:pt x="0" y="0"/>
                              </a:moveTo>
                              <a:lnTo>
                                <a:pt x="791997"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shape style="position:absolute;margin-left:70.866096pt;margin-top:11.25428pt;width:62.4pt;height:.1pt;mso-position-horizontal-relative:page;mso-position-vertical-relative:paragraph;z-index:-15667712;mso-wrap-distance-left:0;mso-wrap-distance-right:0" id="docshape164" coordorigin="1417,225" coordsize="1248,0" path="m1417,225l2665,225e" filled="false" stroked="true" strokeweight=".5pt" strokecolor="#231f20">
                <v:path arrowok="t"/>
                <v:stroke dashstyle="solid"/>
                <w10:wrap type="topAndBottom"/>
              </v:shape>
            </w:pict>
          </mc:Fallback>
        </mc:AlternateContent>
      </w:r>
    </w:p>
    <w:p>
      <w:pPr>
        <w:spacing w:line="235" w:lineRule="exact" w:before="190"/>
        <w:ind w:left="157" w:right="0" w:firstLine="0"/>
        <w:jc w:val="both"/>
        <w:rPr>
          <w:sz w:val="19"/>
        </w:rPr>
      </w:pPr>
      <w:r>
        <w:rPr>
          <w:color w:val="231F20"/>
          <w:position w:val="6"/>
          <w:sz w:val="11"/>
        </w:rPr>
        <w:t>137</w:t>
      </w:r>
      <w:r>
        <w:rPr>
          <w:color w:val="231F20"/>
          <w:spacing w:val="79"/>
          <w:position w:val="6"/>
          <w:sz w:val="11"/>
        </w:rPr>
        <w:t> </w:t>
      </w:r>
      <w:r>
        <w:rPr>
          <w:color w:val="231F20"/>
          <w:sz w:val="19"/>
        </w:rPr>
        <w:t>Corte Giust. UE,</w:t>
      </w:r>
      <w:r>
        <w:rPr>
          <w:color w:val="231F20"/>
          <w:spacing w:val="-1"/>
          <w:sz w:val="19"/>
        </w:rPr>
        <w:t> </w:t>
      </w:r>
      <w:r>
        <w:rPr>
          <w:color w:val="231F20"/>
          <w:sz w:val="19"/>
        </w:rPr>
        <w:t>C-108/17, ult. cit., punto </w:t>
      </w:r>
      <w:r>
        <w:rPr>
          <w:color w:val="231F20"/>
          <w:spacing w:val="-4"/>
          <w:sz w:val="19"/>
        </w:rPr>
        <w:t>103.</w:t>
      </w:r>
    </w:p>
    <w:p>
      <w:pPr>
        <w:spacing w:line="225" w:lineRule="auto" w:before="4"/>
        <w:ind w:left="157" w:right="117" w:firstLine="0"/>
        <w:jc w:val="both"/>
        <w:rPr>
          <w:sz w:val="19"/>
        </w:rPr>
      </w:pPr>
      <w:r>
        <w:rPr>
          <w:color w:val="231F20"/>
          <w:position w:val="6"/>
          <w:sz w:val="11"/>
        </w:rPr>
        <w:t>138</w:t>
      </w:r>
      <w:r>
        <w:rPr>
          <w:color w:val="231F20"/>
          <w:spacing w:val="-7"/>
          <w:position w:val="6"/>
          <w:sz w:val="11"/>
        </w:rPr>
        <w:t> </w:t>
      </w:r>
      <w:r>
        <w:rPr>
          <w:color w:val="231F20"/>
          <w:sz w:val="19"/>
        </w:rPr>
        <w:t>L’art.</w:t>
      </w:r>
      <w:r>
        <w:rPr>
          <w:color w:val="231F20"/>
          <w:spacing w:val="-12"/>
          <w:sz w:val="19"/>
        </w:rPr>
        <w:t> </w:t>
      </w:r>
      <w:r>
        <w:rPr>
          <w:color w:val="231F20"/>
          <w:sz w:val="19"/>
        </w:rPr>
        <w:t>1,</w:t>
      </w:r>
      <w:r>
        <w:rPr>
          <w:color w:val="231F20"/>
          <w:spacing w:val="-12"/>
          <w:sz w:val="19"/>
        </w:rPr>
        <w:t> </w:t>
      </w:r>
      <w:r>
        <w:rPr>
          <w:color w:val="231F20"/>
          <w:sz w:val="19"/>
        </w:rPr>
        <w:t>regolamento</w:t>
      </w:r>
      <w:r>
        <w:rPr>
          <w:color w:val="231F20"/>
          <w:spacing w:val="-12"/>
          <w:sz w:val="19"/>
        </w:rPr>
        <w:t> </w:t>
      </w:r>
      <w:r>
        <w:rPr>
          <w:color w:val="231F20"/>
          <w:sz w:val="19"/>
        </w:rPr>
        <w:t>(UE)</w:t>
      </w:r>
      <w:r>
        <w:rPr>
          <w:color w:val="231F20"/>
          <w:spacing w:val="-12"/>
          <w:sz w:val="19"/>
        </w:rPr>
        <w:t> </w:t>
      </w:r>
      <w:r>
        <w:rPr>
          <w:color w:val="231F20"/>
          <w:sz w:val="19"/>
        </w:rPr>
        <w:t>904/2010</w:t>
      </w:r>
      <w:r>
        <w:rPr>
          <w:color w:val="231F20"/>
          <w:spacing w:val="-12"/>
          <w:sz w:val="19"/>
        </w:rPr>
        <w:t> </w:t>
      </w:r>
      <w:r>
        <w:rPr>
          <w:color w:val="231F20"/>
          <w:sz w:val="19"/>
        </w:rPr>
        <w:t>enuncia</w:t>
      </w:r>
      <w:r>
        <w:rPr>
          <w:color w:val="231F20"/>
          <w:spacing w:val="-12"/>
          <w:sz w:val="19"/>
        </w:rPr>
        <w:t> </w:t>
      </w:r>
      <w:r>
        <w:rPr>
          <w:color w:val="231F20"/>
          <w:sz w:val="19"/>
        </w:rPr>
        <w:t>le</w:t>
      </w:r>
      <w:r>
        <w:rPr>
          <w:color w:val="231F20"/>
          <w:spacing w:val="-11"/>
          <w:sz w:val="19"/>
        </w:rPr>
        <w:t> </w:t>
      </w:r>
      <w:r>
        <w:rPr>
          <w:color w:val="231F20"/>
          <w:sz w:val="19"/>
        </w:rPr>
        <w:t>finalità</w:t>
      </w:r>
      <w:r>
        <w:rPr>
          <w:color w:val="231F20"/>
          <w:spacing w:val="-12"/>
          <w:sz w:val="19"/>
        </w:rPr>
        <w:t> </w:t>
      </w:r>
      <w:r>
        <w:rPr>
          <w:color w:val="231F20"/>
          <w:sz w:val="19"/>
        </w:rPr>
        <w:t>generali</w:t>
      </w:r>
      <w:r>
        <w:rPr>
          <w:color w:val="231F20"/>
          <w:spacing w:val="-12"/>
          <w:sz w:val="19"/>
        </w:rPr>
        <w:t> </w:t>
      </w:r>
      <w:r>
        <w:rPr>
          <w:color w:val="231F20"/>
          <w:sz w:val="19"/>
        </w:rPr>
        <w:t>del</w:t>
      </w:r>
      <w:r>
        <w:rPr>
          <w:color w:val="231F20"/>
          <w:spacing w:val="-12"/>
          <w:sz w:val="19"/>
        </w:rPr>
        <w:t> </w:t>
      </w:r>
      <w:r>
        <w:rPr>
          <w:color w:val="231F20"/>
          <w:sz w:val="19"/>
        </w:rPr>
        <w:t>regolamento</w:t>
      </w:r>
      <w:r>
        <w:rPr>
          <w:color w:val="231F20"/>
          <w:spacing w:val="-12"/>
          <w:sz w:val="19"/>
        </w:rPr>
        <w:t> </w:t>
      </w:r>
      <w:r>
        <w:rPr>
          <w:color w:val="231F20"/>
          <w:sz w:val="19"/>
        </w:rPr>
        <w:t>medesimo, l’art. 7 disciplina la procedura di richiesta di informazioni da un’amministrazione finanziaria di</w:t>
      </w:r>
      <w:r>
        <w:rPr>
          <w:color w:val="231F20"/>
          <w:spacing w:val="16"/>
          <w:sz w:val="19"/>
        </w:rPr>
        <w:t> </w:t>
      </w:r>
      <w:r>
        <w:rPr>
          <w:color w:val="231F20"/>
          <w:sz w:val="19"/>
        </w:rPr>
        <w:t>uno</w:t>
      </w:r>
      <w:r>
        <w:rPr>
          <w:color w:val="231F20"/>
          <w:spacing w:val="16"/>
          <w:sz w:val="19"/>
        </w:rPr>
        <w:t> </w:t>
      </w:r>
      <w:r>
        <w:rPr>
          <w:color w:val="231F20"/>
          <w:sz w:val="19"/>
        </w:rPr>
        <w:t>Stato</w:t>
      </w:r>
      <w:r>
        <w:rPr>
          <w:color w:val="231F20"/>
          <w:spacing w:val="16"/>
          <w:sz w:val="19"/>
        </w:rPr>
        <w:t> </w:t>
      </w:r>
      <w:r>
        <w:rPr>
          <w:color w:val="231F20"/>
          <w:sz w:val="19"/>
        </w:rPr>
        <w:t>membro</w:t>
      </w:r>
      <w:r>
        <w:rPr>
          <w:color w:val="231F20"/>
          <w:spacing w:val="16"/>
          <w:sz w:val="19"/>
        </w:rPr>
        <w:t> </w:t>
      </w:r>
      <w:r>
        <w:rPr>
          <w:color w:val="231F20"/>
          <w:sz w:val="19"/>
        </w:rPr>
        <w:t>all’amministrazione</w:t>
      </w:r>
      <w:r>
        <w:rPr>
          <w:color w:val="231F20"/>
          <w:spacing w:val="16"/>
          <w:sz w:val="19"/>
        </w:rPr>
        <w:t> </w:t>
      </w:r>
      <w:r>
        <w:rPr>
          <w:color w:val="231F20"/>
          <w:sz w:val="19"/>
        </w:rPr>
        <w:t>di</w:t>
      </w:r>
      <w:r>
        <w:rPr>
          <w:color w:val="231F20"/>
          <w:spacing w:val="16"/>
          <w:sz w:val="19"/>
        </w:rPr>
        <w:t> </w:t>
      </w:r>
      <w:r>
        <w:rPr>
          <w:color w:val="231F20"/>
          <w:sz w:val="19"/>
        </w:rPr>
        <w:t>un</w:t>
      </w:r>
      <w:r>
        <w:rPr>
          <w:color w:val="231F20"/>
          <w:spacing w:val="16"/>
          <w:sz w:val="19"/>
        </w:rPr>
        <w:t> </w:t>
      </w:r>
      <w:r>
        <w:rPr>
          <w:color w:val="231F20"/>
          <w:sz w:val="19"/>
        </w:rPr>
        <w:t>altro</w:t>
      </w:r>
      <w:r>
        <w:rPr>
          <w:color w:val="231F20"/>
          <w:spacing w:val="16"/>
          <w:sz w:val="19"/>
        </w:rPr>
        <w:t> </w:t>
      </w:r>
      <w:r>
        <w:rPr>
          <w:color w:val="231F20"/>
          <w:sz w:val="19"/>
        </w:rPr>
        <w:t>Stato</w:t>
      </w:r>
      <w:r>
        <w:rPr>
          <w:color w:val="231F20"/>
          <w:spacing w:val="16"/>
          <w:sz w:val="19"/>
        </w:rPr>
        <w:t> </w:t>
      </w:r>
      <w:r>
        <w:rPr>
          <w:color w:val="231F20"/>
          <w:sz w:val="19"/>
        </w:rPr>
        <w:t>membro</w:t>
      </w:r>
      <w:r>
        <w:rPr>
          <w:color w:val="231F20"/>
          <w:spacing w:val="16"/>
          <w:sz w:val="19"/>
        </w:rPr>
        <w:t> </w:t>
      </w:r>
      <w:r>
        <w:rPr>
          <w:color w:val="231F20"/>
          <w:sz w:val="19"/>
        </w:rPr>
        <w:t>e</w:t>
      </w:r>
      <w:r>
        <w:rPr>
          <w:color w:val="231F20"/>
          <w:spacing w:val="16"/>
          <w:sz w:val="19"/>
        </w:rPr>
        <w:t> </w:t>
      </w:r>
      <w:r>
        <w:rPr>
          <w:color w:val="231F20"/>
          <w:sz w:val="19"/>
        </w:rPr>
        <w:t>l’art.</w:t>
      </w:r>
      <w:r>
        <w:rPr>
          <w:color w:val="231F20"/>
          <w:spacing w:val="16"/>
          <w:sz w:val="19"/>
        </w:rPr>
        <w:t> </w:t>
      </w:r>
      <w:r>
        <w:rPr>
          <w:color w:val="231F20"/>
          <w:sz w:val="19"/>
        </w:rPr>
        <w:t>54,</w:t>
      </w:r>
      <w:r>
        <w:rPr>
          <w:color w:val="231F20"/>
          <w:spacing w:val="16"/>
          <w:sz w:val="19"/>
        </w:rPr>
        <w:t> </w:t>
      </w:r>
      <w:r>
        <w:rPr>
          <w:color w:val="231F20"/>
          <w:sz w:val="19"/>
        </w:rPr>
        <w:t>cui</w:t>
      </w:r>
      <w:r>
        <w:rPr>
          <w:color w:val="231F20"/>
          <w:spacing w:val="16"/>
          <w:sz w:val="19"/>
        </w:rPr>
        <w:t> </w:t>
      </w:r>
      <w:r>
        <w:rPr>
          <w:color w:val="231F20"/>
          <w:sz w:val="19"/>
        </w:rPr>
        <w:t>l’art.</w:t>
      </w:r>
      <w:r>
        <w:rPr>
          <w:color w:val="231F20"/>
          <w:spacing w:val="16"/>
          <w:sz w:val="19"/>
        </w:rPr>
        <w:t> </w:t>
      </w:r>
      <w:r>
        <w:rPr>
          <w:color w:val="231F20"/>
          <w:sz w:val="19"/>
        </w:rPr>
        <w:t>7 fa espresso rinvio, regola i casi tassativi in cui l’autorità interpellata può rifiutare di fornire le informazioni richieste dall’autorità richiedente.</w:t>
      </w:r>
    </w:p>
    <w:p>
      <w:pPr>
        <w:spacing w:line="225" w:lineRule="auto" w:before="5"/>
        <w:ind w:left="157" w:right="118" w:firstLine="0"/>
        <w:jc w:val="both"/>
        <w:rPr>
          <w:sz w:val="19"/>
        </w:rPr>
      </w:pPr>
      <w:r>
        <w:rPr>
          <w:color w:val="231F20"/>
          <w:position w:val="6"/>
          <w:sz w:val="11"/>
        </w:rPr>
        <w:t>139</w:t>
      </w:r>
      <w:r>
        <w:rPr>
          <w:color w:val="231F20"/>
          <w:spacing w:val="79"/>
          <w:position w:val="6"/>
          <w:sz w:val="11"/>
        </w:rPr>
        <w:t> </w:t>
      </w:r>
      <w:r>
        <w:rPr>
          <w:color w:val="231F20"/>
          <w:sz w:val="19"/>
        </w:rPr>
        <w:t>Corte Giust. UE, sent. del 20 giugno 2018, C-108/17, cit</w:t>
      </w:r>
      <w:r>
        <w:rPr>
          <w:i/>
          <w:color w:val="231F20"/>
          <w:sz w:val="19"/>
        </w:rPr>
        <w:t>.</w:t>
      </w:r>
      <w:r>
        <w:rPr>
          <w:color w:val="231F20"/>
          <w:sz w:val="19"/>
        </w:rPr>
        <w:t>, punto 105, ultima frase.</w:t>
      </w:r>
      <w:r>
        <w:rPr>
          <w:color w:val="231F20"/>
          <w:spacing w:val="-7"/>
          <w:sz w:val="19"/>
        </w:rPr>
        <w:t> </w:t>
      </w:r>
      <w:r>
        <w:rPr>
          <w:color w:val="231F20"/>
          <w:sz w:val="19"/>
        </w:rPr>
        <w:t>Tale principio interpretativo è stato poi ripreso ed ampliato nella successiva sentenza Corte Giust. UE,</w:t>
      </w:r>
      <w:r>
        <w:rPr>
          <w:color w:val="231F20"/>
          <w:spacing w:val="-12"/>
          <w:sz w:val="19"/>
        </w:rPr>
        <w:t> </w:t>
      </w:r>
      <w:r>
        <w:rPr>
          <w:color w:val="231F20"/>
          <w:sz w:val="19"/>
        </w:rPr>
        <w:t>sent.</w:t>
      </w:r>
      <w:r>
        <w:rPr>
          <w:color w:val="231F20"/>
          <w:spacing w:val="-12"/>
          <w:sz w:val="19"/>
        </w:rPr>
        <w:t> </w:t>
      </w:r>
      <w:r>
        <w:rPr>
          <w:color w:val="231F20"/>
          <w:sz w:val="19"/>
        </w:rPr>
        <w:t>del</w:t>
      </w:r>
      <w:r>
        <w:rPr>
          <w:color w:val="231F20"/>
          <w:spacing w:val="-12"/>
          <w:sz w:val="19"/>
        </w:rPr>
        <w:t> </w:t>
      </w:r>
      <w:r>
        <w:rPr>
          <w:color w:val="231F20"/>
          <w:sz w:val="19"/>
        </w:rPr>
        <w:t>30</w:t>
      </w:r>
      <w:r>
        <w:rPr>
          <w:color w:val="231F20"/>
          <w:spacing w:val="-12"/>
          <w:sz w:val="19"/>
        </w:rPr>
        <w:t> </w:t>
      </w:r>
      <w:r>
        <w:rPr>
          <w:color w:val="231F20"/>
          <w:sz w:val="19"/>
        </w:rPr>
        <w:t>settembre</w:t>
      </w:r>
      <w:r>
        <w:rPr>
          <w:color w:val="231F20"/>
          <w:spacing w:val="-12"/>
          <w:sz w:val="19"/>
        </w:rPr>
        <w:t> </w:t>
      </w:r>
      <w:r>
        <w:rPr>
          <w:color w:val="231F20"/>
          <w:sz w:val="19"/>
        </w:rPr>
        <w:t>2021,</w:t>
      </w:r>
      <w:r>
        <w:rPr>
          <w:color w:val="231F20"/>
          <w:spacing w:val="-12"/>
          <w:sz w:val="19"/>
        </w:rPr>
        <w:t> </w:t>
      </w:r>
      <w:r>
        <w:rPr>
          <w:color w:val="231F20"/>
          <w:sz w:val="19"/>
        </w:rPr>
        <w:t>C-186/20,</w:t>
      </w:r>
      <w:r>
        <w:rPr>
          <w:color w:val="231F20"/>
          <w:spacing w:val="-12"/>
          <w:sz w:val="19"/>
        </w:rPr>
        <w:t> </w:t>
      </w:r>
      <w:r>
        <w:rPr>
          <w:i/>
          <w:color w:val="231F20"/>
          <w:sz w:val="19"/>
        </w:rPr>
        <w:t>Hydina</w:t>
      </w:r>
      <w:r>
        <w:rPr>
          <w:i/>
          <w:color w:val="231F20"/>
          <w:spacing w:val="-11"/>
          <w:sz w:val="19"/>
        </w:rPr>
        <w:t> </w:t>
      </w:r>
      <w:r>
        <w:rPr>
          <w:i/>
          <w:color w:val="231F20"/>
          <w:sz w:val="19"/>
        </w:rPr>
        <w:t>Sk</w:t>
      </w:r>
      <w:r>
        <w:rPr>
          <w:i/>
          <w:color w:val="231F20"/>
          <w:spacing w:val="-12"/>
          <w:sz w:val="19"/>
        </w:rPr>
        <w:t> </w:t>
      </w:r>
      <w:r>
        <w:rPr>
          <w:i/>
          <w:color w:val="231F20"/>
          <w:sz w:val="19"/>
        </w:rPr>
        <w:t>c.</w:t>
      </w:r>
      <w:r>
        <w:rPr>
          <w:i/>
          <w:color w:val="231F20"/>
          <w:spacing w:val="-12"/>
          <w:sz w:val="19"/>
        </w:rPr>
        <w:t> </w:t>
      </w:r>
      <w:r>
        <w:rPr>
          <w:i/>
          <w:color w:val="231F20"/>
          <w:sz w:val="19"/>
        </w:rPr>
        <w:t>Direzione</w:t>
      </w:r>
      <w:r>
        <w:rPr>
          <w:i/>
          <w:color w:val="231F20"/>
          <w:spacing w:val="-12"/>
          <w:sz w:val="19"/>
        </w:rPr>
        <w:t> </w:t>
      </w:r>
      <w:r>
        <w:rPr>
          <w:i/>
          <w:color w:val="231F20"/>
          <w:sz w:val="19"/>
        </w:rPr>
        <w:t>finanziaria</w:t>
      </w:r>
      <w:r>
        <w:rPr>
          <w:i/>
          <w:color w:val="231F20"/>
          <w:spacing w:val="-12"/>
          <w:sz w:val="19"/>
        </w:rPr>
        <w:t> </w:t>
      </w:r>
      <w:r>
        <w:rPr>
          <w:i/>
          <w:color w:val="231F20"/>
          <w:sz w:val="19"/>
        </w:rPr>
        <w:t>della</w:t>
      </w:r>
      <w:r>
        <w:rPr>
          <w:i/>
          <w:color w:val="231F20"/>
          <w:spacing w:val="-12"/>
          <w:sz w:val="19"/>
        </w:rPr>
        <w:t> </w:t>
      </w:r>
      <w:r>
        <w:rPr>
          <w:i/>
          <w:color w:val="231F20"/>
          <w:sz w:val="19"/>
        </w:rPr>
        <w:t>Repubblica</w:t>
      </w:r>
      <w:r>
        <w:rPr>
          <w:i/>
          <w:color w:val="231F20"/>
          <w:sz w:val="19"/>
        </w:rPr>
        <w:t> slovacca</w:t>
      </w:r>
      <w:r>
        <w:rPr>
          <w:color w:val="231F20"/>
          <w:sz w:val="19"/>
        </w:rPr>
        <w:t>, punto 42 (v. </w:t>
      </w:r>
      <w:r>
        <w:rPr>
          <w:i/>
          <w:color w:val="231F20"/>
          <w:sz w:val="19"/>
        </w:rPr>
        <w:t>infra</w:t>
      </w:r>
      <w:r>
        <w:rPr>
          <w:color w:val="231F20"/>
          <w:sz w:val="19"/>
        </w:rPr>
        <w:t>).</w:t>
      </w:r>
    </w:p>
    <w:p>
      <w:pPr>
        <w:spacing w:after="0" w:line="225" w:lineRule="auto"/>
        <w:jc w:val="both"/>
        <w:rPr>
          <w:sz w:val="19"/>
        </w:rPr>
        <w:sectPr>
          <w:pgSz w:w="9640" w:h="13610"/>
          <w:pgMar w:header="0" w:footer="625" w:top="1260" w:bottom="820" w:left="1260" w:right="1240"/>
        </w:sectPr>
      </w:pPr>
    </w:p>
    <w:p>
      <w:pPr>
        <w:pStyle w:val="ListParagraph"/>
        <w:numPr>
          <w:ilvl w:val="1"/>
          <w:numId w:val="4"/>
        </w:numPr>
        <w:tabs>
          <w:tab w:pos="526" w:val="left" w:leader="none"/>
        </w:tabs>
        <w:spacing w:line="240" w:lineRule="auto" w:before="110" w:after="0"/>
        <w:ind w:left="526" w:right="0" w:hanging="426"/>
        <w:jc w:val="left"/>
        <w:rPr>
          <w:b/>
          <w:sz w:val="24"/>
        </w:rPr>
      </w:pPr>
      <w:r>
        <w:rPr>
          <w:b/>
          <w:color w:val="231F20"/>
          <w:sz w:val="24"/>
        </w:rPr>
        <w:t>La</w:t>
      </w:r>
      <w:r>
        <w:rPr>
          <w:b/>
          <w:color w:val="231F20"/>
          <w:spacing w:val="-4"/>
          <w:sz w:val="24"/>
        </w:rPr>
        <w:t> </w:t>
      </w:r>
      <w:r>
        <w:rPr>
          <w:b/>
          <w:color w:val="231F20"/>
          <w:sz w:val="24"/>
        </w:rPr>
        <w:t>sentenza</w:t>
      </w:r>
      <w:r>
        <w:rPr>
          <w:b/>
          <w:color w:val="231F20"/>
          <w:spacing w:val="-3"/>
          <w:sz w:val="24"/>
        </w:rPr>
        <w:t> </w:t>
      </w:r>
      <w:r>
        <w:rPr>
          <w:b/>
          <w:color w:val="231F20"/>
          <w:sz w:val="24"/>
        </w:rPr>
        <w:t>del</w:t>
      </w:r>
      <w:r>
        <w:rPr>
          <w:b/>
          <w:color w:val="231F20"/>
          <w:spacing w:val="-4"/>
          <w:sz w:val="24"/>
        </w:rPr>
        <w:t> </w:t>
      </w:r>
      <w:r>
        <w:rPr>
          <w:b/>
          <w:color w:val="231F20"/>
          <w:sz w:val="24"/>
        </w:rPr>
        <w:t>18</w:t>
      </w:r>
      <w:r>
        <w:rPr>
          <w:b/>
          <w:color w:val="231F20"/>
          <w:spacing w:val="-3"/>
          <w:sz w:val="24"/>
        </w:rPr>
        <w:t> </w:t>
      </w:r>
      <w:r>
        <w:rPr>
          <w:b/>
          <w:color w:val="231F20"/>
          <w:sz w:val="24"/>
        </w:rPr>
        <w:t>giugno</w:t>
      </w:r>
      <w:r>
        <w:rPr>
          <w:b/>
          <w:color w:val="231F20"/>
          <w:spacing w:val="-4"/>
          <w:sz w:val="24"/>
        </w:rPr>
        <w:t> </w:t>
      </w:r>
      <w:r>
        <w:rPr>
          <w:b/>
          <w:color w:val="231F20"/>
          <w:sz w:val="24"/>
        </w:rPr>
        <w:t>2020,</w:t>
      </w:r>
      <w:r>
        <w:rPr>
          <w:b/>
          <w:color w:val="231F20"/>
          <w:spacing w:val="-3"/>
          <w:sz w:val="24"/>
        </w:rPr>
        <w:t> </w:t>
      </w:r>
      <w:r>
        <w:rPr>
          <w:b/>
          <w:color w:val="231F20"/>
          <w:sz w:val="24"/>
        </w:rPr>
        <w:t>C-276/18,</w:t>
      </w:r>
      <w:r>
        <w:rPr>
          <w:b/>
          <w:color w:val="231F20"/>
          <w:spacing w:val="-4"/>
          <w:sz w:val="24"/>
        </w:rPr>
        <w:t> </w:t>
      </w:r>
      <w:r>
        <w:rPr>
          <w:b/>
          <w:color w:val="231F20"/>
          <w:sz w:val="24"/>
        </w:rPr>
        <w:t>KrakVet</w:t>
      </w:r>
      <w:r>
        <w:rPr>
          <w:b/>
          <w:color w:val="231F20"/>
          <w:spacing w:val="-3"/>
          <w:sz w:val="24"/>
        </w:rPr>
        <w:t> </w:t>
      </w:r>
      <w:r>
        <w:rPr>
          <w:b/>
          <w:color w:val="231F20"/>
          <w:sz w:val="24"/>
        </w:rPr>
        <w:t>Marek</w:t>
      </w:r>
      <w:r>
        <w:rPr>
          <w:b/>
          <w:color w:val="231F20"/>
          <w:spacing w:val="-3"/>
          <w:sz w:val="24"/>
        </w:rPr>
        <w:t> </w:t>
      </w:r>
      <w:r>
        <w:rPr>
          <w:b/>
          <w:color w:val="231F20"/>
          <w:spacing w:val="-2"/>
          <w:sz w:val="24"/>
        </w:rPr>
        <w:t>Batko</w:t>
      </w:r>
    </w:p>
    <w:p>
      <w:pPr>
        <w:pStyle w:val="BodyText"/>
        <w:spacing w:line="225" w:lineRule="auto" w:before="268"/>
        <w:ind w:left="100" w:right="174"/>
        <w:jc w:val="both"/>
      </w:pPr>
      <w:r>
        <w:rPr>
          <w:color w:val="231F20"/>
          <w:spacing w:val="-2"/>
        </w:rPr>
        <w:t>A</w:t>
      </w:r>
      <w:r>
        <w:rPr>
          <w:color w:val="231F20"/>
          <w:spacing w:val="-8"/>
        </w:rPr>
        <w:t> </w:t>
      </w:r>
      <w:r>
        <w:rPr>
          <w:color w:val="231F20"/>
          <w:spacing w:val="-2"/>
        </w:rPr>
        <w:t>soli</w:t>
      </w:r>
      <w:r>
        <w:rPr>
          <w:color w:val="231F20"/>
          <w:spacing w:val="-8"/>
        </w:rPr>
        <w:t> </w:t>
      </w:r>
      <w:r>
        <w:rPr>
          <w:color w:val="231F20"/>
          <w:spacing w:val="-2"/>
        </w:rPr>
        <w:t>quattro</w:t>
      </w:r>
      <w:r>
        <w:rPr>
          <w:color w:val="231F20"/>
          <w:spacing w:val="-8"/>
        </w:rPr>
        <w:t> </w:t>
      </w:r>
      <w:r>
        <w:rPr>
          <w:color w:val="231F20"/>
          <w:spacing w:val="-2"/>
        </w:rPr>
        <w:t>anni</w:t>
      </w:r>
      <w:r>
        <w:rPr>
          <w:color w:val="231F20"/>
          <w:spacing w:val="-8"/>
        </w:rPr>
        <w:t> </w:t>
      </w:r>
      <w:r>
        <w:rPr>
          <w:color w:val="231F20"/>
          <w:spacing w:val="-2"/>
        </w:rPr>
        <w:t>di</w:t>
      </w:r>
      <w:r>
        <w:rPr>
          <w:color w:val="231F20"/>
          <w:spacing w:val="-8"/>
        </w:rPr>
        <w:t> </w:t>
      </w:r>
      <w:r>
        <w:rPr>
          <w:color w:val="231F20"/>
          <w:spacing w:val="-2"/>
        </w:rPr>
        <w:t>distanza</w:t>
      </w:r>
      <w:r>
        <w:rPr>
          <w:color w:val="231F20"/>
          <w:spacing w:val="-8"/>
        </w:rPr>
        <w:t> </w:t>
      </w:r>
      <w:r>
        <w:rPr>
          <w:color w:val="231F20"/>
          <w:spacing w:val="-2"/>
        </w:rPr>
        <w:t>dall’ordinanza</w:t>
      </w:r>
      <w:r>
        <w:rPr>
          <w:color w:val="231F20"/>
          <w:spacing w:val="-8"/>
        </w:rPr>
        <w:t> </w:t>
      </w:r>
      <w:r>
        <w:rPr>
          <w:color w:val="231F20"/>
          <w:spacing w:val="-2"/>
        </w:rPr>
        <w:t>di</w:t>
      </w:r>
      <w:r>
        <w:rPr>
          <w:color w:val="231F20"/>
          <w:spacing w:val="-8"/>
        </w:rPr>
        <w:t> </w:t>
      </w:r>
      <w:r>
        <w:rPr>
          <w:color w:val="231F20"/>
          <w:spacing w:val="-2"/>
        </w:rPr>
        <w:t>rinvio</w:t>
      </w:r>
      <w:r>
        <w:rPr>
          <w:color w:val="231F20"/>
          <w:spacing w:val="-8"/>
        </w:rPr>
        <w:t> </w:t>
      </w:r>
      <w:r>
        <w:rPr>
          <w:color w:val="231F20"/>
          <w:spacing w:val="-2"/>
        </w:rPr>
        <w:t>nella</w:t>
      </w:r>
      <w:r>
        <w:rPr>
          <w:color w:val="231F20"/>
          <w:spacing w:val="-8"/>
        </w:rPr>
        <w:t> </w:t>
      </w:r>
      <w:r>
        <w:rPr>
          <w:color w:val="231F20"/>
          <w:spacing w:val="-2"/>
        </w:rPr>
        <w:t>causa</w:t>
      </w:r>
      <w:r>
        <w:rPr>
          <w:color w:val="231F20"/>
          <w:spacing w:val="-8"/>
        </w:rPr>
        <w:t> </w:t>
      </w:r>
      <w:r>
        <w:rPr>
          <w:i/>
          <w:color w:val="231F20"/>
          <w:spacing w:val="-2"/>
        </w:rPr>
        <w:t>WebMind</w:t>
      </w:r>
      <w:r>
        <w:rPr>
          <w:i/>
          <w:color w:val="231F20"/>
          <w:spacing w:val="-2"/>
        </w:rPr>
        <w:t> </w:t>
      </w:r>
      <w:r>
        <w:rPr>
          <w:i/>
          <w:color w:val="231F20"/>
        </w:rPr>
        <w:t>Licenses </w:t>
      </w:r>
      <w:r>
        <w:rPr>
          <w:color w:val="231F20"/>
        </w:rPr>
        <w:t>sopra esaminata, lo stesso Tribunale amministrativo di Budapest (Ungheria)</w:t>
      </w:r>
      <w:r>
        <w:rPr>
          <w:color w:val="231F20"/>
          <w:spacing w:val="-12"/>
        </w:rPr>
        <w:t> </w:t>
      </w:r>
      <w:r>
        <w:rPr>
          <w:color w:val="231F20"/>
        </w:rPr>
        <w:t>ha</w:t>
      </w:r>
      <w:r>
        <w:rPr>
          <w:color w:val="231F20"/>
          <w:spacing w:val="-12"/>
        </w:rPr>
        <w:t> </w:t>
      </w:r>
      <w:r>
        <w:rPr>
          <w:color w:val="231F20"/>
        </w:rPr>
        <w:t>posto</w:t>
      </w:r>
      <w:r>
        <w:rPr>
          <w:color w:val="231F20"/>
          <w:spacing w:val="-12"/>
        </w:rPr>
        <w:t> </w:t>
      </w:r>
      <w:r>
        <w:rPr>
          <w:color w:val="231F20"/>
        </w:rPr>
        <w:t>alla</w:t>
      </w:r>
      <w:r>
        <w:rPr>
          <w:color w:val="231F20"/>
          <w:spacing w:val="-12"/>
        </w:rPr>
        <w:t> </w:t>
      </w:r>
      <w:r>
        <w:rPr>
          <w:color w:val="231F20"/>
        </w:rPr>
        <w:t>Corte</w:t>
      </w:r>
      <w:r>
        <w:rPr>
          <w:color w:val="231F20"/>
          <w:spacing w:val="-12"/>
        </w:rPr>
        <w:t> </w:t>
      </w:r>
      <w:r>
        <w:rPr>
          <w:color w:val="231F20"/>
        </w:rPr>
        <w:t>di</w:t>
      </w:r>
      <w:r>
        <w:rPr>
          <w:color w:val="231F20"/>
          <w:spacing w:val="-12"/>
        </w:rPr>
        <w:t> </w:t>
      </w:r>
      <w:r>
        <w:rPr>
          <w:color w:val="231F20"/>
        </w:rPr>
        <w:t>giustizia</w:t>
      </w:r>
      <w:r>
        <w:rPr>
          <w:color w:val="231F20"/>
          <w:spacing w:val="-12"/>
        </w:rPr>
        <w:t> </w:t>
      </w:r>
      <w:r>
        <w:rPr>
          <w:color w:val="231F20"/>
        </w:rPr>
        <w:t>una</w:t>
      </w:r>
      <w:r>
        <w:rPr>
          <w:color w:val="231F20"/>
          <w:spacing w:val="-12"/>
        </w:rPr>
        <w:t> </w:t>
      </w:r>
      <w:r>
        <w:rPr>
          <w:color w:val="231F20"/>
        </w:rPr>
        <w:t>seconda</w:t>
      </w:r>
      <w:r>
        <w:rPr>
          <w:color w:val="231F20"/>
          <w:spacing w:val="-12"/>
        </w:rPr>
        <w:t> </w:t>
      </w:r>
      <w:r>
        <w:rPr>
          <w:color w:val="231F20"/>
        </w:rPr>
        <w:t>questione</w:t>
      </w:r>
      <w:r>
        <w:rPr>
          <w:color w:val="231F20"/>
          <w:spacing w:val="-12"/>
        </w:rPr>
        <w:t> </w:t>
      </w:r>
      <w:r>
        <w:rPr>
          <w:color w:val="231F20"/>
        </w:rPr>
        <w:t>pregiudi- ziale avente ad oggetto un analogo problema di determinazione del luogo di</w:t>
      </w:r>
      <w:r>
        <w:rPr>
          <w:color w:val="231F20"/>
          <w:spacing w:val="-13"/>
        </w:rPr>
        <w:t> </w:t>
      </w:r>
      <w:r>
        <w:rPr>
          <w:color w:val="231F20"/>
        </w:rPr>
        <w:t>effettuazione</w:t>
      </w:r>
      <w:r>
        <w:rPr>
          <w:color w:val="231F20"/>
          <w:spacing w:val="-13"/>
        </w:rPr>
        <w:t> </w:t>
      </w:r>
      <w:r>
        <w:rPr>
          <w:color w:val="231F20"/>
        </w:rPr>
        <w:t>di</w:t>
      </w:r>
      <w:r>
        <w:rPr>
          <w:color w:val="231F20"/>
          <w:spacing w:val="-13"/>
        </w:rPr>
        <w:t> </w:t>
      </w:r>
      <w:r>
        <w:rPr>
          <w:color w:val="231F20"/>
        </w:rPr>
        <w:t>una</w:t>
      </w:r>
      <w:r>
        <w:rPr>
          <w:color w:val="231F20"/>
          <w:spacing w:val="-13"/>
        </w:rPr>
        <w:t> </w:t>
      </w:r>
      <w:r>
        <w:rPr>
          <w:color w:val="231F20"/>
        </w:rPr>
        <w:t>serie</w:t>
      </w:r>
      <w:r>
        <w:rPr>
          <w:color w:val="231F20"/>
          <w:spacing w:val="-13"/>
        </w:rPr>
        <w:t> </w:t>
      </w:r>
      <w:r>
        <w:rPr>
          <w:color w:val="231F20"/>
        </w:rPr>
        <w:t>di</w:t>
      </w:r>
      <w:r>
        <w:rPr>
          <w:color w:val="231F20"/>
          <w:spacing w:val="-13"/>
        </w:rPr>
        <w:t> </w:t>
      </w:r>
      <w:r>
        <w:rPr>
          <w:color w:val="231F20"/>
        </w:rPr>
        <w:t>operazioni</w:t>
      </w:r>
      <w:r>
        <w:rPr>
          <w:color w:val="231F20"/>
          <w:spacing w:val="-13"/>
        </w:rPr>
        <w:t> </w:t>
      </w:r>
      <w:r>
        <w:rPr>
          <w:color w:val="231F20"/>
        </w:rPr>
        <w:t>imponibili</w:t>
      </w:r>
      <w:r>
        <w:rPr>
          <w:color w:val="231F20"/>
          <w:position w:val="8"/>
          <w:sz w:val="14"/>
        </w:rPr>
        <w:t>140</w:t>
      </w:r>
      <w:r>
        <w:rPr>
          <w:color w:val="231F20"/>
        </w:rPr>
        <w:t>.</w:t>
      </w:r>
      <w:r>
        <w:rPr>
          <w:color w:val="231F20"/>
          <w:spacing w:val="-13"/>
        </w:rPr>
        <w:t> </w:t>
      </w:r>
      <w:r>
        <w:rPr>
          <w:color w:val="231F20"/>
        </w:rPr>
        <w:t>La</w:t>
      </w:r>
      <w:r>
        <w:rPr>
          <w:color w:val="231F20"/>
          <w:spacing w:val="-13"/>
        </w:rPr>
        <w:t> </w:t>
      </w:r>
      <w:r>
        <w:rPr>
          <w:i/>
          <w:color w:val="231F20"/>
        </w:rPr>
        <w:t>KrakVet</w:t>
      </w:r>
      <w:r>
        <w:rPr>
          <w:i/>
          <w:color w:val="231F20"/>
          <w:spacing w:val="-13"/>
        </w:rPr>
        <w:t> </w:t>
      </w:r>
      <w:r>
        <w:rPr>
          <w:color w:val="231F20"/>
        </w:rPr>
        <w:t>era</w:t>
      </w:r>
      <w:r>
        <w:rPr>
          <w:color w:val="231F20"/>
          <w:spacing w:val="-13"/>
        </w:rPr>
        <w:t> </w:t>
      </w:r>
      <w:r>
        <w:rPr>
          <w:color w:val="231F20"/>
        </w:rPr>
        <w:t>una società con sede in Polonia la cui attività consisteva nella vendita di pro- dotti per animali che la stessa commercializzava attraverso il suo sito web. Tramite</w:t>
      </w:r>
      <w:r>
        <w:rPr>
          <w:color w:val="231F20"/>
          <w:spacing w:val="-3"/>
        </w:rPr>
        <w:t> </w:t>
      </w:r>
      <w:r>
        <w:rPr>
          <w:color w:val="231F20"/>
        </w:rPr>
        <w:t>tale</w:t>
      </w:r>
      <w:r>
        <w:rPr>
          <w:color w:val="231F20"/>
          <w:spacing w:val="-3"/>
        </w:rPr>
        <w:t> </w:t>
      </w:r>
      <w:r>
        <w:rPr>
          <w:color w:val="231F20"/>
        </w:rPr>
        <w:t>sito</w:t>
      </w:r>
      <w:r>
        <w:rPr>
          <w:color w:val="231F20"/>
          <w:spacing w:val="-3"/>
        </w:rPr>
        <w:t> </w:t>
      </w:r>
      <w:r>
        <w:rPr>
          <w:color w:val="231F20"/>
        </w:rPr>
        <w:t>la</w:t>
      </w:r>
      <w:r>
        <w:rPr>
          <w:color w:val="231F20"/>
          <w:spacing w:val="-3"/>
        </w:rPr>
        <w:t> </w:t>
      </w:r>
      <w:r>
        <w:rPr>
          <w:i/>
          <w:color w:val="231F20"/>
        </w:rPr>
        <w:t>KrakVet</w:t>
      </w:r>
      <w:r>
        <w:rPr>
          <w:i/>
          <w:color w:val="231F20"/>
          <w:spacing w:val="-3"/>
        </w:rPr>
        <w:t> </w:t>
      </w:r>
      <w:r>
        <w:rPr>
          <w:color w:val="231F20"/>
        </w:rPr>
        <w:t>aveva</w:t>
      </w:r>
      <w:r>
        <w:rPr>
          <w:color w:val="231F20"/>
          <w:spacing w:val="-3"/>
        </w:rPr>
        <w:t> </w:t>
      </w:r>
      <w:r>
        <w:rPr>
          <w:color w:val="231F20"/>
        </w:rPr>
        <w:t>acquisito</w:t>
      </w:r>
      <w:r>
        <w:rPr>
          <w:color w:val="231F20"/>
          <w:spacing w:val="-3"/>
        </w:rPr>
        <w:t> </w:t>
      </w:r>
      <w:r>
        <w:rPr>
          <w:color w:val="231F20"/>
        </w:rPr>
        <w:t>vari</w:t>
      </w:r>
      <w:r>
        <w:rPr>
          <w:color w:val="231F20"/>
          <w:spacing w:val="-3"/>
        </w:rPr>
        <w:t> </w:t>
      </w:r>
      <w:r>
        <w:rPr>
          <w:color w:val="231F20"/>
        </w:rPr>
        <w:t>clienti</w:t>
      </w:r>
      <w:r>
        <w:rPr>
          <w:color w:val="231F20"/>
          <w:spacing w:val="-3"/>
        </w:rPr>
        <w:t> </w:t>
      </w:r>
      <w:r>
        <w:rPr>
          <w:color w:val="231F20"/>
        </w:rPr>
        <w:t>in</w:t>
      </w:r>
      <w:r>
        <w:rPr>
          <w:color w:val="231F20"/>
          <w:spacing w:val="-3"/>
        </w:rPr>
        <w:t> </w:t>
      </w:r>
      <w:r>
        <w:rPr>
          <w:color w:val="231F20"/>
        </w:rPr>
        <w:t>Ungheria,</w:t>
      </w:r>
      <w:r>
        <w:rPr>
          <w:color w:val="231F20"/>
          <w:spacing w:val="-3"/>
        </w:rPr>
        <w:t> </w:t>
      </w:r>
      <w:r>
        <w:rPr>
          <w:color w:val="231F20"/>
        </w:rPr>
        <w:t>ma</w:t>
      </w:r>
      <w:r>
        <w:rPr>
          <w:color w:val="231F20"/>
          <w:spacing w:val="-3"/>
        </w:rPr>
        <w:t> </w:t>
      </w:r>
      <w:r>
        <w:rPr>
          <w:color w:val="231F20"/>
        </w:rPr>
        <w:t>in tale</w:t>
      </w:r>
      <w:r>
        <w:rPr>
          <w:color w:val="231F20"/>
          <w:spacing w:val="-9"/>
        </w:rPr>
        <w:t> </w:t>
      </w:r>
      <w:r>
        <w:rPr>
          <w:color w:val="231F20"/>
        </w:rPr>
        <w:t>Stato</w:t>
      </w:r>
      <w:r>
        <w:rPr>
          <w:color w:val="231F20"/>
          <w:spacing w:val="-9"/>
        </w:rPr>
        <w:t> </w:t>
      </w:r>
      <w:r>
        <w:rPr>
          <w:color w:val="231F20"/>
        </w:rPr>
        <w:t>membro</w:t>
      </w:r>
      <w:r>
        <w:rPr>
          <w:color w:val="231F20"/>
          <w:spacing w:val="-9"/>
        </w:rPr>
        <w:t> </w:t>
      </w:r>
      <w:r>
        <w:rPr>
          <w:color w:val="231F20"/>
        </w:rPr>
        <w:t>essa</w:t>
      </w:r>
      <w:r>
        <w:rPr>
          <w:color w:val="231F20"/>
          <w:spacing w:val="-9"/>
        </w:rPr>
        <w:t> </w:t>
      </w:r>
      <w:r>
        <w:rPr>
          <w:color w:val="231F20"/>
        </w:rPr>
        <w:t>non</w:t>
      </w:r>
      <w:r>
        <w:rPr>
          <w:color w:val="231F20"/>
          <w:spacing w:val="-9"/>
        </w:rPr>
        <w:t> </w:t>
      </w:r>
      <w:r>
        <w:rPr>
          <w:color w:val="231F20"/>
        </w:rPr>
        <w:t>disponeva</w:t>
      </w:r>
      <w:r>
        <w:rPr>
          <w:color w:val="231F20"/>
          <w:spacing w:val="-9"/>
        </w:rPr>
        <w:t> </w:t>
      </w:r>
      <w:r>
        <w:rPr>
          <w:color w:val="231F20"/>
        </w:rPr>
        <w:t>di</w:t>
      </w:r>
      <w:r>
        <w:rPr>
          <w:color w:val="231F20"/>
          <w:spacing w:val="-9"/>
        </w:rPr>
        <w:t> </w:t>
      </w:r>
      <w:r>
        <w:rPr>
          <w:color w:val="231F20"/>
        </w:rPr>
        <w:t>alcuna</w:t>
      </w:r>
      <w:r>
        <w:rPr>
          <w:color w:val="231F20"/>
          <w:spacing w:val="-9"/>
        </w:rPr>
        <w:t> </w:t>
      </w:r>
      <w:r>
        <w:rPr>
          <w:color w:val="231F20"/>
        </w:rPr>
        <w:t>sede</w:t>
      </w:r>
      <w:r>
        <w:rPr>
          <w:color w:val="231F20"/>
          <w:spacing w:val="-9"/>
        </w:rPr>
        <w:t> </w:t>
      </w:r>
      <w:r>
        <w:rPr>
          <w:color w:val="231F20"/>
        </w:rPr>
        <w:t>di</w:t>
      </w:r>
      <w:r>
        <w:rPr>
          <w:color w:val="231F20"/>
          <w:spacing w:val="-9"/>
        </w:rPr>
        <w:t> </w:t>
      </w:r>
      <w:r>
        <w:rPr>
          <w:color w:val="231F20"/>
        </w:rPr>
        <w:t>attività.</w:t>
      </w:r>
      <w:r>
        <w:rPr>
          <w:color w:val="231F20"/>
          <w:spacing w:val="-9"/>
        </w:rPr>
        <w:t> </w:t>
      </w:r>
      <w:r>
        <w:rPr>
          <w:color w:val="231F20"/>
        </w:rPr>
        <w:t>La</w:t>
      </w:r>
      <w:r>
        <w:rPr>
          <w:color w:val="231F20"/>
          <w:spacing w:val="-9"/>
        </w:rPr>
        <w:t> </w:t>
      </w:r>
      <w:r>
        <w:rPr>
          <w:color w:val="231F20"/>
        </w:rPr>
        <w:t>suddet- ta società offriva comunque agli acquirenti ungheresi dei propri prodotti</w:t>
      </w:r>
      <w:r>
        <w:rPr>
          <w:color w:val="231F20"/>
          <w:spacing w:val="40"/>
        </w:rPr>
        <w:t> </w:t>
      </w:r>
      <w:r>
        <w:rPr>
          <w:color w:val="231F20"/>
        </w:rPr>
        <w:t>la</w:t>
      </w:r>
      <w:r>
        <w:rPr>
          <w:color w:val="231F20"/>
          <w:spacing w:val="-4"/>
        </w:rPr>
        <w:t> </w:t>
      </w:r>
      <w:r>
        <w:rPr>
          <w:color w:val="231F20"/>
        </w:rPr>
        <w:t>possibilità</w:t>
      </w:r>
      <w:r>
        <w:rPr>
          <w:color w:val="231F20"/>
          <w:spacing w:val="-4"/>
        </w:rPr>
        <w:t> </w:t>
      </w:r>
      <w:r>
        <w:rPr>
          <w:color w:val="231F20"/>
        </w:rPr>
        <w:t>di</w:t>
      </w:r>
      <w:r>
        <w:rPr>
          <w:color w:val="231F20"/>
          <w:spacing w:val="-4"/>
        </w:rPr>
        <w:t> </w:t>
      </w:r>
      <w:r>
        <w:rPr>
          <w:color w:val="231F20"/>
        </w:rPr>
        <w:t>stipulare</w:t>
      </w:r>
      <w:r>
        <w:rPr>
          <w:color w:val="231F20"/>
          <w:spacing w:val="-4"/>
        </w:rPr>
        <w:t> </w:t>
      </w:r>
      <w:r>
        <w:rPr>
          <w:color w:val="231F20"/>
        </w:rPr>
        <w:t>un</w:t>
      </w:r>
      <w:r>
        <w:rPr>
          <w:color w:val="231F20"/>
          <w:spacing w:val="-4"/>
        </w:rPr>
        <w:t> </w:t>
      </w:r>
      <w:r>
        <w:rPr>
          <w:color w:val="231F20"/>
        </w:rPr>
        <w:t>contratto</w:t>
      </w:r>
      <w:r>
        <w:rPr>
          <w:color w:val="231F20"/>
          <w:spacing w:val="-4"/>
        </w:rPr>
        <w:t> </w:t>
      </w:r>
      <w:r>
        <w:rPr>
          <w:color w:val="231F20"/>
        </w:rPr>
        <w:t>con</w:t>
      </w:r>
      <w:r>
        <w:rPr>
          <w:color w:val="231F20"/>
          <w:spacing w:val="-4"/>
        </w:rPr>
        <w:t> </w:t>
      </w:r>
      <w:r>
        <w:rPr>
          <w:color w:val="231F20"/>
        </w:rPr>
        <w:t>una</w:t>
      </w:r>
      <w:r>
        <w:rPr>
          <w:color w:val="231F20"/>
          <w:spacing w:val="-4"/>
        </w:rPr>
        <w:t> </w:t>
      </w:r>
      <w:r>
        <w:rPr>
          <w:color w:val="231F20"/>
        </w:rPr>
        <w:t>società</w:t>
      </w:r>
      <w:r>
        <w:rPr>
          <w:color w:val="231F20"/>
          <w:spacing w:val="-4"/>
        </w:rPr>
        <w:t> </w:t>
      </w:r>
      <w:r>
        <w:rPr>
          <w:color w:val="231F20"/>
        </w:rPr>
        <w:t>di</w:t>
      </w:r>
      <w:r>
        <w:rPr>
          <w:color w:val="231F20"/>
          <w:spacing w:val="-4"/>
        </w:rPr>
        <w:t> </w:t>
      </w:r>
      <w:r>
        <w:rPr>
          <w:color w:val="231F20"/>
        </w:rPr>
        <w:t>trasporto</w:t>
      </w:r>
      <w:r>
        <w:rPr>
          <w:color w:val="231F20"/>
          <w:spacing w:val="-4"/>
        </w:rPr>
        <w:t> </w:t>
      </w:r>
      <w:r>
        <w:rPr>
          <w:color w:val="231F20"/>
        </w:rPr>
        <w:t>stabilita in Polonia ai fini dell’invio in Ungheria dei prodotti acquistati dai propri clienti.</w:t>
      </w:r>
      <w:r>
        <w:rPr>
          <w:color w:val="231F20"/>
          <w:spacing w:val="-5"/>
        </w:rPr>
        <w:t> </w:t>
      </w:r>
      <w:r>
        <w:rPr>
          <w:color w:val="231F20"/>
        </w:rPr>
        <w:t>Avendo</w:t>
      </w:r>
      <w:r>
        <w:rPr>
          <w:color w:val="231F20"/>
          <w:spacing w:val="-5"/>
        </w:rPr>
        <w:t> </w:t>
      </w:r>
      <w:r>
        <w:rPr>
          <w:color w:val="231F20"/>
        </w:rPr>
        <w:t>dubbi</w:t>
      </w:r>
      <w:r>
        <w:rPr>
          <w:color w:val="231F20"/>
          <w:spacing w:val="-5"/>
        </w:rPr>
        <w:t> </w:t>
      </w:r>
      <w:r>
        <w:rPr>
          <w:color w:val="231F20"/>
        </w:rPr>
        <w:t>quanto</w:t>
      </w:r>
      <w:r>
        <w:rPr>
          <w:color w:val="231F20"/>
          <w:spacing w:val="-5"/>
        </w:rPr>
        <w:t> </w:t>
      </w:r>
      <w:r>
        <w:rPr>
          <w:color w:val="231F20"/>
        </w:rPr>
        <w:t>allo</w:t>
      </w:r>
      <w:r>
        <w:rPr>
          <w:color w:val="231F20"/>
          <w:spacing w:val="-5"/>
        </w:rPr>
        <w:t> </w:t>
      </w:r>
      <w:r>
        <w:rPr>
          <w:color w:val="231F20"/>
        </w:rPr>
        <w:t>Stato</w:t>
      </w:r>
      <w:r>
        <w:rPr>
          <w:color w:val="231F20"/>
          <w:spacing w:val="-5"/>
        </w:rPr>
        <w:t> </w:t>
      </w:r>
      <w:r>
        <w:rPr>
          <w:color w:val="231F20"/>
        </w:rPr>
        <w:t>membro</w:t>
      </w:r>
      <w:r>
        <w:rPr>
          <w:color w:val="231F20"/>
          <w:spacing w:val="-5"/>
        </w:rPr>
        <w:t> </w:t>
      </w:r>
      <w:r>
        <w:rPr>
          <w:color w:val="231F20"/>
        </w:rPr>
        <w:t>competente</w:t>
      </w:r>
      <w:r>
        <w:rPr>
          <w:color w:val="231F20"/>
          <w:spacing w:val="-5"/>
        </w:rPr>
        <w:t> </w:t>
      </w:r>
      <w:r>
        <w:rPr>
          <w:color w:val="231F20"/>
        </w:rPr>
        <w:t>per</w:t>
      </w:r>
      <w:r>
        <w:rPr>
          <w:color w:val="231F20"/>
          <w:spacing w:val="-5"/>
        </w:rPr>
        <w:t> </w:t>
      </w:r>
      <w:r>
        <w:rPr>
          <w:color w:val="231F20"/>
        </w:rPr>
        <w:t>la</w:t>
      </w:r>
      <w:r>
        <w:rPr>
          <w:color w:val="231F20"/>
          <w:spacing w:val="-5"/>
        </w:rPr>
        <w:t> </w:t>
      </w:r>
      <w:r>
        <w:rPr>
          <w:color w:val="231F20"/>
        </w:rPr>
        <w:t>riscos- sione</w:t>
      </w:r>
      <w:r>
        <w:rPr>
          <w:color w:val="231F20"/>
          <w:spacing w:val="-2"/>
        </w:rPr>
        <w:t> </w:t>
      </w:r>
      <w:r>
        <w:rPr>
          <w:color w:val="231F20"/>
        </w:rPr>
        <w:t>dell’IVA,</w:t>
      </w:r>
      <w:r>
        <w:rPr>
          <w:color w:val="231F20"/>
          <w:spacing w:val="-2"/>
        </w:rPr>
        <w:t> </w:t>
      </w:r>
      <w:r>
        <w:rPr>
          <w:color w:val="231F20"/>
        </w:rPr>
        <w:t>la</w:t>
      </w:r>
      <w:r>
        <w:rPr>
          <w:color w:val="231F20"/>
          <w:spacing w:val="-3"/>
        </w:rPr>
        <w:t> </w:t>
      </w:r>
      <w:r>
        <w:rPr>
          <w:i/>
          <w:color w:val="231F20"/>
        </w:rPr>
        <w:t>KrakVet</w:t>
      </w:r>
      <w:r>
        <w:rPr>
          <w:i/>
          <w:color w:val="231F20"/>
          <w:spacing w:val="-2"/>
        </w:rPr>
        <w:t> </w:t>
      </w:r>
      <w:r>
        <w:rPr>
          <w:color w:val="231F20"/>
        </w:rPr>
        <w:t>proponeva</w:t>
      </w:r>
      <w:r>
        <w:rPr>
          <w:color w:val="231F20"/>
          <w:spacing w:val="-2"/>
        </w:rPr>
        <w:t> </w:t>
      </w:r>
      <w:r>
        <w:rPr>
          <w:color w:val="231F20"/>
        </w:rPr>
        <w:t>un</w:t>
      </w:r>
      <w:r>
        <w:rPr>
          <w:color w:val="231F20"/>
          <w:spacing w:val="-2"/>
        </w:rPr>
        <w:t> </w:t>
      </w:r>
      <w:r>
        <w:rPr>
          <w:color w:val="231F20"/>
        </w:rPr>
        <w:t>interpello</w:t>
      </w:r>
      <w:r>
        <w:rPr>
          <w:color w:val="231F20"/>
          <w:spacing w:val="-2"/>
        </w:rPr>
        <w:t> </w:t>
      </w:r>
      <w:r>
        <w:rPr>
          <w:color w:val="231F20"/>
        </w:rPr>
        <w:t>all’amministrazione</w:t>
      </w:r>
      <w:r>
        <w:rPr>
          <w:color w:val="231F20"/>
          <w:spacing w:val="-2"/>
        </w:rPr>
        <w:t> </w:t>
      </w:r>
      <w:r>
        <w:rPr>
          <w:color w:val="231F20"/>
        </w:rPr>
        <w:t>fi- nanziaria</w:t>
      </w:r>
      <w:r>
        <w:rPr>
          <w:color w:val="231F20"/>
          <w:spacing w:val="-9"/>
        </w:rPr>
        <w:t> </w:t>
      </w:r>
      <w:r>
        <w:rPr>
          <w:color w:val="231F20"/>
        </w:rPr>
        <w:t>polacca</w:t>
      </w:r>
      <w:r>
        <w:rPr>
          <w:color w:val="231F20"/>
          <w:spacing w:val="-9"/>
        </w:rPr>
        <w:t> </w:t>
      </w:r>
      <w:r>
        <w:rPr>
          <w:color w:val="231F20"/>
        </w:rPr>
        <w:t>affinché</w:t>
      </w:r>
      <w:r>
        <w:rPr>
          <w:color w:val="231F20"/>
          <w:spacing w:val="-9"/>
        </w:rPr>
        <w:t> </w:t>
      </w:r>
      <w:r>
        <w:rPr>
          <w:color w:val="231F20"/>
        </w:rPr>
        <w:t>questa</w:t>
      </w:r>
      <w:r>
        <w:rPr>
          <w:color w:val="231F20"/>
          <w:spacing w:val="-9"/>
        </w:rPr>
        <w:t> </w:t>
      </w:r>
      <w:r>
        <w:rPr>
          <w:color w:val="231F20"/>
        </w:rPr>
        <w:t>si</w:t>
      </w:r>
      <w:r>
        <w:rPr>
          <w:color w:val="231F20"/>
          <w:spacing w:val="-9"/>
        </w:rPr>
        <w:t> </w:t>
      </w:r>
      <w:r>
        <w:rPr>
          <w:color w:val="231F20"/>
        </w:rPr>
        <w:t>pronunciasse</w:t>
      </w:r>
      <w:r>
        <w:rPr>
          <w:color w:val="231F20"/>
          <w:spacing w:val="-9"/>
        </w:rPr>
        <w:t> </w:t>
      </w:r>
      <w:r>
        <w:rPr>
          <w:color w:val="231F20"/>
        </w:rPr>
        <w:t>sul</w:t>
      </w:r>
      <w:r>
        <w:rPr>
          <w:color w:val="231F20"/>
          <w:spacing w:val="-9"/>
        </w:rPr>
        <w:t> </w:t>
      </w:r>
      <w:r>
        <w:rPr>
          <w:color w:val="231F20"/>
        </w:rPr>
        <w:t>luogo</w:t>
      </w:r>
      <w:r>
        <w:rPr>
          <w:color w:val="231F20"/>
          <w:spacing w:val="-9"/>
        </w:rPr>
        <w:t> </w:t>
      </w:r>
      <w:r>
        <w:rPr>
          <w:color w:val="231F20"/>
        </w:rPr>
        <w:t>delle</w:t>
      </w:r>
      <w:r>
        <w:rPr>
          <w:color w:val="231F20"/>
          <w:spacing w:val="-9"/>
        </w:rPr>
        <w:t> </w:t>
      </w:r>
      <w:r>
        <w:rPr>
          <w:color w:val="231F20"/>
        </w:rPr>
        <w:t>operazioni imponibili (vendite) della società stessa. Nella sua risposta all’interpello, l‘amministrazione finanziaria polacca aveva ritenuto che il luogo di ese- cuzione delle operazioni imponibili della </w:t>
      </w:r>
      <w:r>
        <w:rPr>
          <w:i/>
          <w:color w:val="231F20"/>
        </w:rPr>
        <w:t>KrakVet </w:t>
      </w:r>
      <w:r>
        <w:rPr>
          <w:color w:val="231F20"/>
        </w:rPr>
        <w:t>si trovasse in Polonia e che</w:t>
      </w:r>
      <w:r>
        <w:rPr>
          <w:color w:val="231F20"/>
          <w:spacing w:val="-2"/>
        </w:rPr>
        <w:t> </w:t>
      </w:r>
      <w:r>
        <w:rPr>
          <w:color w:val="231F20"/>
        </w:rPr>
        <w:t>di</w:t>
      </w:r>
      <w:r>
        <w:rPr>
          <w:color w:val="231F20"/>
          <w:spacing w:val="-2"/>
        </w:rPr>
        <w:t> </w:t>
      </w:r>
      <w:r>
        <w:rPr>
          <w:color w:val="231F20"/>
        </w:rPr>
        <w:t>conseguenza</w:t>
      </w:r>
      <w:r>
        <w:rPr>
          <w:color w:val="231F20"/>
          <w:spacing w:val="-2"/>
        </w:rPr>
        <w:t> </w:t>
      </w:r>
      <w:r>
        <w:rPr>
          <w:color w:val="231F20"/>
        </w:rPr>
        <w:t>la</w:t>
      </w:r>
      <w:r>
        <w:rPr>
          <w:color w:val="231F20"/>
          <w:spacing w:val="-2"/>
        </w:rPr>
        <w:t> </w:t>
      </w:r>
      <w:r>
        <w:rPr>
          <w:color w:val="231F20"/>
        </w:rPr>
        <w:t>società</w:t>
      </w:r>
      <w:r>
        <w:rPr>
          <w:color w:val="231F20"/>
          <w:spacing w:val="-2"/>
        </w:rPr>
        <w:t> </w:t>
      </w:r>
      <w:r>
        <w:rPr>
          <w:color w:val="231F20"/>
        </w:rPr>
        <w:t>dovesse</w:t>
      </w:r>
      <w:r>
        <w:rPr>
          <w:color w:val="231F20"/>
          <w:spacing w:val="-2"/>
        </w:rPr>
        <w:t> </w:t>
      </w:r>
      <w:r>
        <w:rPr>
          <w:color w:val="231F20"/>
        </w:rPr>
        <w:t>versare</w:t>
      </w:r>
      <w:r>
        <w:rPr>
          <w:color w:val="231F20"/>
          <w:spacing w:val="-2"/>
        </w:rPr>
        <w:t> </w:t>
      </w:r>
      <w:r>
        <w:rPr>
          <w:color w:val="231F20"/>
        </w:rPr>
        <w:t>l’IVA</w:t>
      </w:r>
      <w:r>
        <w:rPr>
          <w:color w:val="231F20"/>
          <w:spacing w:val="-2"/>
        </w:rPr>
        <w:t> </w:t>
      </w:r>
      <w:r>
        <w:rPr>
          <w:color w:val="231F20"/>
        </w:rPr>
        <w:t>in</w:t>
      </w:r>
      <w:r>
        <w:rPr>
          <w:color w:val="231F20"/>
          <w:spacing w:val="-2"/>
        </w:rPr>
        <w:t> </w:t>
      </w:r>
      <w:r>
        <w:rPr>
          <w:color w:val="231F20"/>
        </w:rPr>
        <w:t>tale</w:t>
      </w:r>
      <w:r>
        <w:rPr>
          <w:color w:val="231F20"/>
          <w:spacing w:val="-2"/>
        </w:rPr>
        <w:t> </w:t>
      </w:r>
      <w:r>
        <w:rPr>
          <w:color w:val="231F20"/>
        </w:rPr>
        <w:t>medesimo</w:t>
      </w:r>
      <w:r>
        <w:rPr>
          <w:color w:val="231F20"/>
          <w:spacing w:val="-2"/>
        </w:rPr>
        <w:t> </w:t>
      </w:r>
      <w:r>
        <w:rPr>
          <w:color w:val="231F20"/>
        </w:rPr>
        <w:t>Stato membro.</w:t>
      </w:r>
      <w:r>
        <w:rPr>
          <w:color w:val="231F20"/>
          <w:spacing w:val="-2"/>
        </w:rPr>
        <w:t> </w:t>
      </w:r>
      <w:r>
        <w:rPr>
          <w:color w:val="231F20"/>
        </w:rPr>
        <w:t>L’attività</w:t>
      </w:r>
      <w:r>
        <w:rPr>
          <w:color w:val="231F20"/>
          <w:spacing w:val="-2"/>
        </w:rPr>
        <w:t> </w:t>
      </w:r>
      <w:r>
        <w:rPr>
          <w:color w:val="231F20"/>
        </w:rPr>
        <w:t>della</w:t>
      </w:r>
      <w:r>
        <w:rPr>
          <w:color w:val="231F20"/>
          <w:spacing w:val="-2"/>
        </w:rPr>
        <w:t> </w:t>
      </w:r>
      <w:r>
        <w:rPr>
          <w:i/>
          <w:color w:val="231F20"/>
        </w:rPr>
        <w:t>KrakVet</w:t>
      </w:r>
      <w:r>
        <w:rPr>
          <w:i/>
          <w:color w:val="231F20"/>
          <w:spacing w:val="-2"/>
        </w:rPr>
        <w:t> </w:t>
      </w:r>
      <w:r>
        <w:rPr>
          <w:color w:val="231F20"/>
        </w:rPr>
        <w:t>in</w:t>
      </w:r>
      <w:r>
        <w:rPr>
          <w:color w:val="231F20"/>
          <w:spacing w:val="-2"/>
        </w:rPr>
        <w:t> </w:t>
      </w:r>
      <w:r>
        <w:rPr>
          <w:color w:val="231F20"/>
        </w:rPr>
        <w:t>Ungheria</w:t>
      </w:r>
      <w:r>
        <w:rPr>
          <w:color w:val="231F20"/>
          <w:spacing w:val="-2"/>
        </w:rPr>
        <w:t> </w:t>
      </w:r>
      <w:r>
        <w:rPr>
          <w:color w:val="231F20"/>
        </w:rPr>
        <w:t>ha</w:t>
      </w:r>
      <w:r>
        <w:rPr>
          <w:color w:val="231F20"/>
          <w:spacing w:val="-2"/>
        </w:rPr>
        <w:t> </w:t>
      </w:r>
      <w:r>
        <w:rPr>
          <w:color w:val="231F20"/>
        </w:rPr>
        <w:t>successivamente</w:t>
      </w:r>
      <w:r>
        <w:rPr>
          <w:color w:val="231F20"/>
          <w:spacing w:val="-2"/>
        </w:rPr>
        <w:t> </w:t>
      </w:r>
      <w:r>
        <w:rPr>
          <w:color w:val="231F20"/>
        </w:rPr>
        <w:t>formato l’oggetto di un accertamento dell’amministrazione finanziaria ungherese, procedimento</w:t>
      </w:r>
      <w:r>
        <w:rPr>
          <w:color w:val="231F20"/>
          <w:spacing w:val="-15"/>
        </w:rPr>
        <w:t> </w:t>
      </w:r>
      <w:r>
        <w:rPr>
          <w:color w:val="231F20"/>
        </w:rPr>
        <w:t>che</w:t>
      </w:r>
      <w:r>
        <w:rPr>
          <w:color w:val="231F20"/>
          <w:spacing w:val="-15"/>
        </w:rPr>
        <w:t> </w:t>
      </w:r>
      <w:r>
        <w:rPr>
          <w:color w:val="231F20"/>
        </w:rPr>
        <w:t>ha</w:t>
      </w:r>
      <w:r>
        <w:rPr>
          <w:color w:val="231F20"/>
          <w:spacing w:val="-15"/>
        </w:rPr>
        <w:t> </w:t>
      </w:r>
      <w:r>
        <w:rPr>
          <w:color w:val="231F20"/>
        </w:rPr>
        <w:t>incluso</w:t>
      </w:r>
      <w:r>
        <w:rPr>
          <w:color w:val="231F20"/>
          <w:spacing w:val="-15"/>
        </w:rPr>
        <w:t> </w:t>
      </w:r>
      <w:r>
        <w:rPr>
          <w:color w:val="231F20"/>
        </w:rPr>
        <w:t>anche</w:t>
      </w:r>
      <w:r>
        <w:rPr>
          <w:color w:val="231F20"/>
          <w:spacing w:val="-15"/>
        </w:rPr>
        <w:t> </w:t>
      </w:r>
      <w:r>
        <w:rPr>
          <w:color w:val="231F20"/>
        </w:rPr>
        <w:t>la</w:t>
      </w:r>
      <w:r>
        <w:rPr>
          <w:color w:val="231F20"/>
          <w:spacing w:val="-15"/>
        </w:rPr>
        <w:t> </w:t>
      </w:r>
      <w:r>
        <w:rPr>
          <w:color w:val="231F20"/>
        </w:rPr>
        <w:t>trasmissione</w:t>
      </w:r>
      <w:r>
        <w:rPr>
          <w:color w:val="231F20"/>
          <w:spacing w:val="-15"/>
        </w:rPr>
        <w:t> </w:t>
      </w:r>
      <w:r>
        <w:rPr>
          <w:color w:val="231F20"/>
        </w:rPr>
        <w:t>di</w:t>
      </w:r>
      <w:r>
        <w:rPr>
          <w:color w:val="231F20"/>
          <w:spacing w:val="-15"/>
        </w:rPr>
        <w:t> </w:t>
      </w:r>
      <w:r>
        <w:rPr>
          <w:color w:val="231F20"/>
        </w:rPr>
        <w:t>una</w:t>
      </w:r>
      <w:r>
        <w:rPr>
          <w:color w:val="231F20"/>
          <w:spacing w:val="-15"/>
        </w:rPr>
        <w:t> </w:t>
      </w:r>
      <w:r>
        <w:rPr>
          <w:color w:val="231F20"/>
        </w:rPr>
        <w:t>richiesta</w:t>
      </w:r>
      <w:r>
        <w:rPr>
          <w:color w:val="231F20"/>
          <w:spacing w:val="-15"/>
        </w:rPr>
        <w:t> </w:t>
      </w:r>
      <w:r>
        <w:rPr>
          <w:color w:val="231F20"/>
        </w:rPr>
        <w:t>di</w:t>
      </w:r>
      <w:r>
        <w:rPr>
          <w:color w:val="231F20"/>
          <w:spacing w:val="-15"/>
        </w:rPr>
        <w:t> </w:t>
      </w:r>
      <w:r>
        <w:rPr>
          <w:color w:val="231F20"/>
        </w:rPr>
        <w:t>infor- mazioni</w:t>
      </w:r>
      <w:r>
        <w:rPr>
          <w:color w:val="231F20"/>
          <w:spacing w:val="-13"/>
        </w:rPr>
        <w:t> </w:t>
      </w:r>
      <w:r>
        <w:rPr>
          <w:color w:val="231F20"/>
        </w:rPr>
        <w:t>all’amministrazione</w:t>
      </w:r>
      <w:r>
        <w:rPr>
          <w:color w:val="231F20"/>
          <w:spacing w:val="-13"/>
        </w:rPr>
        <w:t> </w:t>
      </w:r>
      <w:r>
        <w:rPr>
          <w:color w:val="231F20"/>
        </w:rPr>
        <w:t>polacca</w:t>
      </w:r>
      <w:r>
        <w:rPr>
          <w:color w:val="231F20"/>
          <w:spacing w:val="-13"/>
        </w:rPr>
        <w:t> </w:t>
      </w:r>
      <w:r>
        <w:rPr>
          <w:color w:val="231F20"/>
        </w:rPr>
        <w:t>in</w:t>
      </w:r>
      <w:r>
        <w:rPr>
          <w:color w:val="231F20"/>
          <w:spacing w:val="-13"/>
        </w:rPr>
        <w:t> </w:t>
      </w:r>
      <w:r>
        <w:rPr>
          <w:color w:val="231F20"/>
        </w:rPr>
        <w:t>applicazione</w:t>
      </w:r>
      <w:r>
        <w:rPr>
          <w:color w:val="231F20"/>
          <w:spacing w:val="-13"/>
        </w:rPr>
        <w:t> </w:t>
      </w:r>
      <w:r>
        <w:rPr>
          <w:color w:val="231F20"/>
        </w:rPr>
        <w:t>dell’art.</w:t>
      </w:r>
      <w:r>
        <w:rPr>
          <w:color w:val="231F20"/>
          <w:spacing w:val="-13"/>
        </w:rPr>
        <w:t> </w:t>
      </w:r>
      <w:r>
        <w:rPr>
          <w:color w:val="231F20"/>
        </w:rPr>
        <w:t>7,</w:t>
      </w:r>
      <w:r>
        <w:rPr>
          <w:color w:val="231F20"/>
          <w:spacing w:val="-13"/>
        </w:rPr>
        <w:t> </w:t>
      </w:r>
      <w:r>
        <w:rPr>
          <w:color w:val="231F20"/>
        </w:rPr>
        <w:t>regolamen- to</w:t>
      </w:r>
      <w:r>
        <w:rPr>
          <w:color w:val="231F20"/>
          <w:spacing w:val="-5"/>
        </w:rPr>
        <w:t> </w:t>
      </w:r>
      <w:r>
        <w:rPr>
          <w:color w:val="231F20"/>
        </w:rPr>
        <w:t>(UE)</w:t>
      </w:r>
      <w:r>
        <w:rPr>
          <w:color w:val="231F20"/>
          <w:spacing w:val="-5"/>
        </w:rPr>
        <w:t> </w:t>
      </w:r>
      <w:r>
        <w:rPr>
          <w:color w:val="231F20"/>
        </w:rPr>
        <w:t>904/2010.</w:t>
      </w:r>
      <w:r>
        <w:rPr>
          <w:color w:val="231F20"/>
          <w:spacing w:val="-5"/>
        </w:rPr>
        <w:t> </w:t>
      </w:r>
      <w:r>
        <w:rPr>
          <w:color w:val="231F20"/>
        </w:rPr>
        <w:t>Al</w:t>
      </w:r>
      <w:r>
        <w:rPr>
          <w:color w:val="231F20"/>
          <w:spacing w:val="-5"/>
        </w:rPr>
        <w:t> </w:t>
      </w:r>
      <w:r>
        <w:rPr>
          <w:color w:val="231F20"/>
        </w:rPr>
        <w:t>termine</w:t>
      </w:r>
      <w:r>
        <w:rPr>
          <w:color w:val="231F20"/>
          <w:spacing w:val="-5"/>
        </w:rPr>
        <w:t> </w:t>
      </w:r>
      <w:r>
        <w:rPr>
          <w:color w:val="231F20"/>
        </w:rPr>
        <w:t>di</w:t>
      </w:r>
      <w:r>
        <w:rPr>
          <w:color w:val="231F20"/>
          <w:spacing w:val="-5"/>
        </w:rPr>
        <w:t> </w:t>
      </w:r>
      <w:r>
        <w:rPr>
          <w:color w:val="231F20"/>
        </w:rPr>
        <w:t>tale</w:t>
      </w:r>
      <w:r>
        <w:rPr>
          <w:color w:val="231F20"/>
          <w:spacing w:val="-5"/>
        </w:rPr>
        <w:t> </w:t>
      </w:r>
      <w:r>
        <w:rPr>
          <w:color w:val="231F20"/>
        </w:rPr>
        <w:t>procedimento</w:t>
      </w:r>
      <w:r>
        <w:rPr>
          <w:color w:val="231F20"/>
          <w:spacing w:val="-5"/>
        </w:rPr>
        <w:t> </w:t>
      </w:r>
      <w:r>
        <w:rPr>
          <w:color w:val="231F20"/>
        </w:rPr>
        <w:t>di</w:t>
      </w:r>
      <w:r>
        <w:rPr>
          <w:color w:val="231F20"/>
          <w:spacing w:val="-5"/>
        </w:rPr>
        <w:t> </w:t>
      </w:r>
      <w:r>
        <w:rPr>
          <w:color w:val="231F20"/>
        </w:rPr>
        <w:t>accertamento</w:t>
      </w:r>
      <w:r>
        <w:rPr>
          <w:color w:val="231F20"/>
          <w:spacing w:val="-5"/>
        </w:rPr>
        <w:t> </w:t>
      </w:r>
      <w:r>
        <w:rPr>
          <w:color w:val="231F20"/>
        </w:rPr>
        <w:t>l’am- ministrazione finanziaria ungherese reclamava dalla </w:t>
      </w:r>
      <w:r>
        <w:rPr>
          <w:i/>
          <w:color w:val="231F20"/>
        </w:rPr>
        <w:t>KrakVet </w:t>
      </w:r>
      <w:r>
        <w:rPr>
          <w:color w:val="231F20"/>
        </w:rPr>
        <w:t>il pagamento dell’IVA</w:t>
      </w:r>
      <w:r>
        <w:rPr>
          <w:color w:val="231F20"/>
          <w:spacing w:val="-15"/>
        </w:rPr>
        <w:t> </w:t>
      </w:r>
      <w:r>
        <w:rPr>
          <w:color w:val="231F20"/>
        </w:rPr>
        <w:t>in</w:t>
      </w:r>
      <w:r>
        <w:rPr>
          <w:color w:val="231F20"/>
          <w:spacing w:val="-15"/>
        </w:rPr>
        <w:t> </w:t>
      </w:r>
      <w:r>
        <w:rPr>
          <w:color w:val="231F20"/>
        </w:rPr>
        <w:t>Ungheria,</w:t>
      </w:r>
      <w:r>
        <w:rPr>
          <w:color w:val="231F20"/>
          <w:spacing w:val="-15"/>
        </w:rPr>
        <w:t> </w:t>
      </w:r>
      <w:r>
        <w:rPr>
          <w:color w:val="231F20"/>
        </w:rPr>
        <w:t>nonché</w:t>
      </w:r>
      <w:r>
        <w:rPr>
          <w:color w:val="231F20"/>
          <w:spacing w:val="-15"/>
        </w:rPr>
        <w:t> </w:t>
      </w:r>
      <w:r>
        <w:rPr>
          <w:color w:val="231F20"/>
        </w:rPr>
        <w:t>il</w:t>
      </w:r>
      <w:r>
        <w:rPr>
          <w:color w:val="231F20"/>
          <w:spacing w:val="-15"/>
        </w:rPr>
        <w:t> </w:t>
      </w:r>
      <w:r>
        <w:rPr>
          <w:color w:val="231F20"/>
        </w:rPr>
        <w:t>pagamento</w:t>
      </w:r>
      <w:r>
        <w:rPr>
          <w:color w:val="231F20"/>
          <w:spacing w:val="-15"/>
        </w:rPr>
        <w:t> </w:t>
      </w:r>
      <w:r>
        <w:rPr>
          <w:color w:val="231F20"/>
        </w:rPr>
        <w:t>di</w:t>
      </w:r>
      <w:r>
        <w:rPr>
          <w:color w:val="231F20"/>
          <w:spacing w:val="-15"/>
        </w:rPr>
        <w:t> </w:t>
      </w:r>
      <w:r>
        <w:rPr>
          <w:color w:val="231F20"/>
        </w:rPr>
        <w:t>una</w:t>
      </w:r>
      <w:r>
        <w:rPr>
          <w:color w:val="231F20"/>
          <w:spacing w:val="-15"/>
        </w:rPr>
        <w:t> </w:t>
      </w:r>
      <w:r>
        <w:rPr>
          <w:color w:val="231F20"/>
        </w:rPr>
        <w:t>sanzione</w:t>
      </w:r>
      <w:r>
        <w:rPr>
          <w:color w:val="231F20"/>
          <w:spacing w:val="-15"/>
        </w:rPr>
        <w:t> </w:t>
      </w:r>
      <w:r>
        <w:rPr>
          <w:color w:val="231F20"/>
        </w:rPr>
        <w:t>amministrativa e di interessi di mora. Detta società doppiamente imposta proponeva ri- corso</w:t>
      </w:r>
      <w:r>
        <w:rPr>
          <w:color w:val="231F20"/>
          <w:spacing w:val="-8"/>
        </w:rPr>
        <w:t> </w:t>
      </w:r>
      <w:r>
        <w:rPr>
          <w:color w:val="231F20"/>
        </w:rPr>
        <w:t>al</w:t>
      </w:r>
      <w:r>
        <w:rPr>
          <w:color w:val="231F20"/>
          <w:spacing w:val="-8"/>
        </w:rPr>
        <w:t> </w:t>
      </w:r>
      <w:r>
        <w:rPr>
          <w:color w:val="231F20"/>
        </w:rPr>
        <w:t>tribunale</w:t>
      </w:r>
      <w:r>
        <w:rPr>
          <w:color w:val="231F20"/>
          <w:spacing w:val="-8"/>
        </w:rPr>
        <w:t> </w:t>
      </w:r>
      <w:r>
        <w:rPr>
          <w:color w:val="231F20"/>
        </w:rPr>
        <w:t>amministrativo</w:t>
      </w:r>
      <w:r>
        <w:rPr>
          <w:color w:val="231F20"/>
          <w:spacing w:val="-8"/>
        </w:rPr>
        <w:t> </w:t>
      </w:r>
      <w:r>
        <w:rPr>
          <w:color w:val="231F20"/>
        </w:rPr>
        <w:t>di</w:t>
      </w:r>
      <w:r>
        <w:rPr>
          <w:color w:val="231F20"/>
          <w:spacing w:val="-8"/>
        </w:rPr>
        <w:t> </w:t>
      </w:r>
      <w:r>
        <w:rPr>
          <w:color w:val="231F20"/>
        </w:rPr>
        <w:t>Budapest,</w:t>
      </w:r>
      <w:r>
        <w:rPr>
          <w:color w:val="231F20"/>
          <w:spacing w:val="-8"/>
        </w:rPr>
        <w:t> </w:t>
      </w:r>
      <w:r>
        <w:rPr>
          <w:color w:val="231F20"/>
        </w:rPr>
        <w:t>che</w:t>
      </w:r>
      <w:r>
        <w:rPr>
          <w:color w:val="231F20"/>
          <w:spacing w:val="-8"/>
        </w:rPr>
        <w:t> </w:t>
      </w:r>
      <w:r>
        <w:rPr>
          <w:color w:val="231F20"/>
        </w:rPr>
        <w:t>molto</w:t>
      </w:r>
      <w:r>
        <w:rPr>
          <w:color w:val="231F20"/>
          <w:spacing w:val="-8"/>
        </w:rPr>
        <w:t> </w:t>
      </w:r>
      <w:r>
        <w:rPr>
          <w:color w:val="231F20"/>
        </w:rPr>
        <w:t>opportunamente chiedeva</w:t>
      </w:r>
      <w:r>
        <w:rPr>
          <w:color w:val="231F20"/>
          <w:spacing w:val="-6"/>
        </w:rPr>
        <w:t> </w:t>
      </w:r>
      <w:r>
        <w:rPr>
          <w:color w:val="231F20"/>
        </w:rPr>
        <w:t>alla</w:t>
      </w:r>
      <w:r>
        <w:rPr>
          <w:color w:val="231F20"/>
          <w:spacing w:val="-6"/>
        </w:rPr>
        <w:t> </w:t>
      </w:r>
      <w:r>
        <w:rPr>
          <w:color w:val="231F20"/>
        </w:rPr>
        <w:t>Corte</w:t>
      </w:r>
      <w:r>
        <w:rPr>
          <w:color w:val="231F20"/>
          <w:spacing w:val="-6"/>
        </w:rPr>
        <w:t> </w:t>
      </w:r>
      <w:r>
        <w:rPr>
          <w:color w:val="231F20"/>
        </w:rPr>
        <w:t>di</w:t>
      </w:r>
      <w:r>
        <w:rPr>
          <w:color w:val="231F20"/>
          <w:spacing w:val="-6"/>
        </w:rPr>
        <w:t> </w:t>
      </w:r>
      <w:r>
        <w:rPr>
          <w:color w:val="231F20"/>
        </w:rPr>
        <w:t>giustizia</w:t>
      </w:r>
      <w:r>
        <w:rPr>
          <w:color w:val="231F20"/>
          <w:spacing w:val="-6"/>
        </w:rPr>
        <w:t> </w:t>
      </w:r>
      <w:r>
        <w:rPr>
          <w:color w:val="231F20"/>
        </w:rPr>
        <w:t>di</w:t>
      </w:r>
      <w:r>
        <w:rPr>
          <w:color w:val="231F20"/>
          <w:spacing w:val="-6"/>
        </w:rPr>
        <w:t> </w:t>
      </w:r>
      <w:r>
        <w:rPr>
          <w:color w:val="231F20"/>
        </w:rPr>
        <w:t>statuire,</w:t>
      </w:r>
      <w:r>
        <w:rPr>
          <w:color w:val="231F20"/>
          <w:spacing w:val="-6"/>
        </w:rPr>
        <w:t> </w:t>
      </w:r>
      <w:r>
        <w:rPr>
          <w:color w:val="231F20"/>
        </w:rPr>
        <w:t>previa</w:t>
      </w:r>
      <w:r>
        <w:rPr>
          <w:color w:val="231F20"/>
          <w:spacing w:val="-6"/>
        </w:rPr>
        <w:t> </w:t>
      </w:r>
      <w:r>
        <w:rPr>
          <w:color w:val="231F20"/>
        </w:rPr>
        <w:t>interpretazione</w:t>
      </w:r>
      <w:r>
        <w:rPr>
          <w:color w:val="231F20"/>
          <w:spacing w:val="-6"/>
        </w:rPr>
        <w:t> </w:t>
      </w:r>
      <w:r>
        <w:rPr>
          <w:color w:val="231F20"/>
        </w:rPr>
        <w:t>degli</w:t>
      </w:r>
      <w:r>
        <w:rPr>
          <w:color w:val="231F20"/>
          <w:spacing w:val="-6"/>
        </w:rPr>
        <w:t> </w:t>
      </w:r>
      <w:r>
        <w:rPr>
          <w:color w:val="231F20"/>
        </w:rPr>
        <w:t>artt. 7,</w:t>
      </w:r>
      <w:r>
        <w:rPr>
          <w:color w:val="231F20"/>
          <w:spacing w:val="14"/>
        </w:rPr>
        <w:t> </w:t>
      </w:r>
      <w:r>
        <w:rPr>
          <w:color w:val="231F20"/>
        </w:rPr>
        <w:t>13</w:t>
      </w:r>
      <w:r>
        <w:rPr>
          <w:color w:val="231F20"/>
          <w:spacing w:val="15"/>
        </w:rPr>
        <w:t> </w:t>
      </w:r>
      <w:r>
        <w:rPr>
          <w:color w:val="231F20"/>
        </w:rPr>
        <w:t>e</w:t>
      </w:r>
      <w:r>
        <w:rPr>
          <w:color w:val="231F20"/>
          <w:spacing w:val="15"/>
        </w:rPr>
        <w:t> </w:t>
      </w:r>
      <w:r>
        <w:rPr>
          <w:color w:val="231F20"/>
        </w:rPr>
        <w:t>28,</w:t>
      </w:r>
      <w:r>
        <w:rPr>
          <w:color w:val="231F20"/>
          <w:spacing w:val="14"/>
        </w:rPr>
        <w:t> </w:t>
      </w:r>
      <w:r>
        <w:rPr>
          <w:color w:val="231F20"/>
        </w:rPr>
        <w:t>regolamento</w:t>
      </w:r>
      <w:r>
        <w:rPr>
          <w:color w:val="231F20"/>
          <w:spacing w:val="15"/>
        </w:rPr>
        <w:t> </w:t>
      </w:r>
      <w:r>
        <w:rPr>
          <w:color w:val="231F20"/>
        </w:rPr>
        <w:t>(UE)</w:t>
      </w:r>
      <w:r>
        <w:rPr>
          <w:color w:val="231F20"/>
          <w:spacing w:val="15"/>
        </w:rPr>
        <w:t> </w:t>
      </w:r>
      <w:r>
        <w:rPr>
          <w:color w:val="231F20"/>
        </w:rPr>
        <w:t>904/2010</w:t>
      </w:r>
      <w:r>
        <w:rPr>
          <w:color w:val="231F20"/>
          <w:position w:val="8"/>
          <w:sz w:val="14"/>
        </w:rPr>
        <w:t>141</w:t>
      </w:r>
      <w:r>
        <w:rPr>
          <w:color w:val="231F20"/>
        </w:rPr>
        <w:t>,</w:t>
      </w:r>
      <w:r>
        <w:rPr>
          <w:color w:val="231F20"/>
          <w:spacing w:val="14"/>
        </w:rPr>
        <w:t> </w:t>
      </w:r>
      <w:r>
        <w:rPr>
          <w:color w:val="231F20"/>
        </w:rPr>
        <w:t>se</w:t>
      </w:r>
      <w:r>
        <w:rPr>
          <w:color w:val="231F20"/>
          <w:spacing w:val="15"/>
        </w:rPr>
        <w:t> </w:t>
      </w:r>
      <w:r>
        <w:rPr>
          <w:color w:val="231F20"/>
        </w:rPr>
        <w:t>era</w:t>
      </w:r>
      <w:r>
        <w:rPr>
          <w:color w:val="231F20"/>
          <w:spacing w:val="15"/>
        </w:rPr>
        <w:t> </w:t>
      </w:r>
      <w:r>
        <w:rPr>
          <w:color w:val="231F20"/>
        </w:rPr>
        <w:t>consentito</w:t>
      </w:r>
      <w:r>
        <w:rPr>
          <w:color w:val="231F20"/>
          <w:spacing w:val="15"/>
        </w:rPr>
        <w:t> </w:t>
      </w:r>
      <w:r>
        <w:rPr>
          <w:color w:val="231F20"/>
          <w:spacing w:val="-2"/>
        </w:rPr>
        <w:t>all’ammini-</w:t>
      </w:r>
    </w:p>
    <w:p>
      <w:pPr>
        <w:pStyle w:val="BodyText"/>
        <w:spacing w:before="42"/>
        <w:rPr>
          <w:sz w:val="20"/>
        </w:rPr>
      </w:pPr>
      <w:r>
        <w:rPr/>
        <mc:AlternateContent>
          <mc:Choice Requires="wps">
            <w:drawing>
              <wp:anchor distT="0" distB="0" distL="0" distR="0" allowOverlap="1" layoutInCell="1" locked="0" behindDoc="1" simplePos="0" relativeHeight="487650304">
                <wp:simplePos x="0" y="0"/>
                <wp:positionH relativeFrom="page">
                  <wp:posOffset>864000</wp:posOffset>
                </wp:positionH>
                <wp:positionV relativeFrom="paragraph">
                  <wp:posOffset>203422</wp:posOffset>
                </wp:positionV>
                <wp:extent cx="792480" cy="1270"/>
                <wp:effectExtent l="0" t="0" r="0" b="0"/>
                <wp:wrapTopAndBottom/>
                <wp:docPr id="199" name="Graphic 199"/>
                <wp:cNvGraphicFramePr>
                  <a:graphicFrameLocks/>
                </wp:cNvGraphicFramePr>
                <a:graphic>
                  <a:graphicData uri="http://schemas.microsoft.com/office/word/2010/wordprocessingShape">
                    <wps:wsp>
                      <wps:cNvPr id="199" name="Graphic 199"/>
                      <wps:cNvSpPr/>
                      <wps:spPr>
                        <a:xfrm>
                          <a:off x="0" y="0"/>
                          <a:ext cx="792480" cy="1270"/>
                        </a:xfrm>
                        <a:custGeom>
                          <a:avLst/>
                          <a:gdLst/>
                          <a:ahLst/>
                          <a:cxnLst/>
                          <a:rect l="l" t="t" r="r" b="b"/>
                          <a:pathLst>
                            <a:path w="792480" h="0">
                              <a:moveTo>
                                <a:pt x="0" y="0"/>
                              </a:moveTo>
                              <a:lnTo>
                                <a:pt x="791997"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shape style="position:absolute;margin-left:68.031502pt;margin-top:16.017500pt;width:62.4pt;height:.1pt;mso-position-horizontal-relative:page;mso-position-vertical-relative:paragraph;z-index:-15666176;mso-wrap-distance-left:0;mso-wrap-distance-right:0" id="docshape165" coordorigin="1361,320" coordsize="1248,0" path="m1361,320l2608,320e" filled="false" stroked="true" strokeweight=".5pt" strokecolor="#231f20">
                <v:path arrowok="t"/>
                <v:stroke dashstyle="solid"/>
                <w10:wrap type="topAndBottom"/>
              </v:shape>
            </w:pict>
          </mc:Fallback>
        </mc:AlternateContent>
      </w:r>
    </w:p>
    <w:p>
      <w:pPr>
        <w:spacing w:line="225" w:lineRule="auto" w:before="201"/>
        <w:ind w:left="100" w:right="175" w:firstLine="0"/>
        <w:jc w:val="both"/>
        <w:rPr>
          <w:sz w:val="19"/>
        </w:rPr>
      </w:pPr>
      <w:r>
        <w:rPr>
          <w:color w:val="231F20"/>
          <w:position w:val="6"/>
          <w:sz w:val="11"/>
        </w:rPr>
        <w:t>140</w:t>
      </w:r>
      <w:r>
        <w:rPr>
          <w:color w:val="231F20"/>
          <w:spacing w:val="77"/>
          <w:position w:val="6"/>
          <w:sz w:val="11"/>
        </w:rPr>
        <w:t> </w:t>
      </w:r>
      <w:r>
        <w:rPr>
          <w:color w:val="231F20"/>
          <w:sz w:val="19"/>
        </w:rPr>
        <w:t>Corte Giust. UE, sent. del 18 giugno 2020, C-276/18, </w:t>
      </w:r>
      <w:r>
        <w:rPr>
          <w:i/>
          <w:color w:val="231F20"/>
          <w:sz w:val="19"/>
        </w:rPr>
        <w:t>KrakVet Marek Batko c. Direzione</w:t>
      </w:r>
      <w:r>
        <w:rPr>
          <w:i/>
          <w:color w:val="231F20"/>
          <w:sz w:val="19"/>
        </w:rPr>
        <w:t> nazionale</w:t>
      </w:r>
      <w:r>
        <w:rPr>
          <w:i/>
          <w:color w:val="231F20"/>
          <w:spacing w:val="40"/>
          <w:sz w:val="19"/>
        </w:rPr>
        <w:t> </w:t>
      </w:r>
      <w:r>
        <w:rPr>
          <w:i/>
          <w:color w:val="231F20"/>
          <w:sz w:val="19"/>
        </w:rPr>
        <w:t>per</w:t>
      </w:r>
      <w:r>
        <w:rPr>
          <w:i/>
          <w:color w:val="231F20"/>
          <w:spacing w:val="40"/>
          <w:sz w:val="19"/>
        </w:rPr>
        <w:t> </w:t>
      </w:r>
      <w:r>
        <w:rPr>
          <w:i/>
          <w:color w:val="231F20"/>
          <w:sz w:val="19"/>
        </w:rPr>
        <w:t>i</w:t>
      </w:r>
      <w:r>
        <w:rPr>
          <w:i/>
          <w:color w:val="231F20"/>
          <w:spacing w:val="40"/>
          <w:sz w:val="19"/>
        </w:rPr>
        <w:t> </w:t>
      </w:r>
      <w:r>
        <w:rPr>
          <w:i/>
          <w:color w:val="231F20"/>
          <w:sz w:val="19"/>
        </w:rPr>
        <w:t>ricorsi</w:t>
      </w:r>
      <w:r>
        <w:rPr>
          <w:i/>
          <w:color w:val="231F20"/>
          <w:spacing w:val="40"/>
          <w:sz w:val="19"/>
        </w:rPr>
        <w:t> </w:t>
      </w:r>
      <w:r>
        <w:rPr>
          <w:i/>
          <w:color w:val="231F20"/>
          <w:sz w:val="19"/>
        </w:rPr>
        <w:t>in</w:t>
      </w:r>
      <w:r>
        <w:rPr>
          <w:i/>
          <w:color w:val="231F20"/>
          <w:spacing w:val="40"/>
          <w:sz w:val="19"/>
        </w:rPr>
        <w:t> </w:t>
      </w:r>
      <w:r>
        <w:rPr>
          <w:i/>
          <w:color w:val="231F20"/>
          <w:sz w:val="19"/>
        </w:rPr>
        <w:t>materia</w:t>
      </w:r>
      <w:r>
        <w:rPr>
          <w:i/>
          <w:color w:val="231F20"/>
          <w:spacing w:val="40"/>
          <w:sz w:val="19"/>
        </w:rPr>
        <w:t> </w:t>
      </w:r>
      <w:r>
        <w:rPr>
          <w:i/>
          <w:color w:val="231F20"/>
          <w:sz w:val="19"/>
        </w:rPr>
        <w:t>tributaria.</w:t>
      </w:r>
      <w:r>
        <w:rPr>
          <w:i/>
          <w:color w:val="231F20"/>
          <w:spacing w:val="40"/>
          <w:sz w:val="19"/>
        </w:rPr>
        <w:t> </w:t>
      </w:r>
      <w:r>
        <w:rPr>
          <w:color w:val="231F20"/>
          <w:sz w:val="19"/>
        </w:rPr>
        <w:t>Per</w:t>
      </w:r>
      <w:r>
        <w:rPr>
          <w:color w:val="231F20"/>
          <w:spacing w:val="40"/>
          <w:sz w:val="19"/>
        </w:rPr>
        <w:t> </w:t>
      </w:r>
      <w:r>
        <w:rPr>
          <w:color w:val="231F20"/>
          <w:sz w:val="19"/>
        </w:rPr>
        <w:t>un</w:t>
      </w:r>
      <w:r>
        <w:rPr>
          <w:color w:val="231F20"/>
          <w:spacing w:val="40"/>
          <w:sz w:val="19"/>
        </w:rPr>
        <w:t> </w:t>
      </w:r>
      <w:r>
        <w:rPr>
          <w:color w:val="231F20"/>
          <w:sz w:val="19"/>
        </w:rPr>
        <w:t>commento</w:t>
      </w:r>
      <w:r>
        <w:rPr>
          <w:color w:val="231F20"/>
          <w:spacing w:val="40"/>
          <w:sz w:val="19"/>
        </w:rPr>
        <w:t> </w:t>
      </w:r>
      <w:r>
        <w:rPr>
          <w:color w:val="231F20"/>
          <w:sz w:val="19"/>
        </w:rPr>
        <w:t>v.</w:t>
      </w:r>
      <w:r>
        <w:rPr>
          <w:color w:val="231F20"/>
          <w:spacing w:val="40"/>
          <w:sz w:val="19"/>
        </w:rPr>
        <w:t> </w:t>
      </w:r>
      <w:r>
        <w:rPr>
          <w:color w:val="231F20"/>
          <w:sz w:val="19"/>
        </w:rPr>
        <w:t>Ed. Traversa,</w:t>
      </w:r>
      <w:r>
        <w:rPr>
          <w:color w:val="231F20"/>
          <w:spacing w:val="40"/>
          <w:sz w:val="19"/>
        </w:rPr>
        <w:t> </w:t>
      </w:r>
      <w:r>
        <w:rPr>
          <w:i/>
          <w:color w:val="231F20"/>
          <w:sz w:val="19"/>
        </w:rPr>
        <w:t>KrakVet</w:t>
      </w:r>
      <w:r>
        <w:rPr>
          <w:i/>
          <w:color w:val="231F20"/>
          <w:sz w:val="19"/>
        </w:rPr>
        <w:t> Marek</w:t>
      </w:r>
      <w:r>
        <w:rPr>
          <w:i/>
          <w:color w:val="231F20"/>
          <w:spacing w:val="-3"/>
          <w:sz w:val="19"/>
        </w:rPr>
        <w:t> </w:t>
      </w:r>
      <w:r>
        <w:rPr>
          <w:i/>
          <w:color w:val="231F20"/>
          <w:sz w:val="19"/>
        </w:rPr>
        <w:t>Batko</w:t>
      </w:r>
      <w:r>
        <w:rPr>
          <w:i/>
          <w:color w:val="231F20"/>
          <w:spacing w:val="-3"/>
          <w:sz w:val="19"/>
        </w:rPr>
        <w:t> </w:t>
      </w:r>
      <w:r>
        <w:rPr>
          <w:i/>
          <w:color w:val="231F20"/>
          <w:sz w:val="19"/>
        </w:rPr>
        <w:t>(Case</w:t>
      </w:r>
      <w:r>
        <w:rPr>
          <w:i/>
          <w:color w:val="231F20"/>
          <w:spacing w:val="-3"/>
          <w:sz w:val="19"/>
        </w:rPr>
        <w:t> </w:t>
      </w:r>
      <w:r>
        <w:rPr>
          <w:i/>
          <w:color w:val="231F20"/>
          <w:sz w:val="19"/>
        </w:rPr>
        <w:t>C-276/18):</w:t>
      </w:r>
      <w:r>
        <w:rPr>
          <w:i/>
          <w:color w:val="231F20"/>
          <w:spacing w:val="-3"/>
          <w:sz w:val="19"/>
        </w:rPr>
        <w:t> </w:t>
      </w:r>
      <w:r>
        <w:rPr>
          <w:i/>
          <w:color w:val="231F20"/>
          <w:sz w:val="19"/>
        </w:rPr>
        <w:t>against</w:t>
      </w:r>
      <w:r>
        <w:rPr>
          <w:i/>
          <w:color w:val="231F20"/>
          <w:spacing w:val="-3"/>
          <w:sz w:val="19"/>
        </w:rPr>
        <w:t> </w:t>
      </w:r>
      <w:r>
        <w:rPr>
          <w:i/>
          <w:color w:val="231F20"/>
          <w:sz w:val="19"/>
        </w:rPr>
        <w:t>all</w:t>
      </w:r>
      <w:r>
        <w:rPr>
          <w:i/>
          <w:color w:val="231F20"/>
          <w:spacing w:val="-3"/>
          <w:sz w:val="19"/>
        </w:rPr>
        <w:t> </w:t>
      </w:r>
      <w:r>
        <w:rPr>
          <w:i/>
          <w:color w:val="231F20"/>
          <w:sz w:val="19"/>
        </w:rPr>
        <w:t>odds,</w:t>
      </w:r>
      <w:r>
        <w:rPr>
          <w:i/>
          <w:color w:val="231F20"/>
          <w:spacing w:val="-12"/>
          <w:sz w:val="19"/>
        </w:rPr>
        <w:t> </w:t>
      </w:r>
      <w:r>
        <w:rPr>
          <w:i/>
          <w:color w:val="231F20"/>
          <w:sz w:val="19"/>
        </w:rPr>
        <w:t>VAT</w:t>
      </w:r>
      <w:r>
        <w:rPr>
          <w:i/>
          <w:color w:val="231F20"/>
          <w:spacing w:val="-3"/>
          <w:sz w:val="19"/>
        </w:rPr>
        <w:t> </w:t>
      </w:r>
      <w:r>
        <w:rPr>
          <w:i/>
          <w:color w:val="231F20"/>
          <w:sz w:val="19"/>
        </w:rPr>
        <w:t>double</w:t>
      </w:r>
      <w:r>
        <w:rPr>
          <w:i/>
          <w:color w:val="231F20"/>
          <w:spacing w:val="-3"/>
          <w:sz w:val="19"/>
        </w:rPr>
        <w:t> </w:t>
      </w:r>
      <w:r>
        <w:rPr>
          <w:i/>
          <w:color w:val="231F20"/>
          <w:sz w:val="19"/>
        </w:rPr>
        <w:t>taxation</w:t>
      </w:r>
      <w:r>
        <w:rPr>
          <w:i/>
          <w:color w:val="231F20"/>
          <w:spacing w:val="-3"/>
          <w:sz w:val="19"/>
        </w:rPr>
        <w:t> </w:t>
      </w:r>
      <w:r>
        <w:rPr>
          <w:i/>
          <w:color w:val="231F20"/>
          <w:sz w:val="19"/>
        </w:rPr>
        <w:t>exists</w:t>
      </w:r>
      <w:r>
        <w:rPr>
          <w:i/>
          <w:color w:val="231F20"/>
          <w:spacing w:val="-3"/>
          <w:sz w:val="19"/>
        </w:rPr>
        <w:t> </w:t>
      </w:r>
      <w:r>
        <w:rPr>
          <w:i/>
          <w:color w:val="231F20"/>
          <w:sz w:val="19"/>
        </w:rPr>
        <w:t>in</w:t>
      </w:r>
      <w:r>
        <w:rPr>
          <w:i/>
          <w:color w:val="231F20"/>
          <w:spacing w:val="-3"/>
          <w:sz w:val="19"/>
        </w:rPr>
        <w:t> </w:t>
      </w:r>
      <w:r>
        <w:rPr>
          <w:i/>
          <w:color w:val="231F20"/>
          <w:sz w:val="19"/>
        </w:rPr>
        <w:t>the</w:t>
      </w:r>
      <w:r>
        <w:rPr>
          <w:i/>
          <w:color w:val="231F20"/>
          <w:spacing w:val="-3"/>
          <w:sz w:val="19"/>
        </w:rPr>
        <w:t> </w:t>
      </w:r>
      <w:r>
        <w:rPr>
          <w:i/>
          <w:color w:val="231F20"/>
          <w:sz w:val="19"/>
        </w:rPr>
        <w:t>EU</w:t>
      </w:r>
      <w:r>
        <w:rPr>
          <w:color w:val="231F20"/>
          <w:sz w:val="19"/>
        </w:rPr>
        <w:t>,</w:t>
      </w:r>
      <w:r>
        <w:rPr>
          <w:color w:val="231F20"/>
          <w:spacing w:val="-3"/>
          <w:sz w:val="19"/>
        </w:rPr>
        <w:t> </w:t>
      </w:r>
      <w:r>
        <w:rPr>
          <w:color w:val="231F20"/>
          <w:sz w:val="19"/>
        </w:rPr>
        <w:t>in</w:t>
      </w:r>
      <w:r>
        <w:rPr>
          <w:color w:val="231F20"/>
          <w:spacing w:val="-3"/>
          <w:sz w:val="19"/>
        </w:rPr>
        <w:t> </w:t>
      </w:r>
      <w:r>
        <w:rPr>
          <w:i/>
          <w:color w:val="231F20"/>
          <w:sz w:val="19"/>
        </w:rPr>
        <w:t>Kluwer</w:t>
      </w:r>
      <w:r>
        <w:rPr>
          <w:i/>
          <w:color w:val="231F20"/>
          <w:sz w:val="19"/>
        </w:rPr>
        <w:t> International Tax Blog</w:t>
      </w:r>
      <w:r>
        <w:rPr>
          <w:color w:val="231F20"/>
          <w:sz w:val="19"/>
        </w:rPr>
        <w:t>, 27 July 2020.</w:t>
      </w:r>
    </w:p>
    <w:p>
      <w:pPr>
        <w:spacing w:line="225" w:lineRule="auto" w:before="4"/>
        <w:ind w:left="100" w:right="176" w:firstLine="0"/>
        <w:jc w:val="both"/>
        <w:rPr>
          <w:sz w:val="19"/>
        </w:rPr>
      </w:pPr>
      <w:r>
        <w:rPr>
          <w:color w:val="231F20"/>
          <w:position w:val="6"/>
          <w:sz w:val="11"/>
        </w:rPr>
        <w:t>141</w:t>
      </w:r>
      <w:r>
        <w:rPr>
          <w:color w:val="231F20"/>
          <w:spacing w:val="40"/>
          <w:position w:val="6"/>
          <w:sz w:val="11"/>
        </w:rPr>
        <w:t> </w:t>
      </w:r>
      <w:r>
        <w:rPr>
          <w:color w:val="231F20"/>
          <w:sz w:val="19"/>
        </w:rPr>
        <w:t>L’art. 7, regolamento (UE) 904/2010 disciplina la procedura di richiesta di informazioni all’amministrazione</w:t>
      </w:r>
      <w:r>
        <w:rPr>
          <w:color w:val="231F20"/>
          <w:spacing w:val="4"/>
          <w:sz w:val="19"/>
        </w:rPr>
        <w:t> </w:t>
      </w:r>
      <w:r>
        <w:rPr>
          <w:color w:val="231F20"/>
          <w:sz w:val="19"/>
        </w:rPr>
        <w:t>finanziaria</w:t>
      </w:r>
      <w:r>
        <w:rPr>
          <w:color w:val="231F20"/>
          <w:spacing w:val="5"/>
          <w:sz w:val="19"/>
        </w:rPr>
        <w:t> </w:t>
      </w:r>
      <w:r>
        <w:rPr>
          <w:color w:val="231F20"/>
          <w:sz w:val="19"/>
        </w:rPr>
        <w:t>di</w:t>
      </w:r>
      <w:r>
        <w:rPr>
          <w:color w:val="231F20"/>
          <w:spacing w:val="5"/>
          <w:sz w:val="19"/>
        </w:rPr>
        <w:t> </w:t>
      </w:r>
      <w:r>
        <w:rPr>
          <w:color w:val="231F20"/>
          <w:sz w:val="19"/>
        </w:rPr>
        <w:t>un</w:t>
      </w:r>
      <w:r>
        <w:rPr>
          <w:color w:val="231F20"/>
          <w:spacing w:val="5"/>
          <w:sz w:val="19"/>
        </w:rPr>
        <w:t> </w:t>
      </w:r>
      <w:r>
        <w:rPr>
          <w:color w:val="231F20"/>
          <w:sz w:val="19"/>
        </w:rPr>
        <w:t>altro</w:t>
      </w:r>
      <w:r>
        <w:rPr>
          <w:color w:val="231F20"/>
          <w:spacing w:val="5"/>
          <w:sz w:val="19"/>
        </w:rPr>
        <w:t> </w:t>
      </w:r>
      <w:r>
        <w:rPr>
          <w:color w:val="231F20"/>
          <w:sz w:val="19"/>
        </w:rPr>
        <w:t>Stato</w:t>
      </w:r>
      <w:r>
        <w:rPr>
          <w:color w:val="231F20"/>
          <w:spacing w:val="5"/>
          <w:sz w:val="19"/>
        </w:rPr>
        <w:t> </w:t>
      </w:r>
      <w:r>
        <w:rPr>
          <w:color w:val="231F20"/>
          <w:sz w:val="19"/>
        </w:rPr>
        <w:t>membro;</w:t>
      </w:r>
      <w:r>
        <w:rPr>
          <w:color w:val="231F20"/>
          <w:spacing w:val="5"/>
          <w:sz w:val="19"/>
        </w:rPr>
        <w:t> </w:t>
      </w:r>
      <w:r>
        <w:rPr>
          <w:color w:val="231F20"/>
          <w:sz w:val="19"/>
        </w:rPr>
        <w:t>l’art.</w:t>
      </w:r>
      <w:r>
        <w:rPr>
          <w:color w:val="231F20"/>
          <w:spacing w:val="4"/>
          <w:sz w:val="19"/>
        </w:rPr>
        <w:t> </w:t>
      </w:r>
      <w:r>
        <w:rPr>
          <w:color w:val="231F20"/>
          <w:sz w:val="19"/>
        </w:rPr>
        <w:t>13</w:t>
      </w:r>
      <w:r>
        <w:rPr>
          <w:color w:val="231F20"/>
          <w:spacing w:val="5"/>
          <w:sz w:val="19"/>
        </w:rPr>
        <w:t> </w:t>
      </w:r>
      <w:r>
        <w:rPr>
          <w:color w:val="231F20"/>
          <w:sz w:val="19"/>
        </w:rPr>
        <w:t>regola</w:t>
      </w:r>
      <w:r>
        <w:rPr>
          <w:color w:val="231F20"/>
          <w:spacing w:val="5"/>
          <w:sz w:val="19"/>
        </w:rPr>
        <w:t> </w:t>
      </w:r>
      <w:r>
        <w:rPr>
          <w:color w:val="231F20"/>
          <w:sz w:val="19"/>
        </w:rPr>
        <w:t>invece</w:t>
      </w:r>
      <w:r>
        <w:rPr>
          <w:color w:val="231F20"/>
          <w:spacing w:val="5"/>
          <w:sz w:val="19"/>
        </w:rPr>
        <w:t> </w:t>
      </w:r>
      <w:r>
        <w:rPr>
          <w:color w:val="231F20"/>
          <w:sz w:val="19"/>
        </w:rPr>
        <w:t>la</w:t>
      </w:r>
      <w:r>
        <w:rPr>
          <w:color w:val="231F20"/>
          <w:spacing w:val="5"/>
          <w:sz w:val="19"/>
        </w:rPr>
        <w:t> </w:t>
      </w:r>
      <w:r>
        <w:rPr>
          <w:color w:val="231F20"/>
          <w:spacing w:val="-2"/>
          <w:sz w:val="19"/>
        </w:rPr>
        <w:t>procedura</w:t>
      </w:r>
    </w:p>
    <w:p>
      <w:pPr>
        <w:spacing w:after="0" w:line="225" w:lineRule="auto"/>
        <w:jc w:val="both"/>
        <w:rPr>
          <w:sz w:val="19"/>
        </w:rPr>
        <w:sectPr>
          <w:pgSz w:w="9640" w:h="13610"/>
          <w:pgMar w:header="0" w:footer="625" w:top="1260" w:bottom="820" w:left="1260" w:right="1240"/>
        </w:sectPr>
      </w:pPr>
    </w:p>
    <w:p>
      <w:pPr>
        <w:pStyle w:val="BodyText"/>
        <w:spacing w:line="225" w:lineRule="auto" w:before="117"/>
        <w:ind w:left="157" w:right="118"/>
        <w:jc w:val="both"/>
      </w:pPr>
      <w:r>
        <w:rPr/>
        <mc:AlternateContent>
          <mc:Choice Requires="wps">
            <w:drawing>
              <wp:anchor distT="0" distB="0" distL="0" distR="0" allowOverlap="1" layoutInCell="1" locked="0" behindDoc="0" simplePos="0" relativeHeight="15792128">
                <wp:simplePos x="0" y="0"/>
                <wp:positionH relativeFrom="page">
                  <wp:posOffset>5608609</wp:posOffset>
                </wp:positionH>
                <wp:positionV relativeFrom="page">
                  <wp:posOffset>2376001</wp:posOffset>
                </wp:positionV>
                <wp:extent cx="511809" cy="2412365"/>
                <wp:effectExtent l="0" t="0" r="0" b="0"/>
                <wp:wrapNone/>
                <wp:docPr id="200" name="Group 200"/>
                <wp:cNvGraphicFramePr>
                  <a:graphicFrameLocks/>
                </wp:cNvGraphicFramePr>
                <a:graphic>
                  <a:graphicData uri="http://schemas.microsoft.com/office/word/2010/wordprocessingGroup">
                    <wpg:wgp>
                      <wpg:cNvPr id="200" name="Group 200"/>
                      <wpg:cNvGrpSpPr/>
                      <wpg:grpSpPr>
                        <a:xfrm>
                          <a:off x="0" y="0"/>
                          <a:ext cx="511809" cy="2412365"/>
                          <a:chExt cx="511809" cy="2412365"/>
                        </a:xfrm>
                      </wpg:grpSpPr>
                      <wps:wsp>
                        <wps:cNvPr id="201" name="Graphic 201"/>
                        <wps:cNvSpPr/>
                        <wps:spPr>
                          <a:xfrm>
                            <a:off x="7393" y="3"/>
                            <a:ext cx="504190" cy="360045"/>
                          </a:xfrm>
                          <a:custGeom>
                            <a:avLst/>
                            <a:gdLst/>
                            <a:ahLst/>
                            <a:cxnLst/>
                            <a:rect l="l" t="t" r="r" b="b"/>
                            <a:pathLst>
                              <a:path w="504190" h="360045">
                                <a:moveTo>
                                  <a:pt x="503999" y="0"/>
                                </a:moveTo>
                                <a:lnTo>
                                  <a:pt x="0" y="0"/>
                                </a:lnTo>
                                <a:lnTo>
                                  <a:pt x="0" y="359994"/>
                                </a:lnTo>
                                <a:lnTo>
                                  <a:pt x="503999" y="359994"/>
                                </a:lnTo>
                                <a:lnTo>
                                  <a:pt x="503999" y="0"/>
                                </a:lnTo>
                                <a:close/>
                              </a:path>
                            </a:pathLst>
                          </a:custGeom>
                          <a:solidFill>
                            <a:srgbClr val="939598"/>
                          </a:solidFill>
                        </wps:spPr>
                        <wps:bodyPr wrap="square" lIns="0" tIns="0" rIns="0" bIns="0" rtlCol="0">
                          <a:prstTxWarp prst="textNoShape">
                            <a:avLst/>
                          </a:prstTxWarp>
                          <a:noAutofit/>
                        </wps:bodyPr>
                      </wps:wsp>
                      <wps:wsp>
                        <wps:cNvPr id="202" name="Graphic 202"/>
                        <wps:cNvSpPr/>
                        <wps:spPr>
                          <a:xfrm>
                            <a:off x="6350" y="0"/>
                            <a:ext cx="1270" cy="2412365"/>
                          </a:xfrm>
                          <a:custGeom>
                            <a:avLst/>
                            <a:gdLst/>
                            <a:ahLst/>
                            <a:cxnLst/>
                            <a:rect l="l" t="t" r="r" b="b"/>
                            <a:pathLst>
                              <a:path w="0" h="2412365">
                                <a:moveTo>
                                  <a:pt x="0" y="0"/>
                                </a:moveTo>
                                <a:lnTo>
                                  <a:pt x="0" y="2411996"/>
                                </a:lnTo>
                              </a:path>
                            </a:pathLst>
                          </a:custGeom>
                          <a:ln w="12700">
                            <a:solidFill>
                              <a:srgbClr val="939598"/>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441.622803pt;margin-top:187.0867pt;width:40.3pt;height:189.95pt;mso-position-horizontal-relative:page;mso-position-vertical-relative:page;z-index:15792128" id="docshapegroup166" coordorigin="8832,3742" coordsize="806,3799">
                <v:rect style="position:absolute;left:8844;top:3741;width:794;height:567" id="docshape167" filled="true" fillcolor="#939598" stroked="false">
                  <v:fill type="solid"/>
                </v:rect>
                <v:line style="position:absolute" from="8842,3742" to="8842,7540" stroked="true" strokeweight="1pt" strokecolor="#939598">
                  <v:stroke dashstyle="solid"/>
                </v:line>
                <w10:wrap type="none"/>
              </v:group>
            </w:pict>
          </mc:Fallback>
        </mc:AlternateContent>
      </w:r>
      <w:r>
        <w:rPr/>
        <mc:AlternateContent>
          <mc:Choice Requires="wps">
            <w:drawing>
              <wp:anchor distT="0" distB="0" distL="0" distR="0" allowOverlap="1" layoutInCell="1" locked="0" behindDoc="0" simplePos="0" relativeHeight="15792640">
                <wp:simplePos x="0" y="0"/>
                <wp:positionH relativeFrom="page">
                  <wp:posOffset>5635147</wp:posOffset>
                </wp:positionH>
                <wp:positionV relativeFrom="page">
                  <wp:posOffset>2795300</wp:posOffset>
                </wp:positionV>
                <wp:extent cx="299720" cy="1995805"/>
                <wp:effectExtent l="0" t="0" r="0" b="0"/>
                <wp:wrapNone/>
                <wp:docPr id="203" name="Textbox 203"/>
                <wp:cNvGraphicFramePr>
                  <a:graphicFrameLocks/>
                </wp:cNvGraphicFramePr>
                <a:graphic>
                  <a:graphicData uri="http://schemas.microsoft.com/office/word/2010/wordprocessingShape">
                    <wps:wsp>
                      <wps:cNvPr id="203" name="Textbox 203"/>
                      <wps:cNvSpPr txBox="1"/>
                      <wps:spPr>
                        <a:xfrm>
                          <a:off x="0" y="0"/>
                          <a:ext cx="299720" cy="1995805"/>
                        </a:xfrm>
                        <a:prstGeom prst="rect">
                          <a:avLst/>
                        </a:prstGeom>
                      </wps:spPr>
                      <wps:txbx>
                        <w:txbxContent>
                          <w:p>
                            <w:pPr>
                              <w:spacing w:before="20"/>
                              <w:ind w:left="20" w:right="0" w:firstLine="0"/>
                              <w:jc w:val="left"/>
                              <w:rPr>
                                <w:rFonts w:ascii="Minion Pro"/>
                                <w:sz w:val="32"/>
                              </w:rPr>
                            </w:pPr>
                            <w:r>
                              <w:rPr>
                                <w:rFonts w:ascii="Minion Pro"/>
                                <w:color w:val="231F20"/>
                                <w:sz w:val="32"/>
                              </w:rPr>
                              <w:t>Commented</w:t>
                            </w:r>
                            <w:r>
                              <w:rPr>
                                <w:rFonts w:ascii="Minion Pro"/>
                                <w:color w:val="231F20"/>
                                <w:spacing w:val="-10"/>
                                <w:sz w:val="32"/>
                              </w:rPr>
                              <w:t> </w:t>
                            </w:r>
                            <w:r>
                              <w:rPr>
                                <w:rFonts w:ascii="Minion Pro"/>
                                <w:color w:val="231F20"/>
                                <w:spacing w:val="-2"/>
                                <w:sz w:val="32"/>
                              </w:rPr>
                              <w:t>documents</w:t>
                            </w:r>
                          </w:p>
                        </w:txbxContent>
                      </wps:txbx>
                      <wps:bodyPr wrap="square" lIns="0" tIns="0" rIns="0" bIns="0" rtlCol="0" vert="vert">
                        <a:noAutofit/>
                      </wps:bodyPr>
                    </wps:wsp>
                  </a:graphicData>
                </a:graphic>
              </wp:anchor>
            </w:drawing>
          </mc:Choice>
          <mc:Fallback>
            <w:pict>
              <v:shape style="position:absolute;margin-left:443.712402pt;margin-top:220.102402pt;width:23.6pt;height:157.15pt;mso-position-horizontal-relative:page;mso-position-vertical-relative:page;z-index:15792640" type="#_x0000_t202" id="docshape168" filled="false" stroked="false">
                <v:textbox inset="0,0,0,0" style="layout-flow:vertical">
                  <w:txbxContent>
                    <w:p>
                      <w:pPr>
                        <w:spacing w:before="20"/>
                        <w:ind w:left="20" w:right="0" w:firstLine="0"/>
                        <w:jc w:val="left"/>
                        <w:rPr>
                          <w:rFonts w:ascii="Minion Pro"/>
                          <w:sz w:val="32"/>
                        </w:rPr>
                      </w:pPr>
                      <w:r>
                        <w:rPr>
                          <w:rFonts w:ascii="Minion Pro"/>
                          <w:color w:val="231F20"/>
                          <w:sz w:val="32"/>
                        </w:rPr>
                        <w:t>Commented</w:t>
                      </w:r>
                      <w:r>
                        <w:rPr>
                          <w:rFonts w:ascii="Minion Pro"/>
                          <w:color w:val="231F20"/>
                          <w:spacing w:val="-10"/>
                          <w:sz w:val="32"/>
                        </w:rPr>
                        <w:t> </w:t>
                      </w:r>
                      <w:r>
                        <w:rPr>
                          <w:rFonts w:ascii="Minion Pro"/>
                          <w:color w:val="231F20"/>
                          <w:spacing w:val="-2"/>
                          <w:sz w:val="32"/>
                        </w:rPr>
                        <w:t>documents</w:t>
                      </w:r>
                    </w:p>
                  </w:txbxContent>
                </v:textbox>
                <w10:wrap type="none"/>
              </v:shape>
            </w:pict>
          </mc:Fallback>
        </mc:AlternateContent>
      </w:r>
      <w:r>
        <w:rPr>
          <w:color w:val="231F20"/>
        </w:rPr>
        <w:t>strazione</w:t>
      </w:r>
      <w:r>
        <w:rPr>
          <w:color w:val="231F20"/>
          <w:spacing w:val="-3"/>
        </w:rPr>
        <w:t> </w:t>
      </w:r>
      <w:r>
        <w:rPr>
          <w:color w:val="231F20"/>
        </w:rPr>
        <w:t>finanziaria</w:t>
      </w:r>
      <w:r>
        <w:rPr>
          <w:color w:val="231F20"/>
          <w:spacing w:val="-3"/>
        </w:rPr>
        <w:t> </w:t>
      </w:r>
      <w:r>
        <w:rPr>
          <w:color w:val="231F20"/>
        </w:rPr>
        <w:t>di</w:t>
      </w:r>
      <w:r>
        <w:rPr>
          <w:color w:val="231F20"/>
          <w:spacing w:val="-3"/>
        </w:rPr>
        <w:t> </w:t>
      </w:r>
      <w:r>
        <w:rPr>
          <w:color w:val="231F20"/>
        </w:rPr>
        <w:t>uno</w:t>
      </w:r>
      <w:r>
        <w:rPr>
          <w:color w:val="231F20"/>
          <w:spacing w:val="-3"/>
        </w:rPr>
        <w:t> </w:t>
      </w:r>
      <w:r>
        <w:rPr>
          <w:color w:val="231F20"/>
        </w:rPr>
        <w:t>Stato</w:t>
      </w:r>
      <w:r>
        <w:rPr>
          <w:color w:val="231F20"/>
          <w:spacing w:val="-3"/>
        </w:rPr>
        <w:t> </w:t>
      </w:r>
      <w:r>
        <w:rPr>
          <w:color w:val="231F20"/>
        </w:rPr>
        <w:t>membro</w:t>
      </w:r>
      <w:r>
        <w:rPr>
          <w:color w:val="231F20"/>
          <w:spacing w:val="-3"/>
        </w:rPr>
        <w:t> </w:t>
      </w:r>
      <w:r>
        <w:rPr>
          <w:color w:val="231F20"/>
        </w:rPr>
        <w:t>assoggettare</w:t>
      </w:r>
      <w:r>
        <w:rPr>
          <w:color w:val="231F20"/>
          <w:spacing w:val="-3"/>
        </w:rPr>
        <w:t> </w:t>
      </w:r>
      <w:r>
        <w:rPr>
          <w:color w:val="231F20"/>
        </w:rPr>
        <w:t>unilateralmente</w:t>
      </w:r>
      <w:r>
        <w:rPr>
          <w:color w:val="231F20"/>
          <w:spacing w:val="-3"/>
        </w:rPr>
        <w:t> </w:t>
      </w:r>
      <w:r>
        <w:rPr>
          <w:color w:val="231F20"/>
        </w:rPr>
        <w:t>ad IVA</w:t>
      </w:r>
      <w:r>
        <w:rPr>
          <w:color w:val="231F20"/>
          <w:spacing w:val="-1"/>
        </w:rPr>
        <w:t> </w:t>
      </w:r>
      <w:r>
        <w:rPr>
          <w:color w:val="231F20"/>
        </w:rPr>
        <w:t>delle</w:t>
      </w:r>
      <w:r>
        <w:rPr>
          <w:color w:val="231F20"/>
          <w:spacing w:val="-1"/>
        </w:rPr>
        <w:t> </w:t>
      </w:r>
      <w:r>
        <w:rPr>
          <w:color w:val="231F20"/>
        </w:rPr>
        <w:t>operazioni</w:t>
      </w:r>
      <w:r>
        <w:rPr>
          <w:color w:val="231F20"/>
          <w:spacing w:val="-1"/>
        </w:rPr>
        <w:t> </w:t>
      </w:r>
      <w:r>
        <w:rPr>
          <w:color w:val="231F20"/>
        </w:rPr>
        <w:t>imponibili</w:t>
      </w:r>
      <w:r>
        <w:rPr>
          <w:color w:val="231F20"/>
          <w:spacing w:val="-1"/>
        </w:rPr>
        <w:t> </w:t>
      </w:r>
      <w:r>
        <w:rPr>
          <w:color w:val="231F20"/>
        </w:rPr>
        <w:t>che</w:t>
      </w:r>
      <w:r>
        <w:rPr>
          <w:color w:val="231F20"/>
          <w:spacing w:val="-1"/>
        </w:rPr>
        <w:t> </w:t>
      </w:r>
      <w:r>
        <w:rPr>
          <w:color w:val="231F20"/>
        </w:rPr>
        <w:t>erano</w:t>
      </w:r>
      <w:r>
        <w:rPr>
          <w:color w:val="231F20"/>
          <w:spacing w:val="-1"/>
        </w:rPr>
        <w:t> </w:t>
      </w:r>
      <w:r>
        <w:rPr>
          <w:color w:val="231F20"/>
        </w:rPr>
        <w:t>già</w:t>
      </w:r>
      <w:r>
        <w:rPr>
          <w:color w:val="231F20"/>
          <w:spacing w:val="-1"/>
        </w:rPr>
        <w:t> </w:t>
      </w:r>
      <w:r>
        <w:rPr>
          <w:color w:val="231F20"/>
        </w:rPr>
        <w:t>state</w:t>
      </w:r>
      <w:r>
        <w:rPr>
          <w:color w:val="231F20"/>
          <w:spacing w:val="-1"/>
        </w:rPr>
        <w:t> </w:t>
      </w:r>
      <w:r>
        <w:rPr>
          <w:color w:val="231F20"/>
        </w:rPr>
        <w:t>assoggettate</w:t>
      </w:r>
      <w:r>
        <w:rPr>
          <w:color w:val="231F20"/>
          <w:spacing w:val="-1"/>
        </w:rPr>
        <w:t> </w:t>
      </w:r>
      <w:r>
        <w:rPr>
          <w:color w:val="231F20"/>
        </w:rPr>
        <w:t>ad</w:t>
      </w:r>
      <w:r>
        <w:rPr>
          <w:color w:val="231F20"/>
          <w:spacing w:val="-1"/>
        </w:rPr>
        <w:t> </w:t>
      </w:r>
      <w:r>
        <w:rPr>
          <w:color w:val="231F20"/>
        </w:rPr>
        <w:t>IVA</w:t>
      </w:r>
      <w:r>
        <w:rPr>
          <w:color w:val="231F20"/>
          <w:spacing w:val="-1"/>
        </w:rPr>
        <w:t> </w:t>
      </w:r>
      <w:r>
        <w:rPr>
          <w:color w:val="231F20"/>
        </w:rPr>
        <w:t>in un altro Stato membro.</w:t>
      </w:r>
    </w:p>
    <w:p>
      <w:pPr>
        <w:pStyle w:val="BodyText"/>
        <w:spacing w:before="35"/>
      </w:pPr>
    </w:p>
    <w:p>
      <w:pPr>
        <w:pStyle w:val="ListParagraph"/>
        <w:numPr>
          <w:ilvl w:val="2"/>
          <w:numId w:val="4"/>
        </w:numPr>
        <w:tabs>
          <w:tab w:pos="757" w:val="left" w:leader="none"/>
        </w:tabs>
        <w:spacing w:line="230" w:lineRule="auto" w:before="0" w:after="0"/>
        <w:ind w:left="157" w:right="478" w:firstLine="0"/>
        <w:jc w:val="left"/>
        <w:rPr>
          <w:i/>
          <w:sz w:val="24"/>
        </w:rPr>
      </w:pPr>
      <w:r>
        <w:rPr>
          <w:i/>
          <w:color w:val="231F20"/>
          <w:sz w:val="24"/>
        </w:rPr>
        <w:t>Il</w:t>
      </w:r>
      <w:r>
        <w:rPr>
          <w:i/>
          <w:color w:val="231F20"/>
          <w:spacing w:val="-10"/>
          <w:sz w:val="24"/>
        </w:rPr>
        <w:t> </w:t>
      </w:r>
      <w:r>
        <w:rPr>
          <w:i/>
          <w:color w:val="231F20"/>
          <w:sz w:val="24"/>
        </w:rPr>
        <w:t>dovere</w:t>
      </w:r>
      <w:r>
        <w:rPr>
          <w:i/>
          <w:color w:val="231F20"/>
          <w:spacing w:val="-10"/>
          <w:sz w:val="24"/>
        </w:rPr>
        <w:t> </w:t>
      </w:r>
      <w:r>
        <w:rPr>
          <w:i/>
          <w:color w:val="231F20"/>
          <w:sz w:val="24"/>
        </w:rPr>
        <w:t>di</w:t>
      </w:r>
      <w:r>
        <w:rPr>
          <w:i/>
          <w:color w:val="231F20"/>
          <w:spacing w:val="-10"/>
          <w:sz w:val="24"/>
        </w:rPr>
        <w:t> </w:t>
      </w:r>
      <w:r>
        <w:rPr>
          <w:i/>
          <w:color w:val="231F20"/>
          <w:sz w:val="24"/>
        </w:rPr>
        <w:t>cooperazione</w:t>
      </w:r>
      <w:r>
        <w:rPr>
          <w:i/>
          <w:color w:val="231F20"/>
          <w:spacing w:val="-10"/>
          <w:sz w:val="24"/>
        </w:rPr>
        <w:t> </w:t>
      </w:r>
      <w:r>
        <w:rPr>
          <w:i/>
          <w:color w:val="231F20"/>
          <w:sz w:val="24"/>
        </w:rPr>
        <w:t>fra</w:t>
      </w:r>
      <w:r>
        <w:rPr>
          <w:i/>
          <w:color w:val="231F20"/>
          <w:spacing w:val="-10"/>
          <w:sz w:val="24"/>
        </w:rPr>
        <w:t> </w:t>
      </w:r>
      <w:r>
        <w:rPr>
          <w:i/>
          <w:color w:val="231F20"/>
          <w:sz w:val="24"/>
        </w:rPr>
        <w:t>amministrazioni</w:t>
      </w:r>
      <w:r>
        <w:rPr>
          <w:i/>
          <w:color w:val="231F20"/>
          <w:spacing w:val="-10"/>
          <w:sz w:val="24"/>
        </w:rPr>
        <w:t> </w:t>
      </w:r>
      <w:r>
        <w:rPr>
          <w:i/>
          <w:color w:val="231F20"/>
          <w:sz w:val="24"/>
        </w:rPr>
        <w:t>non</w:t>
      </w:r>
      <w:r>
        <w:rPr>
          <w:i/>
          <w:color w:val="231F20"/>
          <w:spacing w:val="-10"/>
          <w:sz w:val="24"/>
        </w:rPr>
        <w:t> </w:t>
      </w:r>
      <w:r>
        <w:rPr>
          <w:i/>
          <w:color w:val="231F20"/>
          <w:sz w:val="24"/>
        </w:rPr>
        <w:t>include</w:t>
      </w:r>
      <w:r>
        <w:rPr>
          <w:i/>
          <w:color w:val="231F20"/>
          <w:spacing w:val="-10"/>
          <w:sz w:val="24"/>
        </w:rPr>
        <w:t> </w:t>
      </w:r>
      <w:r>
        <w:rPr>
          <w:i/>
          <w:color w:val="231F20"/>
          <w:sz w:val="24"/>
        </w:rPr>
        <w:t>l’obbligo</w:t>
      </w:r>
      <w:r>
        <w:rPr>
          <w:i/>
          <w:color w:val="231F20"/>
          <w:sz w:val="24"/>
        </w:rPr>
        <w:t> di evitare una doppia imposizione IVA della stessa operazione imponibile</w:t>
      </w:r>
    </w:p>
    <w:p>
      <w:pPr>
        <w:pStyle w:val="BodyText"/>
        <w:spacing w:line="225" w:lineRule="auto" w:before="172"/>
        <w:ind w:left="157" w:right="117"/>
        <w:jc w:val="both"/>
      </w:pPr>
      <w:r>
        <w:rPr>
          <w:color w:val="231F20"/>
        </w:rPr>
        <w:t>A</w:t>
      </w:r>
      <w:r>
        <w:rPr>
          <w:color w:val="231F20"/>
          <w:spacing w:val="-8"/>
        </w:rPr>
        <w:t> </w:t>
      </w:r>
      <w:r>
        <w:rPr>
          <w:color w:val="231F20"/>
        </w:rPr>
        <w:t>tale</w:t>
      </w:r>
      <w:r>
        <w:rPr>
          <w:color w:val="231F20"/>
          <w:spacing w:val="-8"/>
        </w:rPr>
        <w:t> </w:t>
      </w:r>
      <w:r>
        <w:rPr>
          <w:color w:val="231F20"/>
        </w:rPr>
        <w:t>questione</w:t>
      </w:r>
      <w:r>
        <w:rPr>
          <w:color w:val="231F20"/>
          <w:spacing w:val="-8"/>
        </w:rPr>
        <w:t> </w:t>
      </w:r>
      <w:r>
        <w:rPr>
          <w:color w:val="231F20"/>
        </w:rPr>
        <w:t>di</w:t>
      </w:r>
      <w:r>
        <w:rPr>
          <w:color w:val="231F20"/>
          <w:spacing w:val="-8"/>
        </w:rPr>
        <w:t> </w:t>
      </w:r>
      <w:r>
        <w:rPr>
          <w:color w:val="231F20"/>
        </w:rPr>
        <w:t>principio</w:t>
      </w:r>
      <w:r>
        <w:rPr>
          <w:color w:val="231F20"/>
          <w:spacing w:val="-8"/>
        </w:rPr>
        <w:t> </w:t>
      </w:r>
      <w:r>
        <w:rPr>
          <w:color w:val="231F20"/>
        </w:rPr>
        <w:t>di</w:t>
      </w:r>
      <w:r>
        <w:rPr>
          <w:color w:val="231F20"/>
          <w:spacing w:val="-8"/>
        </w:rPr>
        <w:t> </w:t>
      </w:r>
      <w:r>
        <w:rPr>
          <w:color w:val="231F20"/>
        </w:rPr>
        <w:t>grande</w:t>
      </w:r>
      <w:r>
        <w:rPr>
          <w:color w:val="231F20"/>
          <w:spacing w:val="-8"/>
        </w:rPr>
        <w:t> </w:t>
      </w:r>
      <w:r>
        <w:rPr>
          <w:color w:val="231F20"/>
        </w:rPr>
        <w:t>rilevanza</w:t>
      </w:r>
      <w:r>
        <w:rPr>
          <w:color w:val="231F20"/>
          <w:spacing w:val="-8"/>
        </w:rPr>
        <w:t> </w:t>
      </w:r>
      <w:r>
        <w:rPr>
          <w:color w:val="231F20"/>
        </w:rPr>
        <w:t>in</w:t>
      </w:r>
      <w:r>
        <w:rPr>
          <w:color w:val="231F20"/>
          <w:spacing w:val="-8"/>
        </w:rPr>
        <w:t> </w:t>
      </w:r>
      <w:r>
        <w:rPr>
          <w:color w:val="231F20"/>
        </w:rPr>
        <w:t>quanto</w:t>
      </w:r>
      <w:r>
        <w:rPr>
          <w:color w:val="231F20"/>
          <w:spacing w:val="-8"/>
        </w:rPr>
        <w:t> </w:t>
      </w:r>
      <w:r>
        <w:rPr>
          <w:color w:val="231F20"/>
        </w:rPr>
        <w:t>si</w:t>
      </w:r>
      <w:r>
        <w:rPr>
          <w:color w:val="231F20"/>
          <w:spacing w:val="-8"/>
        </w:rPr>
        <w:t> </w:t>
      </w:r>
      <w:r>
        <w:rPr>
          <w:color w:val="231F20"/>
        </w:rPr>
        <w:t>trattava</w:t>
      </w:r>
      <w:r>
        <w:rPr>
          <w:color w:val="231F20"/>
          <w:spacing w:val="-8"/>
        </w:rPr>
        <w:t> </w:t>
      </w:r>
      <w:r>
        <w:rPr>
          <w:color w:val="231F20"/>
        </w:rPr>
        <w:t>in</w:t>
      </w:r>
      <w:r>
        <w:rPr>
          <w:color w:val="231F20"/>
          <w:spacing w:val="-8"/>
        </w:rPr>
        <w:t> </w:t>
      </w:r>
      <w:r>
        <w:rPr>
          <w:color w:val="231F20"/>
        </w:rPr>
        <w:t>so- stanza della liceità di una doppia imposizione IVA all’interno </w:t>
      </w:r>
      <w:r>
        <w:rPr>
          <w:color w:val="231F20"/>
        </w:rPr>
        <w:t>dell’Unione europea,</w:t>
      </w:r>
      <w:r>
        <w:rPr>
          <w:color w:val="231F20"/>
          <w:spacing w:val="-4"/>
        </w:rPr>
        <w:t> </w:t>
      </w:r>
      <w:r>
        <w:rPr>
          <w:color w:val="231F20"/>
        </w:rPr>
        <w:t>la</w:t>
      </w:r>
      <w:r>
        <w:rPr>
          <w:color w:val="231F20"/>
          <w:spacing w:val="-4"/>
        </w:rPr>
        <w:t> </w:t>
      </w:r>
      <w:r>
        <w:rPr>
          <w:color w:val="231F20"/>
        </w:rPr>
        <w:t>Corte</w:t>
      </w:r>
      <w:r>
        <w:rPr>
          <w:color w:val="231F20"/>
          <w:spacing w:val="-4"/>
        </w:rPr>
        <w:t> </w:t>
      </w:r>
      <w:r>
        <w:rPr>
          <w:color w:val="231F20"/>
        </w:rPr>
        <w:t>di</w:t>
      </w:r>
      <w:r>
        <w:rPr>
          <w:color w:val="231F20"/>
          <w:spacing w:val="-4"/>
        </w:rPr>
        <w:t> </w:t>
      </w:r>
      <w:r>
        <w:rPr>
          <w:color w:val="231F20"/>
        </w:rPr>
        <w:t>giustizia</w:t>
      </w:r>
      <w:r>
        <w:rPr>
          <w:color w:val="231F20"/>
          <w:spacing w:val="-4"/>
        </w:rPr>
        <w:t> </w:t>
      </w:r>
      <w:r>
        <w:rPr>
          <w:color w:val="231F20"/>
        </w:rPr>
        <w:t>rispondeva</w:t>
      </w:r>
      <w:r>
        <w:rPr>
          <w:color w:val="231F20"/>
          <w:spacing w:val="-4"/>
        </w:rPr>
        <w:t> </w:t>
      </w:r>
      <w:r>
        <w:rPr>
          <w:color w:val="231F20"/>
        </w:rPr>
        <w:t>mettendo</w:t>
      </w:r>
      <w:r>
        <w:rPr>
          <w:color w:val="231F20"/>
          <w:spacing w:val="-4"/>
        </w:rPr>
        <w:t> </w:t>
      </w:r>
      <w:r>
        <w:rPr>
          <w:color w:val="231F20"/>
        </w:rPr>
        <w:t>in</w:t>
      </w:r>
      <w:r>
        <w:rPr>
          <w:color w:val="231F20"/>
          <w:spacing w:val="-4"/>
        </w:rPr>
        <w:t> </w:t>
      </w:r>
      <w:r>
        <w:rPr>
          <w:color w:val="231F20"/>
        </w:rPr>
        <w:t>evidenza</w:t>
      </w:r>
      <w:r>
        <w:rPr>
          <w:color w:val="231F20"/>
          <w:spacing w:val="-4"/>
        </w:rPr>
        <w:t> </w:t>
      </w:r>
      <w:r>
        <w:rPr>
          <w:color w:val="231F20"/>
        </w:rPr>
        <w:t>i</w:t>
      </w:r>
      <w:r>
        <w:rPr>
          <w:color w:val="231F20"/>
          <w:spacing w:val="-4"/>
        </w:rPr>
        <w:t> </w:t>
      </w:r>
      <w:r>
        <w:rPr>
          <w:color w:val="231F20"/>
        </w:rPr>
        <w:t>limiti,</w:t>
      </w:r>
      <w:r>
        <w:rPr>
          <w:color w:val="231F20"/>
          <w:spacing w:val="-4"/>
        </w:rPr>
        <w:t> </w:t>
      </w:r>
      <w:r>
        <w:rPr>
          <w:color w:val="231F20"/>
        </w:rPr>
        <w:t>per così dire, strutturali del regolamento (UE) 904/2010.</w:t>
      </w:r>
      <w:r>
        <w:rPr>
          <w:color w:val="231F20"/>
          <w:spacing w:val="-6"/>
        </w:rPr>
        <w:t> </w:t>
      </w:r>
      <w:r>
        <w:rPr>
          <w:color w:val="231F20"/>
        </w:rPr>
        <w:t>Tale atto legislativo dell’Unione, infatti, se da una parte consente alle amministrazioni finan- ziarie degli Stati membri di scambiare le informazioni che esse reputano necessarie ai fini dell’accertamento dell’IVA dovuta sul proprio territorio, d‘altra parte non contiene, per la Corte di giustizia, alcuna regola circa la competenza</w:t>
      </w:r>
      <w:r>
        <w:rPr>
          <w:color w:val="231F20"/>
          <w:spacing w:val="-5"/>
        </w:rPr>
        <w:t> </w:t>
      </w:r>
      <w:r>
        <w:rPr>
          <w:color w:val="231F20"/>
        </w:rPr>
        <w:t>di</w:t>
      </w:r>
      <w:r>
        <w:rPr>
          <w:color w:val="231F20"/>
          <w:spacing w:val="-5"/>
        </w:rPr>
        <w:t> </w:t>
      </w:r>
      <w:r>
        <w:rPr>
          <w:color w:val="231F20"/>
        </w:rPr>
        <w:t>tali</w:t>
      </w:r>
      <w:r>
        <w:rPr>
          <w:color w:val="231F20"/>
          <w:spacing w:val="-5"/>
        </w:rPr>
        <w:t> </w:t>
      </w:r>
      <w:r>
        <w:rPr>
          <w:color w:val="231F20"/>
        </w:rPr>
        <w:t>medesime</w:t>
      </w:r>
      <w:r>
        <w:rPr>
          <w:color w:val="231F20"/>
          <w:spacing w:val="-5"/>
        </w:rPr>
        <w:t> </w:t>
      </w:r>
      <w:r>
        <w:rPr>
          <w:color w:val="231F20"/>
        </w:rPr>
        <w:t>amministrazioni</w:t>
      </w:r>
      <w:r>
        <w:rPr>
          <w:color w:val="231F20"/>
          <w:spacing w:val="-5"/>
        </w:rPr>
        <w:t> </w:t>
      </w:r>
      <w:r>
        <w:rPr>
          <w:color w:val="231F20"/>
        </w:rPr>
        <w:t>in</w:t>
      </w:r>
      <w:r>
        <w:rPr>
          <w:color w:val="231F20"/>
          <w:spacing w:val="-5"/>
        </w:rPr>
        <w:t> </w:t>
      </w:r>
      <w:r>
        <w:rPr>
          <w:color w:val="231F20"/>
        </w:rPr>
        <w:t>ordine</w:t>
      </w:r>
      <w:r>
        <w:rPr>
          <w:color w:val="231F20"/>
          <w:spacing w:val="-5"/>
        </w:rPr>
        <w:t> </w:t>
      </w:r>
      <w:r>
        <w:rPr>
          <w:color w:val="231F20"/>
        </w:rPr>
        <w:t>alla</w:t>
      </w:r>
      <w:r>
        <w:rPr>
          <w:color w:val="231F20"/>
          <w:spacing w:val="-5"/>
        </w:rPr>
        <w:t> </w:t>
      </w:r>
      <w:r>
        <w:rPr>
          <w:color w:val="231F20"/>
        </w:rPr>
        <w:t>qualificazione giuridica, sulla base delle norme applicabili della direttiva (CE) 2006/112 (direttiva</w:t>
      </w:r>
      <w:r>
        <w:rPr>
          <w:color w:val="231F20"/>
          <w:spacing w:val="-4"/>
        </w:rPr>
        <w:t> </w:t>
      </w:r>
      <w:r>
        <w:rPr>
          <w:color w:val="231F20"/>
        </w:rPr>
        <w:t>IVA)</w:t>
      </w:r>
      <w:r>
        <w:rPr>
          <w:color w:val="231F20"/>
          <w:spacing w:val="-4"/>
        </w:rPr>
        <w:t> </w:t>
      </w:r>
      <w:r>
        <w:rPr>
          <w:color w:val="231F20"/>
        </w:rPr>
        <w:t>e</w:t>
      </w:r>
      <w:r>
        <w:rPr>
          <w:color w:val="231F20"/>
          <w:spacing w:val="-4"/>
        </w:rPr>
        <w:t> </w:t>
      </w:r>
      <w:r>
        <w:rPr>
          <w:color w:val="231F20"/>
        </w:rPr>
        <w:t>delle</w:t>
      </w:r>
      <w:r>
        <w:rPr>
          <w:color w:val="231F20"/>
          <w:spacing w:val="-4"/>
        </w:rPr>
        <w:t> </w:t>
      </w:r>
      <w:r>
        <w:rPr>
          <w:color w:val="231F20"/>
        </w:rPr>
        <w:t>informazioni</w:t>
      </w:r>
      <w:r>
        <w:rPr>
          <w:color w:val="231F20"/>
          <w:spacing w:val="-4"/>
        </w:rPr>
        <w:t> </w:t>
      </w:r>
      <w:r>
        <w:rPr>
          <w:color w:val="231F20"/>
        </w:rPr>
        <w:t>così</w:t>
      </w:r>
      <w:r>
        <w:rPr>
          <w:color w:val="231F20"/>
          <w:spacing w:val="-4"/>
        </w:rPr>
        <w:t> </w:t>
      </w:r>
      <w:r>
        <w:rPr>
          <w:color w:val="231F20"/>
        </w:rPr>
        <w:t>scambiate,</w:t>
      </w:r>
      <w:r>
        <w:rPr>
          <w:color w:val="231F20"/>
          <w:spacing w:val="-4"/>
        </w:rPr>
        <w:t> </w:t>
      </w:r>
      <w:r>
        <w:rPr>
          <w:color w:val="231F20"/>
        </w:rPr>
        <w:t>delle</w:t>
      </w:r>
      <w:r>
        <w:rPr>
          <w:color w:val="231F20"/>
          <w:spacing w:val="-4"/>
        </w:rPr>
        <w:t> </w:t>
      </w:r>
      <w:r>
        <w:rPr>
          <w:color w:val="231F20"/>
        </w:rPr>
        <w:t>operazioni</w:t>
      </w:r>
      <w:r>
        <w:rPr>
          <w:color w:val="231F20"/>
          <w:spacing w:val="-4"/>
        </w:rPr>
        <w:t> </w:t>
      </w:r>
      <w:r>
        <w:rPr>
          <w:color w:val="231F20"/>
        </w:rPr>
        <w:t>impo- nibili</w:t>
      </w:r>
      <w:r>
        <w:rPr>
          <w:color w:val="231F20"/>
          <w:spacing w:val="-1"/>
        </w:rPr>
        <w:t> </w:t>
      </w:r>
      <w:r>
        <w:rPr>
          <w:color w:val="231F20"/>
        </w:rPr>
        <w:t>oggetto</w:t>
      </w:r>
      <w:r>
        <w:rPr>
          <w:color w:val="231F20"/>
          <w:spacing w:val="-1"/>
        </w:rPr>
        <w:t> </w:t>
      </w:r>
      <w:r>
        <w:rPr>
          <w:color w:val="231F20"/>
        </w:rPr>
        <w:t>di</w:t>
      </w:r>
      <w:r>
        <w:rPr>
          <w:color w:val="231F20"/>
          <w:spacing w:val="-1"/>
        </w:rPr>
        <w:t> </w:t>
      </w:r>
      <w:r>
        <w:rPr>
          <w:color w:val="231F20"/>
        </w:rPr>
        <w:t>accertamento.</w:t>
      </w:r>
      <w:r>
        <w:rPr>
          <w:color w:val="231F20"/>
          <w:spacing w:val="-1"/>
        </w:rPr>
        <w:t> </w:t>
      </w:r>
      <w:r>
        <w:rPr>
          <w:color w:val="231F20"/>
        </w:rPr>
        <w:t>Ne</w:t>
      </w:r>
      <w:r>
        <w:rPr>
          <w:color w:val="231F20"/>
          <w:spacing w:val="-1"/>
        </w:rPr>
        <w:t> </w:t>
      </w:r>
      <w:r>
        <w:rPr>
          <w:color w:val="231F20"/>
        </w:rPr>
        <w:t>consegue,</w:t>
      </w:r>
      <w:r>
        <w:rPr>
          <w:color w:val="231F20"/>
          <w:spacing w:val="-1"/>
        </w:rPr>
        <w:t> </w:t>
      </w:r>
      <w:r>
        <w:rPr>
          <w:color w:val="231F20"/>
        </w:rPr>
        <w:t>sempre</w:t>
      </w:r>
      <w:r>
        <w:rPr>
          <w:color w:val="231F20"/>
          <w:spacing w:val="-1"/>
        </w:rPr>
        <w:t> </w:t>
      </w:r>
      <w:r>
        <w:rPr>
          <w:color w:val="231F20"/>
        </w:rPr>
        <w:t>secondo</w:t>
      </w:r>
      <w:r>
        <w:rPr>
          <w:color w:val="231F20"/>
          <w:spacing w:val="-1"/>
        </w:rPr>
        <w:t> </w:t>
      </w:r>
      <w:r>
        <w:rPr>
          <w:color w:val="231F20"/>
        </w:rPr>
        <w:t>i</w:t>
      </w:r>
      <w:r>
        <w:rPr>
          <w:color w:val="231F20"/>
          <w:spacing w:val="-1"/>
        </w:rPr>
        <w:t> </w:t>
      </w:r>
      <w:r>
        <w:rPr>
          <w:color w:val="231F20"/>
        </w:rPr>
        <w:t>giudici</w:t>
      </w:r>
      <w:r>
        <w:rPr>
          <w:color w:val="231F20"/>
          <w:spacing w:val="-1"/>
        </w:rPr>
        <w:t> </w:t>
      </w:r>
      <w:r>
        <w:rPr>
          <w:color w:val="231F20"/>
        </w:rPr>
        <w:t>eu- ropei,</w:t>
      </w:r>
      <w:r>
        <w:rPr>
          <w:color w:val="231F20"/>
          <w:spacing w:val="-15"/>
        </w:rPr>
        <w:t> </w:t>
      </w:r>
      <w:r>
        <w:rPr>
          <w:color w:val="231F20"/>
        </w:rPr>
        <w:t>che</w:t>
      </w:r>
      <w:r>
        <w:rPr>
          <w:color w:val="231F20"/>
          <w:spacing w:val="-15"/>
        </w:rPr>
        <w:t> </w:t>
      </w:r>
      <w:r>
        <w:rPr>
          <w:color w:val="231F20"/>
        </w:rPr>
        <w:t>il</w:t>
      </w:r>
      <w:r>
        <w:rPr>
          <w:color w:val="231F20"/>
          <w:spacing w:val="-15"/>
        </w:rPr>
        <w:t> </w:t>
      </w:r>
      <w:r>
        <w:rPr>
          <w:color w:val="231F20"/>
        </w:rPr>
        <w:t>regolamento</w:t>
      </w:r>
      <w:r>
        <w:rPr>
          <w:color w:val="231F20"/>
          <w:spacing w:val="-15"/>
        </w:rPr>
        <w:t> </w:t>
      </w:r>
      <w:r>
        <w:rPr>
          <w:color w:val="231F20"/>
        </w:rPr>
        <w:t>(UE)</w:t>
      </w:r>
      <w:r>
        <w:rPr>
          <w:color w:val="231F20"/>
          <w:spacing w:val="-15"/>
        </w:rPr>
        <w:t> </w:t>
      </w:r>
      <w:r>
        <w:rPr>
          <w:color w:val="231F20"/>
        </w:rPr>
        <w:t>904/2010</w:t>
      </w:r>
      <w:r>
        <w:rPr>
          <w:color w:val="231F20"/>
          <w:spacing w:val="-15"/>
        </w:rPr>
        <w:t> </w:t>
      </w:r>
      <w:r>
        <w:rPr>
          <w:color w:val="231F20"/>
        </w:rPr>
        <w:t>non</w:t>
      </w:r>
      <w:r>
        <w:rPr>
          <w:color w:val="231F20"/>
          <w:spacing w:val="-15"/>
        </w:rPr>
        <w:t> </w:t>
      </w:r>
      <w:r>
        <w:rPr>
          <w:color w:val="231F20"/>
        </w:rPr>
        <w:t>impone</w:t>
      </w:r>
      <w:r>
        <w:rPr>
          <w:color w:val="231F20"/>
          <w:spacing w:val="-15"/>
        </w:rPr>
        <w:t> </w:t>
      </w:r>
      <w:r>
        <w:rPr>
          <w:color w:val="231F20"/>
        </w:rPr>
        <w:t>alle</w:t>
      </w:r>
      <w:r>
        <w:rPr>
          <w:color w:val="231F20"/>
          <w:spacing w:val="-15"/>
        </w:rPr>
        <w:t> </w:t>
      </w:r>
      <w:r>
        <w:rPr>
          <w:color w:val="231F20"/>
        </w:rPr>
        <w:t>amministrazioni finanziarie</w:t>
      </w:r>
      <w:r>
        <w:rPr>
          <w:color w:val="231F20"/>
          <w:spacing w:val="-4"/>
        </w:rPr>
        <w:t> </w:t>
      </w:r>
      <w:r>
        <w:rPr>
          <w:color w:val="231F20"/>
        </w:rPr>
        <w:t>nazionali</w:t>
      </w:r>
      <w:r>
        <w:rPr>
          <w:color w:val="231F20"/>
          <w:spacing w:val="-4"/>
        </w:rPr>
        <w:t> </w:t>
      </w:r>
      <w:r>
        <w:rPr>
          <w:color w:val="231F20"/>
        </w:rPr>
        <w:t>alcun</w:t>
      </w:r>
      <w:r>
        <w:rPr>
          <w:color w:val="231F20"/>
          <w:spacing w:val="-4"/>
        </w:rPr>
        <w:t> </w:t>
      </w:r>
      <w:r>
        <w:rPr>
          <w:color w:val="231F20"/>
        </w:rPr>
        <w:t>obbligo</w:t>
      </w:r>
      <w:r>
        <w:rPr>
          <w:color w:val="231F20"/>
          <w:spacing w:val="-4"/>
        </w:rPr>
        <w:t> </w:t>
      </w:r>
      <w:r>
        <w:rPr>
          <w:color w:val="231F20"/>
        </w:rPr>
        <w:t>di</w:t>
      </w:r>
      <w:r>
        <w:rPr>
          <w:color w:val="231F20"/>
          <w:spacing w:val="-4"/>
        </w:rPr>
        <w:t> </w:t>
      </w:r>
      <w:r>
        <w:rPr>
          <w:color w:val="231F20"/>
        </w:rPr>
        <w:t>cooperazione</w:t>
      </w:r>
      <w:r>
        <w:rPr>
          <w:color w:val="231F20"/>
          <w:spacing w:val="-4"/>
        </w:rPr>
        <w:t> </w:t>
      </w:r>
      <w:r>
        <w:rPr>
          <w:color w:val="231F20"/>
        </w:rPr>
        <w:t>«al</w:t>
      </w:r>
      <w:r>
        <w:rPr>
          <w:color w:val="231F20"/>
          <w:spacing w:val="-4"/>
        </w:rPr>
        <w:t> </w:t>
      </w:r>
      <w:r>
        <w:rPr>
          <w:color w:val="231F20"/>
        </w:rPr>
        <w:t>fine</w:t>
      </w:r>
      <w:r>
        <w:rPr>
          <w:color w:val="231F20"/>
          <w:spacing w:val="-4"/>
        </w:rPr>
        <w:t> </w:t>
      </w:r>
      <w:r>
        <w:rPr>
          <w:color w:val="231F20"/>
        </w:rPr>
        <w:t>di</w:t>
      </w:r>
      <w:r>
        <w:rPr>
          <w:color w:val="231F20"/>
          <w:spacing w:val="-4"/>
        </w:rPr>
        <w:t> </w:t>
      </w:r>
      <w:r>
        <w:rPr>
          <w:color w:val="231F20"/>
        </w:rPr>
        <w:t>pervenire</w:t>
      </w:r>
      <w:r>
        <w:rPr>
          <w:color w:val="231F20"/>
          <w:spacing w:val="-4"/>
        </w:rPr>
        <w:t> </w:t>
      </w:r>
      <w:r>
        <w:rPr>
          <w:color w:val="231F20"/>
        </w:rPr>
        <w:t>ad una</w:t>
      </w:r>
      <w:r>
        <w:rPr>
          <w:color w:val="231F20"/>
          <w:spacing w:val="-15"/>
        </w:rPr>
        <w:t> </w:t>
      </w:r>
      <w:r>
        <w:rPr>
          <w:color w:val="231F20"/>
        </w:rPr>
        <w:t>soluzione</w:t>
      </w:r>
      <w:r>
        <w:rPr>
          <w:color w:val="231F20"/>
          <w:spacing w:val="-15"/>
        </w:rPr>
        <w:t> </w:t>
      </w:r>
      <w:r>
        <w:rPr>
          <w:color w:val="231F20"/>
        </w:rPr>
        <w:t>comune</w:t>
      </w:r>
      <w:r>
        <w:rPr>
          <w:color w:val="231F20"/>
          <w:spacing w:val="-15"/>
        </w:rPr>
        <w:t> </w:t>
      </w:r>
      <w:r>
        <w:rPr>
          <w:color w:val="231F20"/>
        </w:rPr>
        <w:t>quanto</w:t>
      </w:r>
      <w:r>
        <w:rPr>
          <w:color w:val="231F20"/>
          <w:spacing w:val="-15"/>
        </w:rPr>
        <w:t> </w:t>
      </w:r>
      <w:r>
        <w:rPr>
          <w:color w:val="231F20"/>
        </w:rPr>
        <w:t>al</w:t>
      </w:r>
      <w:r>
        <w:rPr>
          <w:color w:val="231F20"/>
          <w:spacing w:val="-15"/>
        </w:rPr>
        <w:t> </w:t>
      </w:r>
      <w:r>
        <w:rPr>
          <w:color w:val="231F20"/>
        </w:rPr>
        <w:t>trattamento</w:t>
      </w:r>
      <w:r>
        <w:rPr>
          <w:color w:val="231F20"/>
          <w:spacing w:val="-15"/>
        </w:rPr>
        <w:t> </w:t>
      </w:r>
      <w:r>
        <w:rPr>
          <w:color w:val="231F20"/>
        </w:rPr>
        <w:t>di</w:t>
      </w:r>
      <w:r>
        <w:rPr>
          <w:color w:val="231F20"/>
          <w:spacing w:val="-15"/>
        </w:rPr>
        <w:t> </w:t>
      </w:r>
      <w:r>
        <w:rPr>
          <w:color w:val="231F20"/>
        </w:rPr>
        <w:t>un’operazione</w:t>
      </w:r>
      <w:r>
        <w:rPr>
          <w:color w:val="231F20"/>
          <w:spacing w:val="-15"/>
        </w:rPr>
        <w:t> </w:t>
      </w:r>
      <w:r>
        <w:rPr>
          <w:color w:val="231F20"/>
        </w:rPr>
        <w:t>ai</w:t>
      </w:r>
      <w:r>
        <w:rPr>
          <w:color w:val="231F20"/>
          <w:spacing w:val="-15"/>
        </w:rPr>
        <w:t> </w:t>
      </w:r>
      <w:r>
        <w:rPr>
          <w:color w:val="231F20"/>
        </w:rPr>
        <w:t>fini</w:t>
      </w:r>
      <w:r>
        <w:rPr>
          <w:color w:val="231F20"/>
          <w:spacing w:val="-15"/>
        </w:rPr>
        <w:t> </w:t>
      </w:r>
      <w:r>
        <w:rPr>
          <w:color w:val="231F20"/>
        </w:rPr>
        <w:t>IVA». Né</w:t>
      </w:r>
      <w:r>
        <w:rPr>
          <w:color w:val="231F20"/>
          <w:spacing w:val="-2"/>
        </w:rPr>
        <w:t> </w:t>
      </w:r>
      <w:r>
        <w:rPr>
          <w:color w:val="231F20"/>
        </w:rPr>
        <w:t>il</w:t>
      </w:r>
      <w:r>
        <w:rPr>
          <w:color w:val="231F20"/>
          <w:spacing w:val="-2"/>
        </w:rPr>
        <w:t> </w:t>
      </w:r>
      <w:r>
        <w:rPr>
          <w:color w:val="231F20"/>
        </w:rPr>
        <w:t>medesimo</w:t>
      </w:r>
      <w:r>
        <w:rPr>
          <w:color w:val="231F20"/>
          <w:spacing w:val="-2"/>
        </w:rPr>
        <w:t> </w:t>
      </w:r>
      <w:r>
        <w:rPr>
          <w:color w:val="231F20"/>
        </w:rPr>
        <w:t>regolamento</w:t>
      </w:r>
      <w:r>
        <w:rPr>
          <w:color w:val="231F20"/>
          <w:spacing w:val="-2"/>
        </w:rPr>
        <w:t> </w:t>
      </w:r>
      <w:r>
        <w:rPr>
          <w:color w:val="231F20"/>
        </w:rPr>
        <w:t>prevede</w:t>
      </w:r>
      <w:r>
        <w:rPr>
          <w:color w:val="231F20"/>
          <w:spacing w:val="-2"/>
        </w:rPr>
        <w:t> </w:t>
      </w:r>
      <w:r>
        <w:rPr>
          <w:color w:val="231F20"/>
        </w:rPr>
        <w:t>alcuna</w:t>
      </w:r>
      <w:r>
        <w:rPr>
          <w:color w:val="231F20"/>
          <w:spacing w:val="-2"/>
        </w:rPr>
        <w:t> </w:t>
      </w:r>
      <w:r>
        <w:rPr>
          <w:color w:val="231F20"/>
        </w:rPr>
        <w:t>regola</w:t>
      </w:r>
      <w:r>
        <w:rPr>
          <w:color w:val="231F20"/>
          <w:spacing w:val="-2"/>
        </w:rPr>
        <w:t> </w:t>
      </w:r>
      <w:r>
        <w:rPr>
          <w:color w:val="231F20"/>
        </w:rPr>
        <w:t>in</w:t>
      </w:r>
      <w:r>
        <w:rPr>
          <w:color w:val="231F20"/>
          <w:spacing w:val="-2"/>
        </w:rPr>
        <w:t> </w:t>
      </w:r>
      <w:r>
        <w:rPr>
          <w:color w:val="231F20"/>
        </w:rPr>
        <w:t>forza</w:t>
      </w:r>
      <w:r>
        <w:rPr>
          <w:color w:val="231F20"/>
          <w:spacing w:val="-2"/>
        </w:rPr>
        <w:t> </w:t>
      </w:r>
      <w:r>
        <w:rPr>
          <w:color w:val="231F20"/>
        </w:rPr>
        <w:t>della</w:t>
      </w:r>
      <w:r>
        <w:rPr>
          <w:color w:val="231F20"/>
          <w:spacing w:val="-2"/>
        </w:rPr>
        <w:t> </w:t>
      </w:r>
      <w:r>
        <w:rPr>
          <w:color w:val="231F20"/>
        </w:rPr>
        <w:t>quale</w:t>
      </w:r>
      <w:r>
        <w:rPr>
          <w:color w:val="231F20"/>
          <w:spacing w:val="-2"/>
        </w:rPr>
        <w:t> </w:t>
      </w:r>
      <w:r>
        <w:rPr>
          <w:color w:val="231F20"/>
        </w:rPr>
        <w:t>«le autorità finanziarie di uno Stato membro sarebbero vincolate dalla qua- lificazione attribuita a tale operazione (imponibile) dall’amministrazione finanziaria</w:t>
      </w:r>
      <w:r>
        <w:rPr>
          <w:color w:val="231F20"/>
          <w:spacing w:val="-2"/>
        </w:rPr>
        <w:t> </w:t>
      </w:r>
      <w:r>
        <w:rPr>
          <w:color w:val="231F20"/>
        </w:rPr>
        <w:t>di</w:t>
      </w:r>
      <w:r>
        <w:rPr>
          <w:color w:val="231F20"/>
          <w:spacing w:val="-2"/>
        </w:rPr>
        <w:t> </w:t>
      </w:r>
      <w:r>
        <w:rPr>
          <w:color w:val="231F20"/>
        </w:rPr>
        <w:t>un</w:t>
      </w:r>
      <w:r>
        <w:rPr>
          <w:color w:val="231F20"/>
          <w:spacing w:val="-2"/>
        </w:rPr>
        <w:t> </w:t>
      </w:r>
      <w:r>
        <w:rPr>
          <w:color w:val="231F20"/>
        </w:rPr>
        <w:t>altro</w:t>
      </w:r>
      <w:r>
        <w:rPr>
          <w:color w:val="231F20"/>
          <w:spacing w:val="-2"/>
        </w:rPr>
        <w:t> </w:t>
      </w:r>
      <w:r>
        <w:rPr>
          <w:color w:val="231F20"/>
        </w:rPr>
        <w:t>Stato</w:t>
      </w:r>
      <w:r>
        <w:rPr>
          <w:color w:val="231F20"/>
          <w:spacing w:val="-2"/>
        </w:rPr>
        <w:t> </w:t>
      </w:r>
      <w:r>
        <w:rPr>
          <w:color w:val="231F20"/>
        </w:rPr>
        <w:t>membro»</w:t>
      </w:r>
      <w:r>
        <w:rPr>
          <w:color w:val="231F20"/>
          <w:position w:val="8"/>
          <w:sz w:val="14"/>
        </w:rPr>
        <w:t>142</w:t>
      </w:r>
      <w:r>
        <w:rPr>
          <w:color w:val="231F20"/>
        </w:rPr>
        <w:t>.</w:t>
      </w:r>
      <w:r>
        <w:rPr>
          <w:color w:val="231F20"/>
          <w:spacing w:val="-2"/>
        </w:rPr>
        <w:t> </w:t>
      </w:r>
      <w:r>
        <w:rPr>
          <w:color w:val="231F20"/>
        </w:rPr>
        <w:t>La</w:t>
      </w:r>
      <w:r>
        <w:rPr>
          <w:color w:val="231F20"/>
          <w:spacing w:val="-2"/>
        </w:rPr>
        <w:t> </w:t>
      </w:r>
      <w:r>
        <w:rPr>
          <w:color w:val="231F20"/>
        </w:rPr>
        <w:t>Corte</w:t>
      </w:r>
      <w:r>
        <w:rPr>
          <w:color w:val="231F20"/>
          <w:spacing w:val="-2"/>
        </w:rPr>
        <w:t> </w:t>
      </w:r>
      <w:r>
        <w:rPr>
          <w:color w:val="231F20"/>
        </w:rPr>
        <w:t>di</w:t>
      </w:r>
      <w:r>
        <w:rPr>
          <w:color w:val="231F20"/>
          <w:spacing w:val="-2"/>
        </w:rPr>
        <w:t> </w:t>
      </w:r>
      <w:r>
        <w:rPr>
          <w:color w:val="231F20"/>
        </w:rPr>
        <w:t>giustizia,</w:t>
      </w:r>
      <w:r>
        <w:rPr>
          <w:color w:val="231F20"/>
          <w:spacing w:val="-2"/>
        </w:rPr>
        <w:t> </w:t>
      </w:r>
      <w:r>
        <w:rPr>
          <w:color w:val="231F20"/>
        </w:rPr>
        <w:t>rendendosi evidentemente conto della risposta estremamente deludente, per i soggetti passivi IVA che effettuano operazioni imponibili transfrontaliere, che essa si era vista costretta a dare al quesito del giudice di rinvio, ha elaborato in via</w:t>
      </w:r>
      <w:r>
        <w:rPr>
          <w:color w:val="231F20"/>
          <w:spacing w:val="-4"/>
        </w:rPr>
        <w:t> </w:t>
      </w:r>
      <w:r>
        <w:rPr>
          <w:color w:val="231F20"/>
        </w:rPr>
        <w:t>interpretativa</w:t>
      </w:r>
      <w:r>
        <w:rPr>
          <w:color w:val="231F20"/>
          <w:spacing w:val="-4"/>
        </w:rPr>
        <w:t> </w:t>
      </w:r>
      <w:r>
        <w:rPr>
          <w:color w:val="231F20"/>
        </w:rPr>
        <w:t>un</w:t>
      </w:r>
      <w:r>
        <w:rPr>
          <w:color w:val="231F20"/>
          <w:spacing w:val="-4"/>
        </w:rPr>
        <w:t> </w:t>
      </w:r>
      <w:r>
        <w:rPr>
          <w:color w:val="231F20"/>
        </w:rPr>
        <w:t>proprio</w:t>
      </w:r>
      <w:r>
        <w:rPr>
          <w:color w:val="231F20"/>
          <w:spacing w:val="-4"/>
        </w:rPr>
        <w:t> </w:t>
      </w:r>
      <w:r>
        <w:rPr>
          <w:color w:val="231F20"/>
        </w:rPr>
        <w:t>rimedio</w:t>
      </w:r>
      <w:r>
        <w:rPr>
          <w:color w:val="231F20"/>
          <w:spacing w:val="-4"/>
        </w:rPr>
        <w:t> </w:t>
      </w:r>
      <w:r>
        <w:rPr>
          <w:color w:val="231F20"/>
        </w:rPr>
        <w:t>al</w:t>
      </w:r>
      <w:r>
        <w:rPr>
          <w:color w:val="231F20"/>
          <w:spacing w:val="-4"/>
        </w:rPr>
        <w:t> </w:t>
      </w:r>
      <w:r>
        <w:rPr>
          <w:color w:val="231F20"/>
        </w:rPr>
        <w:t>pericolo</w:t>
      </w:r>
      <w:r>
        <w:rPr>
          <w:color w:val="231F20"/>
          <w:spacing w:val="-4"/>
        </w:rPr>
        <w:t> </w:t>
      </w:r>
      <w:r>
        <w:rPr>
          <w:color w:val="231F20"/>
        </w:rPr>
        <w:t>molto</w:t>
      </w:r>
      <w:r>
        <w:rPr>
          <w:color w:val="231F20"/>
          <w:spacing w:val="-4"/>
        </w:rPr>
        <w:t> </w:t>
      </w:r>
      <w:r>
        <w:rPr>
          <w:color w:val="231F20"/>
        </w:rPr>
        <w:t>reale</w:t>
      </w:r>
      <w:r>
        <w:rPr>
          <w:color w:val="231F20"/>
          <w:spacing w:val="-4"/>
        </w:rPr>
        <w:t> </w:t>
      </w:r>
      <w:r>
        <w:rPr>
          <w:color w:val="231F20"/>
        </w:rPr>
        <w:t>di</w:t>
      </w:r>
      <w:r>
        <w:rPr>
          <w:color w:val="231F20"/>
          <w:spacing w:val="-4"/>
        </w:rPr>
        <w:t> </w:t>
      </w:r>
      <w:r>
        <w:rPr>
          <w:color w:val="231F20"/>
        </w:rPr>
        <w:t>doppia</w:t>
      </w:r>
      <w:r>
        <w:rPr>
          <w:color w:val="231F20"/>
          <w:spacing w:val="-4"/>
        </w:rPr>
        <w:t> </w:t>
      </w:r>
      <w:r>
        <w:rPr>
          <w:color w:val="231F20"/>
        </w:rPr>
        <w:t>im- posizione</w:t>
      </w:r>
      <w:r>
        <w:rPr>
          <w:color w:val="231F20"/>
          <w:spacing w:val="-4"/>
        </w:rPr>
        <w:t> </w:t>
      </w:r>
      <w:r>
        <w:rPr>
          <w:color w:val="231F20"/>
        </w:rPr>
        <w:t>IVA</w:t>
      </w:r>
      <w:r>
        <w:rPr>
          <w:color w:val="231F20"/>
          <w:spacing w:val="-4"/>
        </w:rPr>
        <w:t> </w:t>
      </w:r>
      <w:r>
        <w:rPr>
          <w:color w:val="231F20"/>
        </w:rPr>
        <w:t>all’interno</w:t>
      </w:r>
      <w:r>
        <w:rPr>
          <w:color w:val="231F20"/>
          <w:spacing w:val="-4"/>
        </w:rPr>
        <w:t> </w:t>
      </w:r>
      <w:r>
        <w:rPr>
          <w:color w:val="231F20"/>
        </w:rPr>
        <w:t>dell’Unione.</w:t>
      </w:r>
      <w:r>
        <w:rPr>
          <w:color w:val="231F20"/>
          <w:spacing w:val="-4"/>
        </w:rPr>
        <w:t> </w:t>
      </w:r>
      <w:r>
        <w:rPr>
          <w:color w:val="231F20"/>
        </w:rPr>
        <w:t>A</w:t>
      </w:r>
      <w:r>
        <w:rPr>
          <w:color w:val="231F20"/>
          <w:spacing w:val="-4"/>
        </w:rPr>
        <w:t> </w:t>
      </w:r>
      <w:r>
        <w:rPr>
          <w:color w:val="231F20"/>
        </w:rPr>
        <w:t>questo</w:t>
      </w:r>
      <w:r>
        <w:rPr>
          <w:color w:val="231F20"/>
          <w:spacing w:val="-4"/>
        </w:rPr>
        <w:t> </w:t>
      </w:r>
      <w:r>
        <w:rPr>
          <w:color w:val="231F20"/>
        </w:rPr>
        <w:t>riguardo</w:t>
      </w:r>
      <w:r>
        <w:rPr>
          <w:color w:val="231F20"/>
          <w:spacing w:val="-4"/>
        </w:rPr>
        <w:t> </w:t>
      </w:r>
      <w:r>
        <w:rPr>
          <w:color w:val="231F20"/>
        </w:rPr>
        <w:t>essa</w:t>
      </w:r>
      <w:r>
        <w:rPr>
          <w:color w:val="231F20"/>
          <w:spacing w:val="-4"/>
        </w:rPr>
        <w:t> </w:t>
      </w:r>
      <w:r>
        <w:rPr>
          <w:color w:val="231F20"/>
        </w:rPr>
        <w:t>ha</w:t>
      </w:r>
      <w:r>
        <w:rPr>
          <w:color w:val="231F20"/>
          <w:spacing w:val="-4"/>
        </w:rPr>
        <w:t> </w:t>
      </w:r>
      <w:r>
        <w:rPr>
          <w:color w:val="231F20"/>
        </w:rPr>
        <w:t>ricordato che «l’applicazione corretta della direttiva 2006/112 consente di evitare la doppia</w:t>
      </w:r>
      <w:r>
        <w:rPr>
          <w:color w:val="231F20"/>
          <w:spacing w:val="-3"/>
        </w:rPr>
        <w:t> </w:t>
      </w:r>
      <w:r>
        <w:rPr>
          <w:color w:val="231F20"/>
        </w:rPr>
        <w:t>imposizione»</w:t>
      </w:r>
      <w:r>
        <w:rPr>
          <w:color w:val="231F20"/>
          <w:spacing w:val="-3"/>
        </w:rPr>
        <w:t> </w:t>
      </w:r>
      <w:r>
        <w:rPr>
          <w:color w:val="231F20"/>
        </w:rPr>
        <w:t>e</w:t>
      </w:r>
      <w:r>
        <w:rPr>
          <w:color w:val="231F20"/>
          <w:spacing w:val="-3"/>
        </w:rPr>
        <w:t> </w:t>
      </w:r>
      <w:r>
        <w:rPr>
          <w:color w:val="231F20"/>
        </w:rPr>
        <w:t>che</w:t>
      </w:r>
      <w:r>
        <w:rPr>
          <w:color w:val="231F20"/>
          <w:spacing w:val="-3"/>
        </w:rPr>
        <w:t> </w:t>
      </w:r>
      <w:r>
        <w:rPr>
          <w:color w:val="231F20"/>
        </w:rPr>
        <w:t>la</w:t>
      </w:r>
      <w:r>
        <w:rPr>
          <w:color w:val="231F20"/>
          <w:spacing w:val="-3"/>
        </w:rPr>
        <w:t> </w:t>
      </w:r>
      <w:r>
        <w:rPr>
          <w:color w:val="231F20"/>
        </w:rPr>
        <w:t>qualificazione</w:t>
      </w:r>
      <w:r>
        <w:rPr>
          <w:color w:val="231F20"/>
          <w:spacing w:val="-3"/>
        </w:rPr>
        <w:t> </w:t>
      </w:r>
      <w:r>
        <w:rPr>
          <w:color w:val="231F20"/>
        </w:rPr>
        <w:t>diversa</w:t>
      </w:r>
      <w:r>
        <w:rPr>
          <w:color w:val="231F20"/>
          <w:spacing w:val="-3"/>
        </w:rPr>
        <w:t> </w:t>
      </w:r>
      <w:r>
        <w:rPr>
          <w:color w:val="231F20"/>
        </w:rPr>
        <w:t>data</w:t>
      </w:r>
      <w:r>
        <w:rPr>
          <w:color w:val="231F20"/>
          <w:spacing w:val="-3"/>
        </w:rPr>
        <w:t> </w:t>
      </w:r>
      <w:r>
        <w:rPr>
          <w:color w:val="231F20"/>
        </w:rPr>
        <w:t>ad</w:t>
      </w:r>
      <w:r>
        <w:rPr>
          <w:color w:val="231F20"/>
          <w:spacing w:val="-3"/>
        </w:rPr>
        <w:t> </w:t>
      </w:r>
      <w:r>
        <w:rPr>
          <w:color w:val="231F20"/>
        </w:rPr>
        <w:t>una</w:t>
      </w:r>
      <w:r>
        <w:rPr>
          <w:color w:val="231F20"/>
          <w:spacing w:val="-3"/>
        </w:rPr>
        <w:t> </w:t>
      </w:r>
      <w:r>
        <w:rPr>
          <w:color w:val="231F20"/>
        </w:rPr>
        <w:t>stessa</w:t>
      </w:r>
      <w:r>
        <w:rPr>
          <w:color w:val="231F20"/>
          <w:spacing w:val="-3"/>
        </w:rPr>
        <w:t> </w:t>
      </w:r>
      <w:r>
        <w:rPr>
          <w:color w:val="231F20"/>
        </w:rPr>
        <w:t>ope- razione imponibile da due amministrazioni finanziarie di due diversi Stati membri</w:t>
      </w:r>
      <w:r>
        <w:rPr>
          <w:color w:val="231F20"/>
          <w:spacing w:val="-6"/>
        </w:rPr>
        <w:t> </w:t>
      </w:r>
      <w:r>
        <w:rPr>
          <w:color w:val="231F20"/>
        </w:rPr>
        <w:t>non</w:t>
      </w:r>
      <w:r>
        <w:rPr>
          <w:color w:val="231F20"/>
          <w:spacing w:val="-5"/>
        </w:rPr>
        <w:t> </w:t>
      </w:r>
      <w:r>
        <w:rPr>
          <w:color w:val="231F20"/>
        </w:rPr>
        <w:t>può</w:t>
      </w:r>
      <w:r>
        <w:rPr>
          <w:color w:val="231F20"/>
          <w:spacing w:val="-6"/>
        </w:rPr>
        <w:t> </w:t>
      </w:r>
      <w:r>
        <w:rPr>
          <w:color w:val="231F20"/>
        </w:rPr>
        <w:t>in</w:t>
      </w:r>
      <w:r>
        <w:rPr>
          <w:color w:val="231F20"/>
          <w:spacing w:val="-5"/>
        </w:rPr>
        <w:t> </w:t>
      </w:r>
      <w:r>
        <w:rPr>
          <w:color w:val="231F20"/>
        </w:rPr>
        <w:t>alcun</w:t>
      </w:r>
      <w:r>
        <w:rPr>
          <w:color w:val="231F20"/>
          <w:spacing w:val="-6"/>
        </w:rPr>
        <w:t> </w:t>
      </w:r>
      <w:r>
        <w:rPr>
          <w:color w:val="231F20"/>
        </w:rPr>
        <w:t>modo</w:t>
      </w:r>
      <w:r>
        <w:rPr>
          <w:color w:val="231F20"/>
          <w:spacing w:val="-5"/>
        </w:rPr>
        <w:t> </w:t>
      </w:r>
      <w:r>
        <w:rPr>
          <w:color w:val="231F20"/>
        </w:rPr>
        <w:t>giustificare</w:t>
      </w:r>
      <w:r>
        <w:rPr>
          <w:color w:val="231F20"/>
          <w:spacing w:val="-6"/>
        </w:rPr>
        <w:t> </w:t>
      </w:r>
      <w:r>
        <w:rPr>
          <w:color w:val="231F20"/>
        </w:rPr>
        <w:t>«un’applicazione</w:t>
      </w:r>
      <w:r>
        <w:rPr>
          <w:color w:val="231F20"/>
          <w:spacing w:val="-5"/>
        </w:rPr>
        <w:t> </w:t>
      </w:r>
      <w:r>
        <w:rPr>
          <w:color w:val="231F20"/>
        </w:rPr>
        <w:t>erronea</w:t>
      </w:r>
      <w:r>
        <w:rPr>
          <w:color w:val="231F20"/>
          <w:spacing w:val="-6"/>
        </w:rPr>
        <w:t> </w:t>
      </w:r>
      <w:r>
        <w:rPr>
          <w:color w:val="231F20"/>
          <w:spacing w:val="-2"/>
        </w:rPr>
        <w:t>delle</w:t>
      </w:r>
    </w:p>
    <w:p>
      <w:pPr>
        <w:pStyle w:val="BodyText"/>
        <w:spacing w:before="6"/>
        <w:rPr>
          <w:sz w:val="11"/>
        </w:rPr>
      </w:pPr>
      <w:r>
        <w:rPr/>
        <mc:AlternateContent>
          <mc:Choice Requires="wps">
            <w:drawing>
              <wp:anchor distT="0" distB="0" distL="0" distR="0" allowOverlap="1" layoutInCell="1" locked="0" behindDoc="1" simplePos="0" relativeHeight="487650816">
                <wp:simplePos x="0" y="0"/>
                <wp:positionH relativeFrom="page">
                  <wp:posOffset>899999</wp:posOffset>
                </wp:positionH>
                <wp:positionV relativeFrom="paragraph">
                  <wp:posOffset>108122</wp:posOffset>
                </wp:positionV>
                <wp:extent cx="792480" cy="1270"/>
                <wp:effectExtent l="0" t="0" r="0" b="0"/>
                <wp:wrapTopAndBottom/>
                <wp:docPr id="204" name="Graphic 204"/>
                <wp:cNvGraphicFramePr>
                  <a:graphicFrameLocks/>
                </wp:cNvGraphicFramePr>
                <a:graphic>
                  <a:graphicData uri="http://schemas.microsoft.com/office/word/2010/wordprocessingShape">
                    <wps:wsp>
                      <wps:cNvPr id="204" name="Graphic 204"/>
                      <wps:cNvSpPr/>
                      <wps:spPr>
                        <a:xfrm>
                          <a:off x="0" y="0"/>
                          <a:ext cx="792480" cy="1270"/>
                        </a:xfrm>
                        <a:custGeom>
                          <a:avLst/>
                          <a:gdLst/>
                          <a:ahLst/>
                          <a:cxnLst/>
                          <a:rect l="l" t="t" r="r" b="b"/>
                          <a:pathLst>
                            <a:path w="792480" h="0">
                              <a:moveTo>
                                <a:pt x="0" y="0"/>
                              </a:moveTo>
                              <a:lnTo>
                                <a:pt x="791997"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shape style="position:absolute;margin-left:70.866096pt;margin-top:8.51362pt;width:62.4pt;height:.1pt;mso-position-horizontal-relative:page;mso-position-vertical-relative:paragraph;z-index:-15665664;mso-wrap-distance-left:0;mso-wrap-distance-right:0" id="docshape169" coordorigin="1417,170" coordsize="1248,0" path="m1417,170l2665,170e" filled="false" stroked="true" strokeweight=".5pt" strokecolor="#231f20">
                <v:path arrowok="t"/>
                <v:stroke dashstyle="solid"/>
                <w10:wrap type="topAndBottom"/>
              </v:shape>
            </w:pict>
          </mc:Fallback>
        </mc:AlternateContent>
      </w:r>
    </w:p>
    <w:p>
      <w:pPr>
        <w:spacing w:line="225" w:lineRule="auto" w:before="201"/>
        <w:ind w:left="157" w:right="174" w:firstLine="0"/>
        <w:jc w:val="left"/>
        <w:rPr>
          <w:sz w:val="19"/>
        </w:rPr>
      </w:pPr>
      <w:r>
        <w:rPr>
          <w:color w:val="231F20"/>
          <w:sz w:val="19"/>
        </w:rPr>
        <w:t>di scambio di informazioni senza preventiva richiesta; l’art. 28 consente a certe condizioni la presenza negli uffici dell’autorità interpellata di funzionari dell’autorità richiedente.</w:t>
      </w:r>
    </w:p>
    <w:p>
      <w:pPr>
        <w:spacing w:line="233" w:lineRule="exact" w:before="0"/>
        <w:ind w:left="157" w:right="0" w:firstLine="0"/>
        <w:jc w:val="left"/>
        <w:rPr>
          <w:sz w:val="19"/>
        </w:rPr>
      </w:pPr>
      <w:r>
        <w:rPr>
          <w:color w:val="231F20"/>
          <w:position w:val="6"/>
          <w:sz w:val="11"/>
        </w:rPr>
        <w:t>142</w:t>
      </w:r>
      <w:r>
        <w:rPr>
          <w:color w:val="231F20"/>
          <w:spacing w:val="79"/>
          <w:position w:val="6"/>
          <w:sz w:val="11"/>
        </w:rPr>
        <w:t> </w:t>
      </w:r>
      <w:r>
        <w:rPr>
          <w:color w:val="231F20"/>
          <w:sz w:val="19"/>
        </w:rPr>
        <w:t>Corte Giust. UE, sent. del 18</w:t>
      </w:r>
      <w:r>
        <w:rPr>
          <w:color w:val="231F20"/>
          <w:spacing w:val="-1"/>
          <w:sz w:val="19"/>
        </w:rPr>
        <w:t> </w:t>
      </w:r>
      <w:r>
        <w:rPr>
          <w:color w:val="231F20"/>
          <w:sz w:val="19"/>
        </w:rPr>
        <w:t>giugno 2020, C-276/18, cit</w:t>
      </w:r>
      <w:r>
        <w:rPr>
          <w:i/>
          <w:color w:val="231F20"/>
          <w:sz w:val="19"/>
        </w:rPr>
        <w:t>.</w:t>
      </w:r>
      <w:r>
        <w:rPr>
          <w:color w:val="231F20"/>
          <w:sz w:val="19"/>
        </w:rPr>
        <w:t>, punti 48 e </w:t>
      </w:r>
      <w:r>
        <w:rPr>
          <w:color w:val="231F20"/>
          <w:spacing w:val="-5"/>
          <w:sz w:val="19"/>
        </w:rPr>
        <w:t>49.</w:t>
      </w:r>
    </w:p>
    <w:p>
      <w:pPr>
        <w:spacing w:after="0" w:line="233" w:lineRule="exact"/>
        <w:jc w:val="left"/>
        <w:rPr>
          <w:sz w:val="19"/>
        </w:rPr>
        <w:sectPr>
          <w:pgSz w:w="9640" w:h="13610"/>
          <w:pgMar w:header="0" w:footer="625" w:top="1260" w:bottom="820" w:left="1260" w:right="1240"/>
        </w:sectPr>
      </w:pPr>
    </w:p>
    <w:p>
      <w:pPr>
        <w:pStyle w:val="BodyText"/>
        <w:spacing w:line="225" w:lineRule="auto" w:before="117"/>
        <w:ind w:left="100" w:right="174"/>
        <w:jc w:val="both"/>
      </w:pPr>
      <w:r>
        <w:rPr>
          <w:color w:val="231F20"/>
        </w:rPr>
        <w:t>disposizioni</w:t>
      </w:r>
      <w:r>
        <w:rPr>
          <w:color w:val="231F20"/>
          <w:spacing w:val="-5"/>
        </w:rPr>
        <w:t> </w:t>
      </w:r>
      <w:r>
        <w:rPr>
          <w:color w:val="231F20"/>
        </w:rPr>
        <w:t>di</w:t>
      </w:r>
      <w:r>
        <w:rPr>
          <w:color w:val="231F20"/>
          <w:spacing w:val="-5"/>
        </w:rPr>
        <w:t> </w:t>
      </w:r>
      <w:r>
        <w:rPr>
          <w:color w:val="231F20"/>
        </w:rPr>
        <w:t>tale</w:t>
      </w:r>
      <w:r>
        <w:rPr>
          <w:color w:val="231F20"/>
          <w:spacing w:val="-5"/>
        </w:rPr>
        <w:t> </w:t>
      </w:r>
      <w:r>
        <w:rPr>
          <w:color w:val="231F20"/>
        </w:rPr>
        <w:t>direttiva</w:t>
      </w:r>
      <w:r>
        <w:rPr>
          <w:color w:val="231F20"/>
          <w:spacing w:val="-5"/>
        </w:rPr>
        <w:t> </w:t>
      </w:r>
      <w:r>
        <w:rPr>
          <w:color w:val="231F20"/>
        </w:rPr>
        <w:t>(IVA)».</w:t>
      </w:r>
      <w:r>
        <w:rPr>
          <w:color w:val="231F20"/>
          <w:spacing w:val="-5"/>
        </w:rPr>
        <w:t> </w:t>
      </w:r>
      <w:r>
        <w:rPr>
          <w:color w:val="231F20"/>
        </w:rPr>
        <w:t>Pertanto,</w:t>
      </w:r>
      <w:r>
        <w:rPr>
          <w:color w:val="231F20"/>
          <w:spacing w:val="-5"/>
        </w:rPr>
        <w:t> </w:t>
      </w:r>
      <w:r>
        <w:rPr>
          <w:color w:val="231F20"/>
        </w:rPr>
        <w:t>nel</w:t>
      </w:r>
      <w:r>
        <w:rPr>
          <w:color w:val="231F20"/>
          <w:spacing w:val="-5"/>
        </w:rPr>
        <w:t> </w:t>
      </w:r>
      <w:r>
        <w:rPr>
          <w:color w:val="231F20"/>
        </w:rPr>
        <w:t>caso</w:t>
      </w:r>
      <w:r>
        <w:rPr>
          <w:color w:val="231F20"/>
          <w:spacing w:val="-5"/>
        </w:rPr>
        <w:t> </w:t>
      </w:r>
      <w:r>
        <w:rPr>
          <w:color w:val="231F20"/>
        </w:rPr>
        <w:t>in</w:t>
      </w:r>
      <w:r>
        <w:rPr>
          <w:color w:val="231F20"/>
          <w:spacing w:val="-5"/>
        </w:rPr>
        <w:t> </w:t>
      </w:r>
      <w:r>
        <w:rPr>
          <w:color w:val="231F20"/>
        </w:rPr>
        <w:t>cui</w:t>
      </w:r>
      <w:r>
        <w:rPr>
          <w:color w:val="231F20"/>
          <w:spacing w:val="-5"/>
        </w:rPr>
        <w:t> </w:t>
      </w:r>
      <w:r>
        <w:rPr>
          <w:color w:val="231F20"/>
        </w:rPr>
        <w:t>un</w:t>
      </w:r>
      <w:r>
        <w:rPr>
          <w:color w:val="231F20"/>
          <w:spacing w:val="-5"/>
        </w:rPr>
        <w:t> </w:t>
      </w:r>
      <w:r>
        <w:rPr>
          <w:color w:val="231F20"/>
        </w:rPr>
        <w:t>giudice</w:t>
      </w:r>
      <w:r>
        <w:rPr>
          <w:color w:val="231F20"/>
          <w:spacing w:val="-5"/>
        </w:rPr>
        <w:t> </w:t>
      </w:r>
      <w:r>
        <w:rPr>
          <w:color w:val="231F20"/>
        </w:rPr>
        <w:t>di uno Stato membro constati che una stessa operazione imponibile è stata oggetto</w:t>
      </w:r>
      <w:r>
        <w:rPr>
          <w:color w:val="231F20"/>
          <w:spacing w:val="-14"/>
        </w:rPr>
        <w:t> </w:t>
      </w:r>
      <w:r>
        <w:rPr>
          <w:color w:val="231F20"/>
        </w:rPr>
        <w:t>di</w:t>
      </w:r>
      <w:r>
        <w:rPr>
          <w:color w:val="231F20"/>
          <w:spacing w:val="-14"/>
        </w:rPr>
        <w:t> </w:t>
      </w:r>
      <w:r>
        <w:rPr>
          <w:color w:val="231F20"/>
        </w:rPr>
        <w:t>una</w:t>
      </w:r>
      <w:r>
        <w:rPr>
          <w:color w:val="231F20"/>
          <w:spacing w:val="-14"/>
        </w:rPr>
        <w:t> </w:t>
      </w:r>
      <w:r>
        <w:rPr>
          <w:color w:val="231F20"/>
        </w:rPr>
        <w:t>qualificazione</w:t>
      </w:r>
      <w:r>
        <w:rPr>
          <w:color w:val="231F20"/>
          <w:spacing w:val="-14"/>
        </w:rPr>
        <w:t> </w:t>
      </w:r>
      <w:r>
        <w:rPr>
          <w:color w:val="231F20"/>
        </w:rPr>
        <w:t>differente</w:t>
      </w:r>
      <w:r>
        <w:rPr>
          <w:color w:val="231F20"/>
          <w:spacing w:val="-14"/>
        </w:rPr>
        <w:t> </w:t>
      </w:r>
      <w:r>
        <w:rPr>
          <w:color w:val="231F20"/>
        </w:rPr>
        <w:t>in</w:t>
      </w:r>
      <w:r>
        <w:rPr>
          <w:color w:val="231F20"/>
          <w:spacing w:val="-14"/>
        </w:rPr>
        <w:t> </w:t>
      </w:r>
      <w:r>
        <w:rPr>
          <w:color w:val="231F20"/>
        </w:rPr>
        <w:t>un</w:t>
      </w:r>
      <w:r>
        <w:rPr>
          <w:color w:val="231F20"/>
          <w:spacing w:val="-14"/>
        </w:rPr>
        <w:t> </w:t>
      </w:r>
      <w:r>
        <w:rPr>
          <w:color w:val="231F20"/>
        </w:rPr>
        <w:t>altro</w:t>
      </w:r>
      <w:r>
        <w:rPr>
          <w:color w:val="231F20"/>
          <w:spacing w:val="-14"/>
        </w:rPr>
        <w:t> </w:t>
      </w:r>
      <w:r>
        <w:rPr>
          <w:color w:val="231F20"/>
        </w:rPr>
        <w:t>Stato</w:t>
      </w:r>
      <w:r>
        <w:rPr>
          <w:color w:val="231F20"/>
          <w:spacing w:val="-14"/>
        </w:rPr>
        <w:t> </w:t>
      </w:r>
      <w:r>
        <w:rPr>
          <w:color w:val="231F20"/>
        </w:rPr>
        <w:t>membro,</w:t>
      </w:r>
      <w:r>
        <w:rPr>
          <w:color w:val="231F20"/>
          <w:spacing w:val="-14"/>
        </w:rPr>
        <w:t> </w:t>
      </w:r>
      <w:r>
        <w:rPr>
          <w:color w:val="231F20"/>
        </w:rPr>
        <w:t>esso</w:t>
      </w:r>
      <w:r>
        <w:rPr>
          <w:color w:val="231F20"/>
          <w:spacing w:val="-14"/>
        </w:rPr>
        <w:t> </w:t>
      </w:r>
      <w:r>
        <w:rPr>
          <w:color w:val="231F20"/>
        </w:rPr>
        <w:t>avrà un</w:t>
      </w:r>
      <w:r>
        <w:rPr>
          <w:color w:val="231F20"/>
          <w:spacing w:val="-2"/>
        </w:rPr>
        <w:t> </w:t>
      </w:r>
      <w:r>
        <w:rPr>
          <w:color w:val="231F20"/>
        </w:rPr>
        <w:t>buon</w:t>
      </w:r>
      <w:r>
        <w:rPr>
          <w:color w:val="231F20"/>
          <w:spacing w:val="-2"/>
        </w:rPr>
        <w:t> </w:t>
      </w:r>
      <w:r>
        <w:rPr>
          <w:color w:val="231F20"/>
        </w:rPr>
        <w:t>motivo</w:t>
      </w:r>
      <w:r>
        <w:rPr>
          <w:color w:val="231F20"/>
          <w:spacing w:val="-2"/>
        </w:rPr>
        <w:t> </w:t>
      </w:r>
      <w:r>
        <w:rPr>
          <w:color w:val="231F20"/>
        </w:rPr>
        <w:t>in</w:t>
      </w:r>
      <w:r>
        <w:rPr>
          <w:color w:val="231F20"/>
          <w:spacing w:val="-2"/>
        </w:rPr>
        <w:t> </w:t>
      </w:r>
      <w:r>
        <w:rPr>
          <w:color w:val="231F20"/>
        </w:rPr>
        <w:t>più</w:t>
      </w:r>
      <w:r>
        <w:rPr>
          <w:color w:val="231F20"/>
          <w:spacing w:val="-2"/>
        </w:rPr>
        <w:t> </w:t>
      </w:r>
      <w:r>
        <w:rPr>
          <w:color w:val="231F20"/>
        </w:rPr>
        <w:t>–</w:t>
      </w:r>
      <w:r>
        <w:rPr>
          <w:color w:val="231F20"/>
          <w:spacing w:val="-2"/>
        </w:rPr>
        <w:t> </w:t>
      </w:r>
      <w:r>
        <w:rPr>
          <w:color w:val="231F20"/>
        </w:rPr>
        <w:t>o</w:t>
      </w:r>
      <w:r>
        <w:rPr>
          <w:color w:val="231F20"/>
          <w:spacing w:val="-2"/>
        </w:rPr>
        <w:t> </w:t>
      </w:r>
      <w:r>
        <w:rPr>
          <w:color w:val="231F20"/>
        </w:rPr>
        <w:t>addirittura</w:t>
      </w:r>
      <w:r>
        <w:rPr>
          <w:color w:val="231F20"/>
          <w:spacing w:val="-2"/>
        </w:rPr>
        <w:t> </w:t>
      </w:r>
      <w:r>
        <w:rPr>
          <w:color w:val="231F20"/>
        </w:rPr>
        <w:t>l’obbligo</w:t>
      </w:r>
      <w:r>
        <w:rPr>
          <w:color w:val="231F20"/>
          <w:spacing w:val="-2"/>
        </w:rPr>
        <w:t> </w:t>
      </w:r>
      <w:r>
        <w:rPr>
          <w:color w:val="231F20"/>
        </w:rPr>
        <w:t>in</w:t>
      </w:r>
      <w:r>
        <w:rPr>
          <w:color w:val="231F20"/>
          <w:spacing w:val="-2"/>
        </w:rPr>
        <w:t> </w:t>
      </w:r>
      <w:r>
        <w:rPr>
          <w:color w:val="231F20"/>
        </w:rPr>
        <w:t>caso</w:t>
      </w:r>
      <w:r>
        <w:rPr>
          <w:color w:val="231F20"/>
          <w:spacing w:val="-2"/>
        </w:rPr>
        <w:t> </w:t>
      </w:r>
      <w:r>
        <w:rPr>
          <w:color w:val="231F20"/>
        </w:rPr>
        <w:t>di</w:t>
      </w:r>
      <w:r>
        <w:rPr>
          <w:color w:val="231F20"/>
          <w:spacing w:val="-2"/>
        </w:rPr>
        <w:t> </w:t>
      </w:r>
      <w:r>
        <w:rPr>
          <w:color w:val="231F20"/>
        </w:rPr>
        <w:t>giurisdizione</w:t>
      </w:r>
      <w:r>
        <w:rPr>
          <w:color w:val="231F20"/>
          <w:spacing w:val="-2"/>
        </w:rPr>
        <w:t> </w:t>
      </w:r>
      <w:r>
        <w:rPr>
          <w:color w:val="231F20"/>
        </w:rPr>
        <w:t>di ultima istanza – di adire la Corte di giustizia </w:t>
      </w:r>
      <w:r>
        <w:rPr>
          <w:i/>
          <w:color w:val="231F20"/>
        </w:rPr>
        <w:t>ex </w:t>
      </w:r>
      <w:r>
        <w:rPr>
          <w:color w:val="231F20"/>
        </w:rPr>
        <w:t>art. 267 TFUE con una questione interpretativa della disposizione della direttiva (UE) 2006/112 applicabile</w:t>
      </w:r>
      <w:r>
        <w:rPr>
          <w:color w:val="231F20"/>
          <w:spacing w:val="-2"/>
        </w:rPr>
        <w:t> </w:t>
      </w:r>
      <w:r>
        <w:rPr>
          <w:color w:val="231F20"/>
        </w:rPr>
        <w:t>nella</w:t>
      </w:r>
      <w:r>
        <w:rPr>
          <w:color w:val="231F20"/>
          <w:spacing w:val="-2"/>
        </w:rPr>
        <w:t> </w:t>
      </w:r>
      <w:r>
        <w:rPr>
          <w:color w:val="231F20"/>
        </w:rPr>
        <w:t>controversia</w:t>
      </w:r>
      <w:r>
        <w:rPr>
          <w:color w:val="231F20"/>
          <w:spacing w:val="-2"/>
        </w:rPr>
        <w:t> </w:t>
      </w:r>
      <w:r>
        <w:rPr>
          <w:color w:val="231F20"/>
        </w:rPr>
        <w:t>sottoposta</w:t>
      </w:r>
      <w:r>
        <w:rPr>
          <w:color w:val="231F20"/>
          <w:spacing w:val="-2"/>
        </w:rPr>
        <w:t> </w:t>
      </w:r>
      <w:r>
        <w:rPr>
          <w:color w:val="231F20"/>
        </w:rPr>
        <w:t>al</w:t>
      </w:r>
      <w:r>
        <w:rPr>
          <w:color w:val="231F20"/>
          <w:spacing w:val="-2"/>
        </w:rPr>
        <w:t> </w:t>
      </w:r>
      <w:r>
        <w:rPr>
          <w:color w:val="231F20"/>
        </w:rPr>
        <w:t>suo</w:t>
      </w:r>
      <w:r>
        <w:rPr>
          <w:color w:val="231F20"/>
          <w:spacing w:val="-2"/>
        </w:rPr>
        <w:t> </w:t>
      </w:r>
      <w:r>
        <w:rPr>
          <w:color w:val="231F20"/>
        </w:rPr>
        <w:t>giudizio.</w:t>
      </w:r>
      <w:r>
        <w:rPr>
          <w:color w:val="231F20"/>
          <w:spacing w:val="-2"/>
        </w:rPr>
        <w:t> </w:t>
      </w:r>
      <w:r>
        <w:rPr>
          <w:color w:val="231F20"/>
        </w:rPr>
        <w:t>Qualora</w:t>
      </w:r>
      <w:r>
        <w:rPr>
          <w:color w:val="231F20"/>
          <w:spacing w:val="-2"/>
        </w:rPr>
        <w:t> </w:t>
      </w:r>
      <w:r>
        <w:rPr>
          <w:color w:val="231F20"/>
        </w:rPr>
        <w:t>poi,</w:t>
      </w:r>
      <w:r>
        <w:rPr>
          <w:color w:val="231F20"/>
          <w:spacing w:val="-2"/>
        </w:rPr>
        <w:t> </w:t>
      </w:r>
      <w:r>
        <w:rPr>
          <w:color w:val="231F20"/>
        </w:rPr>
        <w:t>a</w:t>
      </w:r>
      <w:r>
        <w:rPr>
          <w:color w:val="231F20"/>
          <w:spacing w:val="-2"/>
        </w:rPr>
        <w:t> </w:t>
      </w:r>
      <w:r>
        <w:rPr>
          <w:color w:val="231F20"/>
        </w:rPr>
        <w:t>se- guito di una sentenza interpretativa della Corte di giustizia, risultasse che l’IVA già versata nel primo Stato membro lo era stata in modo indebito,</w:t>
      </w:r>
      <w:r>
        <w:rPr>
          <w:color w:val="231F20"/>
          <w:spacing w:val="80"/>
        </w:rPr>
        <w:t> </w:t>
      </w:r>
      <w:r>
        <w:rPr>
          <w:color w:val="231F20"/>
        </w:rPr>
        <w:t>il soggetto passivo costretto a versare l’IVA una seconda volta nello Sta-</w:t>
      </w:r>
      <w:r>
        <w:rPr>
          <w:color w:val="231F20"/>
          <w:spacing w:val="80"/>
        </w:rPr>
        <w:t> </w:t>
      </w:r>
      <w:r>
        <w:rPr>
          <w:color w:val="231F20"/>
        </w:rPr>
        <w:t>to membro del giudice di rinvio avrà diritto – sempre secondo i giudici dell’Unione – alla restituzione dell’IVA pagata nel primo Stato membro secondo i consolidati principi giurisprudenziali in materia di ripetizione dell’indebito fiscale</w:t>
      </w:r>
      <w:r>
        <w:rPr>
          <w:color w:val="231F20"/>
          <w:position w:val="8"/>
          <w:sz w:val="14"/>
        </w:rPr>
        <w:t>143</w:t>
      </w:r>
      <w:r>
        <w:rPr>
          <w:color w:val="231F20"/>
        </w:rPr>
        <w:t>.</w:t>
      </w:r>
    </w:p>
    <w:p>
      <w:pPr>
        <w:pStyle w:val="BodyText"/>
        <w:spacing w:line="225" w:lineRule="auto" w:before="18"/>
        <w:ind w:left="100" w:right="174" w:firstLine="340"/>
        <w:jc w:val="both"/>
        <w:rPr>
          <w:i/>
        </w:rPr>
      </w:pPr>
      <w:r>
        <w:rPr>
          <w:color w:val="231F20"/>
        </w:rPr>
        <w:t>È evidente che la soluzione delineata dalla Corte di giustizia al proble- ma della doppia imposizione IVA per le stesse operazioni imponibili non</w:t>
      </w:r>
      <w:r>
        <w:rPr>
          <w:color w:val="231F20"/>
          <w:spacing w:val="40"/>
        </w:rPr>
        <w:t> </w:t>
      </w:r>
      <w:r>
        <w:rPr>
          <w:color w:val="231F20"/>
        </w:rPr>
        <w:t>è affatto soddisfacente, in quanto essa consiste nel costringere il </w:t>
      </w:r>
      <w:r>
        <w:rPr>
          <w:color w:val="231F20"/>
        </w:rPr>
        <w:t>soggetto passivo IVA doppiamente imposto ad intentare un’azione di ripetizione dell’indebito fiscale nello Stato membro in cui esso aveva già pagato una prima volta l’IVA sulle stesse operazioni imponibili, con un conseguente aggravio di costi, di natura sia tributaria che processuale, che per il contri- buente</w:t>
      </w:r>
      <w:r>
        <w:rPr>
          <w:color w:val="231F20"/>
          <w:spacing w:val="-13"/>
        </w:rPr>
        <w:t> </w:t>
      </w:r>
      <w:r>
        <w:rPr>
          <w:color w:val="231F20"/>
        </w:rPr>
        <w:t>risulta</w:t>
      </w:r>
      <w:r>
        <w:rPr>
          <w:color w:val="231F20"/>
          <w:spacing w:val="-13"/>
        </w:rPr>
        <w:t> </w:t>
      </w:r>
      <w:r>
        <w:rPr>
          <w:color w:val="231F20"/>
        </w:rPr>
        <w:t>assolutamente</w:t>
      </w:r>
      <w:r>
        <w:rPr>
          <w:color w:val="231F20"/>
          <w:spacing w:val="-13"/>
        </w:rPr>
        <w:t> </w:t>
      </w:r>
      <w:r>
        <w:rPr>
          <w:color w:val="231F20"/>
        </w:rPr>
        <w:t>eccessivo,</w:t>
      </w:r>
      <w:r>
        <w:rPr>
          <w:color w:val="231F20"/>
          <w:spacing w:val="-13"/>
        </w:rPr>
        <w:t> </w:t>
      </w:r>
      <w:r>
        <w:rPr>
          <w:color w:val="231F20"/>
        </w:rPr>
        <w:t>almeno</w:t>
      </w:r>
      <w:r>
        <w:rPr>
          <w:color w:val="231F20"/>
          <w:spacing w:val="-13"/>
        </w:rPr>
        <w:t> </w:t>
      </w:r>
      <w:r>
        <w:rPr>
          <w:color w:val="231F20"/>
        </w:rPr>
        <w:t>nella</w:t>
      </w:r>
      <w:r>
        <w:rPr>
          <w:color w:val="231F20"/>
          <w:spacing w:val="-13"/>
        </w:rPr>
        <w:t> </w:t>
      </w:r>
      <w:r>
        <w:rPr>
          <w:color w:val="231F20"/>
        </w:rPr>
        <w:t>maggior</w:t>
      </w:r>
      <w:r>
        <w:rPr>
          <w:color w:val="231F20"/>
          <w:spacing w:val="-13"/>
        </w:rPr>
        <w:t> </w:t>
      </w:r>
      <w:r>
        <w:rPr>
          <w:color w:val="231F20"/>
        </w:rPr>
        <w:t>parte</w:t>
      </w:r>
      <w:r>
        <w:rPr>
          <w:color w:val="231F20"/>
          <w:spacing w:val="-13"/>
        </w:rPr>
        <w:t> </w:t>
      </w:r>
      <w:r>
        <w:rPr>
          <w:color w:val="231F20"/>
        </w:rPr>
        <w:t>dei</w:t>
      </w:r>
      <w:r>
        <w:rPr>
          <w:color w:val="231F20"/>
          <w:spacing w:val="-13"/>
        </w:rPr>
        <w:t> </w:t>
      </w:r>
      <w:r>
        <w:rPr>
          <w:color w:val="231F20"/>
        </w:rPr>
        <w:t>casi. È pertanto compito del legislatore tributario dell’Unione (Commissione europea e Consiglio dei Ministri della Finanze) elaborare ed adottare un nuovo regolamento che introduca una procedura di arbitrato obbligatorio fra due amministrazioni finanziarie nazionali in caso disaccordo in ordine alla</w:t>
      </w:r>
      <w:r>
        <w:rPr>
          <w:color w:val="231F20"/>
          <w:spacing w:val="-13"/>
        </w:rPr>
        <w:t> </w:t>
      </w:r>
      <w:r>
        <w:rPr>
          <w:color w:val="231F20"/>
        </w:rPr>
        <w:t>qualificazione</w:t>
      </w:r>
      <w:r>
        <w:rPr>
          <w:color w:val="231F20"/>
          <w:spacing w:val="-13"/>
        </w:rPr>
        <w:t> </w:t>
      </w:r>
      <w:r>
        <w:rPr>
          <w:color w:val="231F20"/>
        </w:rPr>
        <w:t>a</w:t>
      </w:r>
      <w:r>
        <w:rPr>
          <w:color w:val="231F20"/>
          <w:spacing w:val="-13"/>
        </w:rPr>
        <w:t> </w:t>
      </w:r>
      <w:r>
        <w:rPr>
          <w:color w:val="231F20"/>
        </w:rPr>
        <w:t>fini</w:t>
      </w:r>
      <w:r>
        <w:rPr>
          <w:color w:val="231F20"/>
          <w:spacing w:val="-13"/>
        </w:rPr>
        <w:t> </w:t>
      </w:r>
      <w:r>
        <w:rPr>
          <w:color w:val="231F20"/>
        </w:rPr>
        <w:t>IVA</w:t>
      </w:r>
      <w:r>
        <w:rPr>
          <w:color w:val="231F20"/>
          <w:spacing w:val="-13"/>
        </w:rPr>
        <w:t> </w:t>
      </w:r>
      <w:r>
        <w:rPr>
          <w:color w:val="231F20"/>
        </w:rPr>
        <w:t>di</w:t>
      </w:r>
      <w:r>
        <w:rPr>
          <w:color w:val="231F20"/>
          <w:spacing w:val="-13"/>
        </w:rPr>
        <w:t> </w:t>
      </w:r>
      <w:r>
        <w:rPr>
          <w:color w:val="231F20"/>
        </w:rPr>
        <w:t>una</w:t>
      </w:r>
      <w:r>
        <w:rPr>
          <w:color w:val="231F20"/>
          <w:spacing w:val="-13"/>
        </w:rPr>
        <w:t> </w:t>
      </w:r>
      <w:r>
        <w:rPr>
          <w:color w:val="231F20"/>
        </w:rPr>
        <w:t>data</w:t>
      </w:r>
      <w:r>
        <w:rPr>
          <w:color w:val="231F20"/>
          <w:spacing w:val="-13"/>
        </w:rPr>
        <w:t> </w:t>
      </w:r>
      <w:r>
        <w:rPr>
          <w:color w:val="231F20"/>
        </w:rPr>
        <w:t>operazione</w:t>
      </w:r>
      <w:r>
        <w:rPr>
          <w:color w:val="231F20"/>
          <w:spacing w:val="-13"/>
        </w:rPr>
        <w:t> </w:t>
      </w:r>
      <w:r>
        <w:rPr>
          <w:color w:val="231F20"/>
        </w:rPr>
        <w:t>imponibile,</w:t>
      </w:r>
      <w:r>
        <w:rPr>
          <w:color w:val="231F20"/>
          <w:spacing w:val="-13"/>
        </w:rPr>
        <w:t> </w:t>
      </w:r>
      <w:r>
        <w:rPr>
          <w:color w:val="231F20"/>
        </w:rPr>
        <w:t>in</w:t>
      </w:r>
      <w:r>
        <w:rPr>
          <w:color w:val="231F20"/>
          <w:spacing w:val="-13"/>
        </w:rPr>
        <w:t> </w:t>
      </w:r>
      <w:r>
        <w:rPr>
          <w:color w:val="231F20"/>
        </w:rPr>
        <w:t>partico- lare per quanto riguarda il luogo in cui deve essere localizzata detta opera- zione</w:t>
      </w:r>
      <w:r>
        <w:rPr>
          <w:color w:val="231F20"/>
          <w:spacing w:val="-12"/>
        </w:rPr>
        <w:t> </w:t>
      </w:r>
      <w:r>
        <w:rPr>
          <w:color w:val="231F20"/>
        </w:rPr>
        <w:t>sulla</w:t>
      </w:r>
      <w:r>
        <w:rPr>
          <w:color w:val="231F20"/>
          <w:spacing w:val="-12"/>
        </w:rPr>
        <w:t> </w:t>
      </w:r>
      <w:r>
        <w:rPr>
          <w:color w:val="231F20"/>
        </w:rPr>
        <w:t>base</w:t>
      </w:r>
      <w:r>
        <w:rPr>
          <w:color w:val="231F20"/>
          <w:spacing w:val="-12"/>
        </w:rPr>
        <w:t> </w:t>
      </w:r>
      <w:r>
        <w:rPr>
          <w:color w:val="231F20"/>
        </w:rPr>
        <w:t>delle</w:t>
      </w:r>
      <w:r>
        <w:rPr>
          <w:color w:val="231F20"/>
          <w:spacing w:val="-12"/>
        </w:rPr>
        <w:t> </w:t>
      </w:r>
      <w:r>
        <w:rPr>
          <w:color w:val="231F20"/>
        </w:rPr>
        <w:t>pertinenti</w:t>
      </w:r>
      <w:r>
        <w:rPr>
          <w:color w:val="231F20"/>
          <w:spacing w:val="-12"/>
        </w:rPr>
        <w:t> </w:t>
      </w:r>
      <w:r>
        <w:rPr>
          <w:color w:val="231F20"/>
        </w:rPr>
        <w:t>disposizioni</w:t>
      </w:r>
      <w:r>
        <w:rPr>
          <w:color w:val="231F20"/>
          <w:spacing w:val="-12"/>
        </w:rPr>
        <w:t> </w:t>
      </w:r>
      <w:r>
        <w:rPr>
          <w:color w:val="231F20"/>
        </w:rPr>
        <w:t>della</w:t>
      </w:r>
      <w:r>
        <w:rPr>
          <w:color w:val="231F20"/>
          <w:spacing w:val="-12"/>
        </w:rPr>
        <w:t> </w:t>
      </w:r>
      <w:r>
        <w:rPr>
          <w:color w:val="231F20"/>
        </w:rPr>
        <w:t>direttiva</w:t>
      </w:r>
      <w:r>
        <w:rPr>
          <w:color w:val="231F20"/>
          <w:spacing w:val="-12"/>
        </w:rPr>
        <w:t> </w:t>
      </w:r>
      <w:r>
        <w:rPr>
          <w:color w:val="231F20"/>
        </w:rPr>
        <w:t>(UE)</w:t>
      </w:r>
      <w:r>
        <w:rPr>
          <w:color w:val="231F20"/>
          <w:spacing w:val="-12"/>
        </w:rPr>
        <w:t> </w:t>
      </w:r>
      <w:r>
        <w:rPr>
          <w:color w:val="231F20"/>
        </w:rPr>
        <w:t>2006/112. Una decisione vincolante preventiva in ordine allo Stato membro in cui il soggetto</w:t>
      </w:r>
      <w:r>
        <w:rPr>
          <w:color w:val="231F20"/>
          <w:spacing w:val="-12"/>
        </w:rPr>
        <w:t> </w:t>
      </w:r>
      <w:r>
        <w:rPr>
          <w:color w:val="231F20"/>
        </w:rPr>
        <w:t>passivo</w:t>
      </w:r>
      <w:r>
        <w:rPr>
          <w:color w:val="231F20"/>
          <w:spacing w:val="-12"/>
        </w:rPr>
        <w:t> </w:t>
      </w:r>
      <w:r>
        <w:rPr>
          <w:color w:val="231F20"/>
        </w:rPr>
        <w:t>deve</w:t>
      </w:r>
      <w:r>
        <w:rPr>
          <w:color w:val="231F20"/>
          <w:spacing w:val="-12"/>
        </w:rPr>
        <w:t> </w:t>
      </w:r>
      <w:r>
        <w:rPr>
          <w:color w:val="231F20"/>
        </w:rPr>
        <w:t>versare</w:t>
      </w:r>
      <w:r>
        <w:rPr>
          <w:color w:val="231F20"/>
          <w:spacing w:val="-12"/>
        </w:rPr>
        <w:t> </w:t>
      </w:r>
      <w:r>
        <w:rPr>
          <w:color w:val="231F20"/>
        </w:rPr>
        <w:t>l’IVA</w:t>
      </w:r>
      <w:r>
        <w:rPr>
          <w:color w:val="231F20"/>
          <w:spacing w:val="-12"/>
        </w:rPr>
        <w:t> </w:t>
      </w:r>
      <w:r>
        <w:rPr>
          <w:color w:val="231F20"/>
        </w:rPr>
        <w:t>una</w:t>
      </w:r>
      <w:r>
        <w:rPr>
          <w:color w:val="231F20"/>
          <w:spacing w:val="-12"/>
        </w:rPr>
        <w:t> </w:t>
      </w:r>
      <w:r>
        <w:rPr>
          <w:color w:val="231F20"/>
        </w:rPr>
        <w:t>prima</w:t>
      </w:r>
      <w:r>
        <w:rPr>
          <w:color w:val="231F20"/>
          <w:spacing w:val="-12"/>
        </w:rPr>
        <w:t> </w:t>
      </w:r>
      <w:r>
        <w:rPr>
          <w:color w:val="231F20"/>
        </w:rPr>
        <w:t>ed</w:t>
      </w:r>
      <w:r>
        <w:rPr>
          <w:color w:val="231F20"/>
          <w:spacing w:val="-12"/>
        </w:rPr>
        <w:t> </w:t>
      </w:r>
      <w:r>
        <w:rPr>
          <w:color w:val="231F20"/>
        </w:rPr>
        <w:t>unica</w:t>
      </w:r>
      <w:r>
        <w:rPr>
          <w:color w:val="231F20"/>
          <w:spacing w:val="-12"/>
        </w:rPr>
        <w:t> </w:t>
      </w:r>
      <w:r>
        <w:rPr>
          <w:color w:val="231F20"/>
        </w:rPr>
        <w:t>volta</w:t>
      </w:r>
      <w:r>
        <w:rPr>
          <w:color w:val="231F20"/>
          <w:spacing w:val="-12"/>
        </w:rPr>
        <w:t> </w:t>
      </w:r>
      <w:r>
        <w:rPr>
          <w:color w:val="231F20"/>
        </w:rPr>
        <w:t>appare</w:t>
      </w:r>
      <w:r>
        <w:rPr>
          <w:color w:val="231F20"/>
          <w:spacing w:val="-12"/>
        </w:rPr>
        <w:t> </w:t>
      </w:r>
      <w:r>
        <w:rPr>
          <w:color w:val="231F20"/>
        </w:rPr>
        <w:t>l’unico strumento amministrativo che potrebbe efficacemente evitare alla radice i pericoli di doppia imposizione IVA all’interno dell’Unione europea, peri- coli del tutto reali e concreti come dimostrano le sopradescritte vicende processuali delle società </w:t>
      </w:r>
      <w:r>
        <w:rPr>
          <w:i/>
          <w:color w:val="231F20"/>
        </w:rPr>
        <w:t>WebMind Licenses </w:t>
      </w:r>
      <w:r>
        <w:rPr>
          <w:color w:val="231F20"/>
        </w:rPr>
        <w:t>e </w:t>
      </w:r>
      <w:r>
        <w:rPr>
          <w:i/>
          <w:color w:val="231F20"/>
        </w:rPr>
        <w:t>KrakVet144.</w:t>
      </w:r>
    </w:p>
    <w:p>
      <w:pPr>
        <w:pStyle w:val="BodyText"/>
        <w:spacing w:before="8"/>
        <w:rPr>
          <w:i/>
          <w:sz w:val="5"/>
        </w:rPr>
      </w:pPr>
      <w:r>
        <w:rPr/>
        <mc:AlternateContent>
          <mc:Choice Requires="wps">
            <w:drawing>
              <wp:anchor distT="0" distB="0" distL="0" distR="0" allowOverlap="1" layoutInCell="1" locked="0" behindDoc="1" simplePos="0" relativeHeight="487652352">
                <wp:simplePos x="0" y="0"/>
                <wp:positionH relativeFrom="page">
                  <wp:posOffset>864000</wp:posOffset>
                </wp:positionH>
                <wp:positionV relativeFrom="paragraph">
                  <wp:posOffset>60747</wp:posOffset>
                </wp:positionV>
                <wp:extent cx="792480" cy="1270"/>
                <wp:effectExtent l="0" t="0" r="0" b="0"/>
                <wp:wrapTopAndBottom/>
                <wp:docPr id="205" name="Graphic 205"/>
                <wp:cNvGraphicFramePr>
                  <a:graphicFrameLocks/>
                </wp:cNvGraphicFramePr>
                <a:graphic>
                  <a:graphicData uri="http://schemas.microsoft.com/office/word/2010/wordprocessingShape">
                    <wps:wsp>
                      <wps:cNvPr id="205" name="Graphic 205"/>
                      <wps:cNvSpPr/>
                      <wps:spPr>
                        <a:xfrm>
                          <a:off x="0" y="0"/>
                          <a:ext cx="792480" cy="1270"/>
                        </a:xfrm>
                        <a:custGeom>
                          <a:avLst/>
                          <a:gdLst/>
                          <a:ahLst/>
                          <a:cxnLst/>
                          <a:rect l="l" t="t" r="r" b="b"/>
                          <a:pathLst>
                            <a:path w="792480" h="0">
                              <a:moveTo>
                                <a:pt x="0" y="0"/>
                              </a:moveTo>
                              <a:lnTo>
                                <a:pt x="791997"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shape style="position:absolute;margin-left:68.031502pt;margin-top:4.7833pt;width:62.4pt;height:.1pt;mso-position-horizontal-relative:page;mso-position-vertical-relative:paragraph;z-index:-15664128;mso-wrap-distance-left:0;mso-wrap-distance-right:0" id="docshape170" coordorigin="1361,96" coordsize="1248,0" path="m1361,96l2608,96e" filled="false" stroked="true" strokeweight=".5pt" strokecolor="#231f20">
                <v:path arrowok="t"/>
                <v:stroke dashstyle="solid"/>
                <w10:wrap type="topAndBottom"/>
              </v:shape>
            </w:pict>
          </mc:Fallback>
        </mc:AlternateContent>
      </w:r>
    </w:p>
    <w:p>
      <w:pPr>
        <w:spacing w:line="235" w:lineRule="exact" w:before="190"/>
        <w:ind w:left="100" w:right="0" w:firstLine="0"/>
        <w:jc w:val="left"/>
        <w:rPr>
          <w:sz w:val="19"/>
        </w:rPr>
      </w:pPr>
      <w:r>
        <w:rPr>
          <w:color w:val="231F20"/>
          <w:position w:val="6"/>
          <w:sz w:val="11"/>
        </w:rPr>
        <w:t>143</w:t>
      </w:r>
      <w:r>
        <w:rPr>
          <w:color w:val="231F20"/>
          <w:spacing w:val="79"/>
          <w:position w:val="6"/>
          <w:sz w:val="11"/>
        </w:rPr>
        <w:t> </w:t>
      </w:r>
      <w:r>
        <w:rPr>
          <w:color w:val="231F20"/>
          <w:sz w:val="19"/>
        </w:rPr>
        <w:t>Corte Giust. UE, ult.</w:t>
      </w:r>
      <w:r>
        <w:rPr>
          <w:color w:val="231F20"/>
          <w:spacing w:val="-1"/>
          <w:sz w:val="19"/>
        </w:rPr>
        <w:t> </w:t>
      </w:r>
      <w:r>
        <w:rPr>
          <w:color w:val="231F20"/>
          <w:sz w:val="19"/>
        </w:rPr>
        <w:t>cit., C-276/18, punti 50, 51 e </w:t>
      </w:r>
      <w:r>
        <w:rPr>
          <w:color w:val="231F20"/>
          <w:spacing w:val="-5"/>
          <w:sz w:val="19"/>
        </w:rPr>
        <w:t>52.</w:t>
      </w:r>
    </w:p>
    <w:p>
      <w:pPr>
        <w:spacing w:line="225" w:lineRule="auto" w:before="4"/>
        <w:ind w:left="100" w:right="174" w:firstLine="0"/>
        <w:jc w:val="left"/>
        <w:rPr>
          <w:sz w:val="19"/>
        </w:rPr>
      </w:pPr>
      <w:r>
        <w:rPr>
          <w:color w:val="231F20"/>
          <w:position w:val="6"/>
          <w:sz w:val="11"/>
        </w:rPr>
        <w:t>144</w:t>
      </w:r>
      <w:r>
        <w:rPr>
          <w:color w:val="231F20"/>
          <w:spacing w:val="80"/>
          <w:position w:val="6"/>
          <w:sz w:val="11"/>
        </w:rPr>
        <w:t> </w:t>
      </w:r>
      <w:r>
        <w:rPr>
          <w:color w:val="231F20"/>
          <w:sz w:val="19"/>
        </w:rPr>
        <w:t>L’autorità</w:t>
      </w:r>
      <w:r>
        <w:rPr>
          <w:color w:val="231F20"/>
          <w:spacing w:val="33"/>
          <w:sz w:val="19"/>
        </w:rPr>
        <w:t> </w:t>
      </w:r>
      <w:r>
        <w:rPr>
          <w:color w:val="231F20"/>
          <w:sz w:val="19"/>
        </w:rPr>
        <w:t>europea</w:t>
      </w:r>
      <w:r>
        <w:rPr>
          <w:color w:val="231F20"/>
          <w:spacing w:val="33"/>
          <w:sz w:val="19"/>
        </w:rPr>
        <w:t> </w:t>
      </w:r>
      <w:r>
        <w:rPr>
          <w:color w:val="231F20"/>
          <w:sz w:val="19"/>
        </w:rPr>
        <w:t>che</w:t>
      </w:r>
      <w:r>
        <w:rPr>
          <w:color w:val="231F20"/>
          <w:spacing w:val="33"/>
          <w:sz w:val="19"/>
        </w:rPr>
        <w:t> </w:t>
      </w:r>
      <w:r>
        <w:rPr>
          <w:color w:val="231F20"/>
          <w:sz w:val="19"/>
        </w:rPr>
        <w:t>potrebbe</w:t>
      </w:r>
      <w:r>
        <w:rPr>
          <w:color w:val="231F20"/>
          <w:spacing w:val="33"/>
          <w:sz w:val="19"/>
        </w:rPr>
        <w:t> </w:t>
      </w:r>
      <w:r>
        <w:rPr>
          <w:color w:val="231F20"/>
          <w:sz w:val="19"/>
        </w:rPr>
        <w:t>gestire</w:t>
      </w:r>
      <w:r>
        <w:rPr>
          <w:color w:val="231F20"/>
          <w:spacing w:val="33"/>
          <w:sz w:val="19"/>
        </w:rPr>
        <w:t> </w:t>
      </w:r>
      <w:r>
        <w:rPr>
          <w:color w:val="231F20"/>
          <w:sz w:val="19"/>
        </w:rPr>
        <w:t>efficacemente</w:t>
      </w:r>
      <w:r>
        <w:rPr>
          <w:color w:val="231F20"/>
          <w:spacing w:val="33"/>
          <w:sz w:val="19"/>
        </w:rPr>
        <w:t> </w:t>
      </w:r>
      <w:r>
        <w:rPr>
          <w:color w:val="231F20"/>
          <w:sz w:val="19"/>
        </w:rPr>
        <w:t>una</w:t>
      </w:r>
      <w:r>
        <w:rPr>
          <w:color w:val="231F20"/>
          <w:spacing w:val="33"/>
          <w:sz w:val="19"/>
        </w:rPr>
        <w:t> </w:t>
      </w:r>
      <w:r>
        <w:rPr>
          <w:color w:val="231F20"/>
          <w:sz w:val="19"/>
        </w:rPr>
        <w:t>tale</w:t>
      </w:r>
      <w:r>
        <w:rPr>
          <w:color w:val="231F20"/>
          <w:spacing w:val="33"/>
          <w:sz w:val="19"/>
        </w:rPr>
        <w:t> </w:t>
      </w:r>
      <w:r>
        <w:rPr>
          <w:color w:val="231F20"/>
          <w:sz w:val="19"/>
        </w:rPr>
        <w:t>procedura</w:t>
      </w:r>
      <w:r>
        <w:rPr>
          <w:color w:val="231F20"/>
          <w:spacing w:val="33"/>
          <w:sz w:val="19"/>
        </w:rPr>
        <w:t> </w:t>
      </w:r>
      <w:r>
        <w:rPr>
          <w:color w:val="231F20"/>
          <w:sz w:val="19"/>
        </w:rPr>
        <w:t>di</w:t>
      </w:r>
      <w:r>
        <w:rPr>
          <w:color w:val="231F20"/>
          <w:spacing w:val="33"/>
          <w:sz w:val="19"/>
        </w:rPr>
        <w:t> </w:t>
      </w:r>
      <w:r>
        <w:rPr>
          <w:color w:val="231F20"/>
          <w:sz w:val="19"/>
        </w:rPr>
        <w:t>arbitrato obbligatorio</w:t>
      </w:r>
      <w:r>
        <w:rPr>
          <w:color w:val="231F20"/>
          <w:spacing w:val="18"/>
          <w:sz w:val="19"/>
        </w:rPr>
        <w:t> </w:t>
      </w:r>
      <w:r>
        <w:rPr>
          <w:color w:val="231F20"/>
          <w:sz w:val="19"/>
        </w:rPr>
        <w:t>per</w:t>
      </w:r>
      <w:r>
        <w:rPr>
          <w:color w:val="231F20"/>
          <w:spacing w:val="19"/>
          <w:sz w:val="19"/>
        </w:rPr>
        <w:t> </w:t>
      </w:r>
      <w:r>
        <w:rPr>
          <w:color w:val="231F20"/>
          <w:sz w:val="19"/>
        </w:rPr>
        <w:t>prevenire</w:t>
      </w:r>
      <w:r>
        <w:rPr>
          <w:color w:val="231F20"/>
          <w:spacing w:val="19"/>
          <w:sz w:val="19"/>
        </w:rPr>
        <w:t> </w:t>
      </w:r>
      <w:r>
        <w:rPr>
          <w:color w:val="231F20"/>
          <w:sz w:val="19"/>
        </w:rPr>
        <w:t>le</w:t>
      </w:r>
      <w:r>
        <w:rPr>
          <w:color w:val="231F20"/>
          <w:spacing w:val="19"/>
          <w:sz w:val="19"/>
        </w:rPr>
        <w:t> </w:t>
      </w:r>
      <w:r>
        <w:rPr>
          <w:color w:val="231F20"/>
          <w:sz w:val="19"/>
        </w:rPr>
        <w:t>doppie</w:t>
      </w:r>
      <w:r>
        <w:rPr>
          <w:color w:val="231F20"/>
          <w:spacing w:val="19"/>
          <w:sz w:val="19"/>
        </w:rPr>
        <w:t> </w:t>
      </w:r>
      <w:r>
        <w:rPr>
          <w:color w:val="231F20"/>
          <w:sz w:val="19"/>
        </w:rPr>
        <w:t>imposizioni</w:t>
      </w:r>
      <w:r>
        <w:rPr>
          <w:color w:val="231F20"/>
          <w:spacing w:val="18"/>
          <w:sz w:val="19"/>
        </w:rPr>
        <w:t> </w:t>
      </w:r>
      <w:r>
        <w:rPr>
          <w:color w:val="231F20"/>
          <w:sz w:val="19"/>
        </w:rPr>
        <w:t>nell’ambito</w:t>
      </w:r>
      <w:r>
        <w:rPr>
          <w:color w:val="231F20"/>
          <w:spacing w:val="19"/>
          <w:sz w:val="19"/>
        </w:rPr>
        <w:t> </w:t>
      </w:r>
      <w:r>
        <w:rPr>
          <w:color w:val="231F20"/>
          <w:sz w:val="19"/>
        </w:rPr>
        <w:t>dei</w:t>
      </w:r>
      <w:r>
        <w:rPr>
          <w:color w:val="231F20"/>
          <w:spacing w:val="19"/>
          <w:sz w:val="19"/>
        </w:rPr>
        <w:t> </w:t>
      </w:r>
      <w:r>
        <w:rPr>
          <w:color w:val="231F20"/>
          <w:sz w:val="19"/>
        </w:rPr>
        <w:t>tributi</w:t>
      </w:r>
      <w:r>
        <w:rPr>
          <w:color w:val="231F20"/>
          <w:spacing w:val="19"/>
          <w:sz w:val="19"/>
        </w:rPr>
        <w:t> </w:t>
      </w:r>
      <w:r>
        <w:rPr>
          <w:color w:val="231F20"/>
          <w:sz w:val="19"/>
        </w:rPr>
        <w:t>armonizzati</w:t>
      </w:r>
      <w:r>
        <w:rPr>
          <w:color w:val="231F20"/>
          <w:spacing w:val="19"/>
          <w:sz w:val="19"/>
        </w:rPr>
        <w:t> </w:t>
      </w:r>
      <w:r>
        <w:rPr>
          <w:color w:val="231F20"/>
          <w:sz w:val="19"/>
        </w:rPr>
        <w:t>(IVA</w:t>
      </w:r>
      <w:r>
        <w:rPr>
          <w:color w:val="231F20"/>
          <w:spacing w:val="19"/>
          <w:sz w:val="19"/>
        </w:rPr>
        <w:t> </w:t>
      </w:r>
      <w:r>
        <w:rPr>
          <w:color w:val="231F20"/>
          <w:spacing w:val="-10"/>
          <w:sz w:val="19"/>
        </w:rPr>
        <w:t>e</w:t>
      </w:r>
    </w:p>
    <w:p>
      <w:pPr>
        <w:spacing w:after="0" w:line="225" w:lineRule="auto"/>
        <w:jc w:val="left"/>
        <w:rPr>
          <w:sz w:val="19"/>
        </w:rPr>
        <w:sectPr>
          <w:pgSz w:w="9640" w:h="13610"/>
          <w:pgMar w:header="0" w:footer="625" w:top="1260" w:bottom="820" w:left="1260" w:right="1240"/>
        </w:sectPr>
      </w:pPr>
    </w:p>
    <w:p>
      <w:pPr>
        <w:pStyle w:val="ListParagraph"/>
        <w:numPr>
          <w:ilvl w:val="1"/>
          <w:numId w:val="4"/>
        </w:numPr>
        <w:tabs>
          <w:tab w:pos="583" w:val="left" w:leader="none"/>
        </w:tabs>
        <w:spacing w:line="240" w:lineRule="auto" w:before="110" w:after="0"/>
        <w:ind w:left="583" w:right="0" w:hanging="426"/>
        <w:jc w:val="left"/>
        <w:rPr>
          <w:b/>
          <w:sz w:val="24"/>
        </w:rPr>
      </w:pPr>
      <w:r>
        <w:rPr/>
        <mc:AlternateContent>
          <mc:Choice Requires="wps">
            <w:drawing>
              <wp:anchor distT="0" distB="0" distL="0" distR="0" allowOverlap="1" layoutInCell="1" locked="0" behindDoc="0" simplePos="0" relativeHeight="15794176">
                <wp:simplePos x="0" y="0"/>
                <wp:positionH relativeFrom="page">
                  <wp:posOffset>5608609</wp:posOffset>
                </wp:positionH>
                <wp:positionV relativeFrom="page">
                  <wp:posOffset>2376001</wp:posOffset>
                </wp:positionV>
                <wp:extent cx="511809" cy="2412365"/>
                <wp:effectExtent l="0" t="0" r="0" b="0"/>
                <wp:wrapNone/>
                <wp:docPr id="206" name="Group 206"/>
                <wp:cNvGraphicFramePr>
                  <a:graphicFrameLocks/>
                </wp:cNvGraphicFramePr>
                <a:graphic>
                  <a:graphicData uri="http://schemas.microsoft.com/office/word/2010/wordprocessingGroup">
                    <wpg:wgp>
                      <wpg:cNvPr id="206" name="Group 206"/>
                      <wpg:cNvGrpSpPr/>
                      <wpg:grpSpPr>
                        <a:xfrm>
                          <a:off x="0" y="0"/>
                          <a:ext cx="511809" cy="2412365"/>
                          <a:chExt cx="511809" cy="2412365"/>
                        </a:xfrm>
                      </wpg:grpSpPr>
                      <wps:wsp>
                        <wps:cNvPr id="207" name="Graphic 207"/>
                        <wps:cNvSpPr/>
                        <wps:spPr>
                          <a:xfrm>
                            <a:off x="7393" y="3"/>
                            <a:ext cx="504190" cy="360045"/>
                          </a:xfrm>
                          <a:custGeom>
                            <a:avLst/>
                            <a:gdLst/>
                            <a:ahLst/>
                            <a:cxnLst/>
                            <a:rect l="l" t="t" r="r" b="b"/>
                            <a:pathLst>
                              <a:path w="504190" h="360045">
                                <a:moveTo>
                                  <a:pt x="503999" y="0"/>
                                </a:moveTo>
                                <a:lnTo>
                                  <a:pt x="0" y="0"/>
                                </a:lnTo>
                                <a:lnTo>
                                  <a:pt x="0" y="359994"/>
                                </a:lnTo>
                                <a:lnTo>
                                  <a:pt x="503999" y="359994"/>
                                </a:lnTo>
                                <a:lnTo>
                                  <a:pt x="503999" y="0"/>
                                </a:lnTo>
                                <a:close/>
                              </a:path>
                            </a:pathLst>
                          </a:custGeom>
                          <a:solidFill>
                            <a:srgbClr val="939598"/>
                          </a:solidFill>
                        </wps:spPr>
                        <wps:bodyPr wrap="square" lIns="0" tIns="0" rIns="0" bIns="0" rtlCol="0">
                          <a:prstTxWarp prst="textNoShape">
                            <a:avLst/>
                          </a:prstTxWarp>
                          <a:noAutofit/>
                        </wps:bodyPr>
                      </wps:wsp>
                      <wps:wsp>
                        <wps:cNvPr id="208" name="Graphic 208"/>
                        <wps:cNvSpPr/>
                        <wps:spPr>
                          <a:xfrm>
                            <a:off x="6350" y="0"/>
                            <a:ext cx="1270" cy="2412365"/>
                          </a:xfrm>
                          <a:custGeom>
                            <a:avLst/>
                            <a:gdLst/>
                            <a:ahLst/>
                            <a:cxnLst/>
                            <a:rect l="l" t="t" r="r" b="b"/>
                            <a:pathLst>
                              <a:path w="0" h="2412365">
                                <a:moveTo>
                                  <a:pt x="0" y="0"/>
                                </a:moveTo>
                                <a:lnTo>
                                  <a:pt x="0" y="2411996"/>
                                </a:lnTo>
                              </a:path>
                            </a:pathLst>
                          </a:custGeom>
                          <a:ln w="12700">
                            <a:solidFill>
                              <a:srgbClr val="939598"/>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441.622803pt;margin-top:187.0867pt;width:40.3pt;height:189.95pt;mso-position-horizontal-relative:page;mso-position-vertical-relative:page;z-index:15794176" id="docshapegroup171" coordorigin="8832,3742" coordsize="806,3799">
                <v:rect style="position:absolute;left:8844;top:3741;width:794;height:567" id="docshape172" filled="true" fillcolor="#939598" stroked="false">
                  <v:fill type="solid"/>
                </v:rect>
                <v:line style="position:absolute" from="8842,3742" to="8842,7540" stroked="true" strokeweight="1pt" strokecolor="#939598">
                  <v:stroke dashstyle="solid"/>
                </v:line>
                <w10:wrap type="none"/>
              </v:group>
            </w:pict>
          </mc:Fallback>
        </mc:AlternateContent>
      </w:r>
      <w:r>
        <w:rPr/>
        <mc:AlternateContent>
          <mc:Choice Requires="wps">
            <w:drawing>
              <wp:anchor distT="0" distB="0" distL="0" distR="0" allowOverlap="1" layoutInCell="1" locked="0" behindDoc="0" simplePos="0" relativeHeight="15794688">
                <wp:simplePos x="0" y="0"/>
                <wp:positionH relativeFrom="page">
                  <wp:posOffset>5635147</wp:posOffset>
                </wp:positionH>
                <wp:positionV relativeFrom="page">
                  <wp:posOffset>2795300</wp:posOffset>
                </wp:positionV>
                <wp:extent cx="299720" cy="1995805"/>
                <wp:effectExtent l="0" t="0" r="0" b="0"/>
                <wp:wrapNone/>
                <wp:docPr id="209" name="Textbox 209"/>
                <wp:cNvGraphicFramePr>
                  <a:graphicFrameLocks/>
                </wp:cNvGraphicFramePr>
                <a:graphic>
                  <a:graphicData uri="http://schemas.microsoft.com/office/word/2010/wordprocessingShape">
                    <wps:wsp>
                      <wps:cNvPr id="209" name="Textbox 209"/>
                      <wps:cNvSpPr txBox="1"/>
                      <wps:spPr>
                        <a:xfrm>
                          <a:off x="0" y="0"/>
                          <a:ext cx="299720" cy="1995805"/>
                        </a:xfrm>
                        <a:prstGeom prst="rect">
                          <a:avLst/>
                        </a:prstGeom>
                      </wps:spPr>
                      <wps:txbx>
                        <w:txbxContent>
                          <w:p>
                            <w:pPr>
                              <w:spacing w:before="20"/>
                              <w:ind w:left="20" w:right="0" w:firstLine="0"/>
                              <w:jc w:val="left"/>
                              <w:rPr>
                                <w:rFonts w:ascii="Minion Pro"/>
                                <w:sz w:val="32"/>
                              </w:rPr>
                            </w:pPr>
                            <w:r>
                              <w:rPr>
                                <w:rFonts w:ascii="Minion Pro"/>
                                <w:color w:val="231F20"/>
                                <w:sz w:val="32"/>
                              </w:rPr>
                              <w:t>Commented</w:t>
                            </w:r>
                            <w:r>
                              <w:rPr>
                                <w:rFonts w:ascii="Minion Pro"/>
                                <w:color w:val="231F20"/>
                                <w:spacing w:val="-10"/>
                                <w:sz w:val="32"/>
                              </w:rPr>
                              <w:t> </w:t>
                            </w:r>
                            <w:r>
                              <w:rPr>
                                <w:rFonts w:ascii="Minion Pro"/>
                                <w:color w:val="231F20"/>
                                <w:spacing w:val="-2"/>
                                <w:sz w:val="32"/>
                              </w:rPr>
                              <w:t>documents</w:t>
                            </w:r>
                          </w:p>
                        </w:txbxContent>
                      </wps:txbx>
                      <wps:bodyPr wrap="square" lIns="0" tIns="0" rIns="0" bIns="0" rtlCol="0" vert="vert">
                        <a:noAutofit/>
                      </wps:bodyPr>
                    </wps:wsp>
                  </a:graphicData>
                </a:graphic>
              </wp:anchor>
            </w:drawing>
          </mc:Choice>
          <mc:Fallback>
            <w:pict>
              <v:shape style="position:absolute;margin-left:443.712402pt;margin-top:220.102402pt;width:23.6pt;height:157.15pt;mso-position-horizontal-relative:page;mso-position-vertical-relative:page;z-index:15794688" type="#_x0000_t202" id="docshape173" filled="false" stroked="false">
                <v:textbox inset="0,0,0,0" style="layout-flow:vertical">
                  <w:txbxContent>
                    <w:p>
                      <w:pPr>
                        <w:spacing w:before="20"/>
                        <w:ind w:left="20" w:right="0" w:firstLine="0"/>
                        <w:jc w:val="left"/>
                        <w:rPr>
                          <w:rFonts w:ascii="Minion Pro"/>
                          <w:sz w:val="32"/>
                        </w:rPr>
                      </w:pPr>
                      <w:r>
                        <w:rPr>
                          <w:rFonts w:ascii="Minion Pro"/>
                          <w:color w:val="231F20"/>
                          <w:sz w:val="32"/>
                        </w:rPr>
                        <w:t>Commented</w:t>
                      </w:r>
                      <w:r>
                        <w:rPr>
                          <w:rFonts w:ascii="Minion Pro"/>
                          <w:color w:val="231F20"/>
                          <w:spacing w:val="-10"/>
                          <w:sz w:val="32"/>
                        </w:rPr>
                        <w:t> </w:t>
                      </w:r>
                      <w:r>
                        <w:rPr>
                          <w:rFonts w:ascii="Minion Pro"/>
                          <w:color w:val="231F20"/>
                          <w:spacing w:val="-2"/>
                          <w:sz w:val="32"/>
                        </w:rPr>
                        <w:t>documents</w:t>
                      </w:r>
                    </w:p>
                  </w:txbxContent>
                </v:textbox>
                <w10:wrap type="none"/>
              </v:shape>
            </w:pict>
          </mc:Fallback>
        </mc:AlternateContent>
      </w:r>
      <w:r>
        <w:rPr>
          <w:b/>
          <w:color w:val="231F20"/>
          <w:sz w:val="24"/>
        </w:rPr>
        <w:t>La</w:t>
      </w:r>
      <w:r>
        <w:rPr>
          <w:b/>
          <w:color w:val="231F20"/>
          <w:spacing w:val="-2"/>
          <w:sz w:val="24"/>
        </w:rPr>
        <w:t> </w:t>
      </w:r>
      <w:r>
        <w:rPr>
          <w:b/>
          <w:color w:val="231F20"/>
          <w:sz w:val="24"/>
        </w:rPr>
        <w:t>sentenza</w:t>
      </w:r>
      <w:r>
        <w:rPr>
          <w:b/>
          <w:color w:val="231F20"/>
          <w:spacing w:val="-2"/>
          <w:sz w:val="24"/>
        </w:rPr>
        <w:t> </w:t>
      </w:r>
      <w:r>
        <w:rPr>
          <w:b/>
          <w:color w:val="231F20"/>
          <w:sz w:val="24"/>
        </w:rPr>
        <w:t>del</w:t>
      </w:r>
      <w:r>
        <w:rPr>
          <w:b/>
          <w:color w:val="231F20"/>
          <w:spacing w:val="-1"/>
          <w:sz w:val="24"/>
        </w:rPr>
        <w:t> </w:t>
      </w:r>
      <w:r>
        <w:rPr>
          <w:b/>
          <w:color w:val="231F20"/>
          <w:sz w:val="24"/>
        </w:rPr>
        <w:t>30</w:t>
      </w:r>
      <w:r>
        <w:rPr>
          <w:b/>
          <w:color w:val="231F20"/>
          <w:spacing w:val="-2"/>
          <w:sz w:val="24"/>
        </w:rPr>
        <w:t> </w:t>
      </w:r>
      <w:r>
        <w:rPr>
          <w:b/>
          <w:color w:val="231F20"/>
          <w:sz w:val="24"/>
        </w:rPr>
        <w:t>settembre</w:t>
      </w:r>
      <w:r>
        <w:rPr>
          <w:b/>
          <w:color w:val="231F20"/>
          <w:spacing w:val="-2"/>
          <w:sz w:val="24"/>
        </w:rPr>
        <w:t> </w:t>
      </w:r>
      <w:r>
        <w:rPr>
          <w:b/>
          <w:color w:val="231F20"/>
          <w:sz w:val="24"/>
        </w:rPr>
        <w:t>2021,</w:t>
      </w:r>
      <w:r>
        <w:rPr>
          <w:b/>
          <w:color w:val="231F20"/>
          <w:spacing w:val="-1"/>
          <w:sz w:val="24"/>
        </w:rPr>
        <w:t> </w:t>
      </w:r>
      <w:r>
        <w:rPr>
          <w:b/>
          <w:color w:val="231F20"/>
          <w:sz w:val="24"/>
        </w:rPr>
        <w:t>C-186/20,</w:t>
      </w:r>
      <w:r>
        <w:rPr>
          <w:b/>
          <w:color w:val="231F20"/>
          <w:spacing w:val="-2"/>
          <w:sz w:val="24"/>
        </w:rPr>
        <w:t> </w:t>
      </w:r>
      <w:r>
        <w:rPr>
          <w:b/>
          <w:color w:val="231F20"/>
          <w:sz w:val="24"/>
        </w:rPr>
        <w:t>Hydina</w:t>
      </w:r>
      <w:r>
        <w:rPr>
          <w:b/>
          <w:color w:val="231F20"/>
          <w:spacing w:val="-1"/>
          <w:sz w:val="24"/>
        </w:rPr>
        <w:t> </w:t>
      </w:r>
      <w:r>
        <w:rPr>
          <w:b/>
          <w:color w:val="231F20"/>
          <w:spacing w:val="-5"/>
          <w:sz w:val="24"/>
        </w:rPr>
        <w:t>SK</w:t>
      </w:r>
    </w:p>
    <w:p>
      <w:pPr>
        <w:pStyle w:val="BodyText"/>
        <w:spacing w:line="225" w:lineRule="auto" w:before="268"/>
        <w:ind w:left="157" w:right="117"/>
        <w:jc w:val="both"/>
      </w:pPr>
      <w:r>
        <w:rPr>
          <w:color w:val="231F20"/>
        </w:rPr>
        <w:t>La</w:t>
      </w:r>
      <w:r>
        <w:rPr>
          <w:color w:val="231F20"/>
          <w:spacing w:val="-9"/>
        </w:rPr>
        <w:t> </w:t>
      </w:r>
      <w:r>
        <w:rPr>
          <w:color w:val="231F20"/>
        </w:rPr>
        <w:t>questione</w:t>
      </w:r>
      <w:r>
        <w:rPr>
          <w:color w:val="231F20"/>
          <w:spacing w:val="-9"/>
        </w:rPr>
        <w:t> </w:t>
      </w:r>
      <w:r>
        <w:rPr>
          <w:color w:val="231F20"/>
        </w:rPr>
        <w:t>pregiudiziale</w:t>
      </w:r>
      <w:r>
        <w:rPr>
          <w:color w:val="231F20"/>
          <w:spacing w:val="-9"/>
        </w:rPr>
        <w:t> </w:t>
      </w:r>
      <w:r>
        <w:rPr>
          <w:color w:val="231F20"/>
        </w:rPr>
        <w:t>posta</w:t>
      </w:r>
      <w:r>
        <w:rPr>
          <w:color w:val="231F20"/>
          <w:spacing w:val="-9"/>
        </w:rPr>
        <w:t> </w:t>
      </w:r>
      <w:r>
        <w:rPr>
          <w:color w:val="231F20"/>
        </w:rPr>
        <w:t>dalla</w:t>
      </w:r>
      <w:r>
        <w:rPr>
          <w:color w:val="231F20"/>
          <w:spacing w:val="-9"/>
        </w:rPr>
        <w:t> </w:t>
      </w:r>
      <w:r>
        <w:rPr>
          <w:color w:val="231F20"/>
        </w:rPr>
        <w:t>Corte</w:t>
      </w:r>
      <w:r>
        <w:rPr>
          <w:color w:val="231F20"/>
          <w:spacing w:val="-9"/>
        </w:rPr>
        <w:t> </w:t>
      </w:r>
      <w:r>
        <w:rPr>
          <w:color w:val="231F20"/>
        </w:rPr>
        <w:t>suprema</w:t>
      </w:r>
      <w:r>
        <w:rPr>
          <w:color w:val="231F20"/>
          <w:spacing w:val="-9"/>
        </w:rPr>
        <w:t> </w:t>
      </w:r>
      <w:r>
        <w:rPr>
          <w:color w:val="231F20"/>
        </w:rPr>
        <w:t>della</w:t>
      </w:r>
      <w:r>
        <w:rPr>
          <w:color w:val="231F20"/>
          <w:spacing w:val="-9"/>
        </w:rPr>
        <w:t> </w:t>
      </w:r>
      <w:r>
        <w:rPr>
          <w:color w:val="231F20"/>
        </w:rPr>
        <w:t>Slovacchia</w:t>
      </w:r>
      <w:r>
        <w:rPr>
          <w:color w:val="231F20"/>
          <w:spacing w:val="-9"/>
        </w:rPr>
        <w:t> </w:t>
      </w:r>
      <w:r>
        <w:rPr>
          <w:color w:val="231F20"/>
        </w:rPr>
        <w:t>nella causa C-186/20 </w:t>
      </w:r>
      <w:r>
        <w:rPr>
          <w:i/>
          <w:color w:val="231F20"/>
        </w:rPr>
        <w:t>Hydina</w:t>
      </w:r>
      <w:r>
        <w:rPr>
          <w:color w:val="231F20"/>
          <w:position w:val="8"/>
          <w:sz w:val="14"/>
        </w:rPr>
        <w:t>145</w:t>
      </w:r>
      <w:r>
        <w:rPr>
          <w:color w:val="231F20"/>
          <w:spacing w:val="34"/>
          <w:position w:val="8"/>
          <w:sz w:val="14"/>
        </w:rPr>
        <w:t> </w:t>
      </w:r>
      <w:r>
        <w:rPr>
          <w:color w:val="231F20"/>
        </w:rPr>
        <w:t>ha consentito alla Corte di giustizia di statuire sugli effetti giuridici che comporta il superamento del termine di tre mesi previsto dall’art. 10, regolamento (UE) 904/2010 per la comunicazione, da</w:t>
      </w:r>
      <w:r>
        <w:rPr>
          <w:color w:val="231F20"/>
          <w:spacing w:val="-1"/>
        </w:rPr>
        <w:t> </w:t>
      </w:r>
      <w:r>
        <w:rPr>
          <w:color w:val="231F20"/>
        </w:rPr>
        <w:t>parte</w:t>
      </w:r>
      <w:r>
        <w:rPr>
          <w:color w:val="231F20"/>
          <w:spacing w:val="-1"/>
        </w:rPr>
        <w:t> </w:t>
      </w:r>
      <w:r>
        <w:rPr>
          <w:color w:val="231F20"/>
        </w:rPr>
        <w:t>dell’autorità</w:t>
      </w:r>
      <w:r>
        <w:rPr>
          <w:color w:val="231F20"/>
          <w:spacing w:val="-1"/>
        </w:rPr>
        <w:t> </w:t>
      </w:r>
      <w:r>
        <w:rPr>
          <w:color w:val="231F20"/>
        </w:rPr>
        <w:t>interpellata,</w:t>
      </w:r>
      <w:r>
        <w:rPr>
          <w:color w:val="231F20"/>
          <w:spacing w:val="-1"/>
        </w:rPr>
        <w:t> </w:t>
      </w:r>
      <w:r>
        <w:rPr>
          <w:color w:val="231F20"/>
        </w:rPr>
        <w:t>delle</w:t>
      </w:r>
      <w:r>
        <w:rPr>
          <w:color w:val="231F20"/>
          <w:spacing w:val="-1"/>
        </w:rPr>
        <w:t> </w:t>
      </w:r>
      <w:r>
        <w:rPr>
          <w:color w:val="231F20"/>
        </w:rPr>
        <w:t>informazioni</w:t>
      </w:r>
      <w:r>
        <w:rPr>
          <w:color w:val="231F20"/>
          <w:spacing w:val="-1"/>
        </w:rPr>
        <w:t> </w:t>
      </w:r>
      <w:r>
        <w:rPr>
          <w:color w:val="231F20"/>
        </w:rPr>
        <w:t>richieste</w:t>
      </w:r>
      <w:r>
        <w:rPr>
          <w:color w:val="231F20"/>
          <w:spacing w:val="-1"/>
        </w:rPr>
        <w:t> </w:t>
      </w:r>
      <w:r>
        <w:rPr>
          <w:color w:val="231F20"/>
        </w:rPr>
        <w:t>dall’autorità richiedente</w:t>
      </w:r>
      <w:r>
        <w:rPr>
          <w:color w:val="231F20"/>
          <w:position w:val="8"/>
          <w:sz w:val="14"/>
        </w:rPr>
        <w:t>146</w:t>
      </w:r>
      <w:r>
        <w:rPr>
          <w:color w:val="231F20"/>
        </w:rPr>
        <w:t>. Il procedimento </w:t>
      </w:r>
      <w:r>
        <w:rPr>
          <w:i/>
          <w:color w:val="231F20"/>
        </w:rPr>
        <w:t>a quo </w:t>
      </w:r>
      <w:r>
        <w:rPr>
          <w:color w:val="231F20"/>
        </w:rPr>
        <w:t>aveva tratto origine da una verifica fiscale effettuata dall’amministrazione finanziaria slovacca al fine di accer- tare il diritto della società </w:t>
      </w:r>
      <w:r>
        <w:rPr>
          <w:i/>
          <w:color w:val="231F20"/>
        </w:rPr>
        <w:t>Hydina</w:t>
      </w:r>
      <w:r>
        <w:rPr>
          <w:color w:val="231F20"/>
        </w:rPr>
        <w:t>, avente sede in Slovacchia, alla detrazio- ne dell’IVA pagata «a monte» sugli acquisti di prodotti da un’altra società anch’essa stabilita nel medesimo Stato membro. Per accertare se la società venditrice aveva effettivamente consegnato alla società acquirente </w:t>
      </w:r>
      <w:r>
        <w:rPr>
          <w:i/>
          <w:color w:val="231F20"/>
        </w:rPr>
        <w:t>Hydina</w:t>
      </w:r>
      <w:r>
        <w:rPr>
          <w:i/>
          <w:color w:val="231F20"/>
        </w:rPr>
        <w:t> </w:t>
      </w:r>
      <w:r>
        <w:rPr>
          <w:color w:val="231F20"/>
        </w:rPr>
        <w:t>le merci menzionate sulle fatture prodotte da quest’ultima, l’amministra- zione</w:t>
      </w:r>
      <w:r>
        <w:rPr>
          <w:color w:val="231F20"/>
          <w:spacing w:val="-15"/>
        </w:rPr>
        <w:t> </w:t>
      </w:r>
      <w:r>
        <w:rPr>
          <w:color w:val="231F20"/>
        </w:rPr>
        <w:t>finanziaria</w:t>
      </w:r>
      <w:r>
        <w:rPr>
          <w:color w:val="231F20"/>
          <w:spacing w:val="-15"/>
        </w:rPr>
        <w:t> </w:t>
      </w:r>
      <w:r>
        <w:rPr>
          <w:color w:val="231F20"/>
        </w:rPr>
        <w:t>della</w:t>
      </w:r>
      <w:r>
        <w:rPr>
          <w:color w:val="231F20"/>
          <w:spacing w:val="-15"/>
        </w:rPr>
        <w:t> </w:t>
      </w:r>
      <w:r>
        <w:rPr>
          <w:color w:val="231F20"/>
        </w:rPr>
        <w:t>Slovacchia</w:t>
      </w:r>
      <w:r>
        <w:rPr>
          <w:color w:val="231F20"/>
          <w:spacing w:val="-15"/>
        </w:rPr>
        <w:t> </w:t>
      </w:r>
      <w:r>
        <w:rPr>
          <w:color w:val="231F20"/>
        </w:rPr>
        <w:t>aveva</w:t>
      </w:r>
      <w:r>
        <w:rPr>
          <w:color w:val="231F20"/>
          <w:spacing w:val="-15"/>
        </w:rPr>
        <w:t> </w:t>
      </w:r>
      <w:r>
        <w:rPr>
          <w:color w:val="231F20"/>
        </w:rPr>
        <w:t>trasmesso</w:t>
      </w:r>
      <w:r>
        <w:rPr>
          <w:color w:val="231F20"/>
          <w:spacing w:val="-15"/>
        </w:rPr>
        <w:t> </w:t>
      </w:r>
      <w:r>
        <w:rPr>
          <w:color w:val="231F20"/>
        </w:rPr>
        <w:t>due</w:t>
      </w:r>
      <w:r>
        <w:rPr>
          <w:color w:val="231F20"/>
          <w:spacing w:val="-15"/>
        </w:rPr>
        <w:t> </w:t>
      </w:r>
      <w:r>
        <w:rPr>
          <w:color w:val="231F20"/>
        </w:rPr>
        <w:t>successive</w:t>
      </w:r>
      <w:r>
        <w:rPr>
          <w:color w:val="231F20"/>
          <w:spacing w:val="-15"/>
        </w:rPr>
        <w:t> </w:t>
      </w:r>
      <w:r>
        <w:rPr>
          <w:color w:val="231F20"/>
        </w:rPr>
        <w:t>richieste</w:t>
      </w:r>
      <w:r>
        <w:rPr>
          <w:color w:val="231F20"/>
          <w:spacing w:val="-15"/>
        </w:rPr>
        <w:t> </w:t>
      </w:r>
      <w:r>
        <w:rPr>
          <w:color w:val="231F20"/>
        </w:rPr>
        <w:t>di informazioni</w:t>
      </w:r>
      <w:r>
        <w:rPr>
          <w:color w:val="231F20"/>
          <w:spacing w:val="-4"/>
        </w:rPr>
        <w:t> </w:t>
      </w:r>
      <w:r>
        <w:rPr>
          <w:color w:val="231F20"/>
        </w:rPr>
        <w:t>rispettivamente</w:t>
      </w:r>
      <w:r>
        <w:rPr>
          <w:color w:val="231F20"/>
          <w:spacing w:val="-4"/>
        </w:rPr>
        <w:t> </w:t>
      </w:r>
      <w:r>
        <w:rPr>
          <w:color w:val="231F20"/>
        </w:rPr>
        <w:t>all’amministrazione</w:t>
      </w:r>
      <w:r>
        <w:rPr>
          <w:color w:val="231F20"/>
          <w:spacing w:val="-4"/>
        </w:rPr>
        <w:t> </w:t>
      </w:r>
      <w:r>
        <w:rPr>
          <w:color w:val="231F20"/>
        </w:rPr>
        <w:t>finanziaria</w:t>
      </w:r>
      <w:r>
        <w:rPr>
          <w:color w:val="231F20"/>
          <w:spacing w:val="-4"/>
        </w:rPr>
        <w:t> </w:t>
      </w:r>
      <w:r>
        <w:rPr>
          <w:color w:val="231F20"/>
        </w:rPr>
        <w:t>della</w:t>
      </w:r>
      <w:r>
        <w:rPr>
          <w:color w:val="231F20"/>
          <w:spacing w:val="-4"/>
        </w:rPr>
        <w:t> </w:t>
      </w:r>
      <w:r>
        <w:rPr>
          <w:color w:val="231F20"/>
        </w:rPr>
        <w:t>Polonia e</w:t>
      </w:r>
      <w:r>
        <w:rPr>
          <w:color w:val="231F20"/>
          <w:spacing w:val="-6"/>
        </w:rPr>
        <w:t> </w:t>
      </w:r>
      <w:r>
        <w:rPr>
          <w:color w:val="231F20"/>
        </w:rPr>
        <w:t>a</w:t>
      </w:r>
      <w:r>
        <w:rPr>
          <w:color w:val="231F20"/>
          <w:spacing w:val="-6"/>
        </w:rPr>
        <w:t> </w:t>
      </w:r>
      <w:r>
        <w:rPr>
          <w:color w:val="231F20"/>
        </w:rPr>
        <w:t>quella</w:t>
      </w:r>
      <w:r>
        <w:rPr>
          <w:color w:val="231F20"/>
          <w:spacing w:val="-6"/>
        </w:rPr>
        <w:t> </w:t>
      </w:r>
      <w:r>
        <w:rPr>
          <w:color w:val="231F20"/>
        </w:rPr>
        <w:t>dell’Ungheria.</w:t>
      </w:r>
      <w:r>
        <w:rPr>
          <w:color w:val="231F20"/>
          <w:spacing w:val="-6"/>
        </w:rPr>
        <w:t> </w:t>
      </w:r>
      <w:r>
        <w:rPr>
          <w:color w:val="231F20"/>
        </w:rPr>
        <w:t>Sulla</w:t>
      </w:r>
      <w:r>
        <w:rPr>
          <w:color w:val="231F20"/>
          <w:spacing w:val="-6"/>
        </w:rPr>
        <w:t> </w:t>
      </w:r>
      <w:r>
        <w:rPr>
          <w:color w:val="231F20"/>
        </w:rPr>
        <w:t>base</w:t>
      </w:r>
      <w:r>
        <w:rPr>
          <w:color w:val="231F20"/>
          <w:spacing w:val="-6"/>
        </w:rPr>
        <w:t> </w:t>
      </w:r>
      <w:r>
        <w:rPr>
          <w:color w:val="231F20"/>
        </w:rPr>
        <w:t>della</w:t>
      </w:r>
      <w:r>
        <w:rPr>
          <w:color w:val="231F20"/>
          <w:spacing w:val="-6"/>
        </w:rPr>
        <w:t> </w:t>
      </w:r>
      <w:r>
        <w:rPr>
          <w:color w:val="231F20"/>
        </w:rPr>
        <w:t>propria</w:t>
      </w:r>
      <w:r>
        <w:rPr>
          <w:color w:val="231F20"/>
          <w:spacing w:val="-6"/>
        </w:rPr>
        <w:t> </w:t>
      </w:r>
      <w:r>
        <w:rPr>
          <w:color w:val="231F20"/>
        </w:rPr>
        <w:t>indagine</w:t>
      </w:r>
      <w:r>
        <w:rPr>
          <w:color w:val="231F20"/>
          <w:spacing w:val="-6"/>
        </w:rPr>
        <w:t> </w:t>
      </w:r>
      <w:r>
        <w:rPr>
          <w:color w:val="231F20"/>
        </w:rPr>
        <w:t>svolta</w:t>
      </w:r>
      <w:r>
        <w:rPr>
          <w:color w:val="231F20"/>
          <w:spacing w:val="-6"/>
        </w:rPr>
        <w:t> </w:t>
      </w:r>
      <w:r>
        <w:rPr>
          <w:color w:val="231F20"/>
        </w:rPr>
        <w:t>anche</w:t>
      </w:r>
      <w:r>
        <w:rPr>
          <w:color w:val="231F20"/>
          <w:spacing w:val="-6"/>
        </w:rPr>
        <w:t> </w:t>
      </w:r>
      <w:r>
        <w:rPr>
          <w:color w:val="231F20"/>
        </w:rPr>
        <w:t>con l’ausilio di dette amministrazioni di altri due Stati membri, l’amministra- zione finanziaria slovacca aveva concluso che la società (apparentemente) venditrice non aveva esercitato alcuna attività economica reale e di conse- guenza</w:t>
      </w:r>
      <w:r>
        <w:rPr>
          <w:color w:val="231F20"/>
          <w:spacing w:val="-15"/>
        </w:rPr>
        <w:t> </w:t>
      </w:r>
      <w:r>
        <w:rPr>
          <w:color w:val="231F20"/>
        </w:rPr>
        <w:t>non</w:t>
      </w:r>
      <w:r>
        <w:rPr>
          <w:color w:val="231F20"/>
          <w:spacing w:val="-15"/>
        </w:rPr>
        <w:t> </w:t>
      </w:r>
      <w:r>
        <w:rPr>
          <w:color w:val="231F20"/>
        </w:rPr>
        <w:t>aveva</w:t>
      </w:r>
      <w:r>
        <w:rPr>
          <w:color w:val="231F20"/>
          <w:spacing w:val="-15"/>
        </w:rPr>
        <w:t> </w:t>
      </w:r>
      <w:r>
        <w:rPr>
          <w:color w:val="231F20"/>
        </w:rPr>
        <w:t>potuto</w:t>
      </w:r>
      <w:r>
        <w:rPr>
          <w:color w:val="231F20"/>
          <w:spacing w:val="-15"/>
        </w:rPr>
        <w:t> </w:t>
      </w:r>
      <w:r>
        <w:rPr>
          <w:color w:val="231F20"/>
        </w:rPr>
        <w:t>consegnare</w:t>
      </w:r>
      <w:r>
        <w:rPr>
          <w:color w:val="231F20"/>
          <w:spacing w:val="-15"/>
        </w:rPr>
        <w:t> </w:t>
      </w:r>
      <w:r>
        <w:rPr>
          <w:color w:val="231F20"/>
        </w:rPr>
        <w:t>alla</w:t>
      </w:r>
      <w:r>
        <w:rPr>
          <w:color w:val="231F20"/>
          <w:spacing w:val="-15"/>
        </w:rPr>
        <w:t> </w:t>
      </w:r>
      <w:r>
        <w:rPr>
          <w:i/>
          <w:color w:val="231F20"/>
        </w:rPr>
        <w:t>Hydina</w:t>
      </w:r>
      <w:r>
        <w:rPr>
          <w:i/>
          <w:color w:val="231F20"/>
          <w:spacing w:val="-15"/>
        </w:rPr>
        <w:t> </w:t>
      </w:r>
      <w:r>
        <w:rPr>
          <w:color w:val="231F20"/>
        </w:rPr>
        <w:t>le</w:t>
      </w:r>
      <w:r>
        <w:rPr>
          <w:color w:val="231F20"/>
          <w:spacing w:val="-15"/>
        </w:rPr>
        <w:t> </w:t>
      </w:r>
      <w:r>
        <w:rPr>
          <w:color w:val="231F20"/>
        </w:rPr>
        <w:t>merci</w:t>
      </w:r>
      <w:r>
        <w:rPr>
          <w:color w:val="231F20"/>
          <w:spacing w:val="-15"/>
        </w:rPr>
        <w:t> </w:t>
      </w:r>
      <w:r>
        <w:rPr>
          <w:color w:val="231F20"/>
        </w:rPr>
        <w:t>esposte</w:t>
      </w:r>
      <w:r>
        <w:rPr>
          <w:color w:val="231F20"/>
          <w:spacing w:val="-15"/>
        </w:rPr>
        <w:t> </w:t>
      </w:r>
      <w:r>
        <w:rPr>
          <w:color w:val="231F20"/>
        </w:rPr>
        <w:t>in</w:t>
      </w:r>
      <w:r>
        <w:rPr>
          <w:color w:val="231F20"/>
          <w:spacing w:val="-15"/>
        </w:rPr>
        <w:t> </w:t>
      </w:r>
      <w:r>
        <w:rPr>
          <w:color w:val="231F20"/>
        </w:rPr>
        <w:t>fattura. La</w:t>
      </w:r>
      <w:r>
        <w:rPr>
          <w:color w:val="231F20"/>
          <w:spacing w:val="-4"/>
        </w:rPr>
        <w:t> </w:t>
      </w:r>
      <w:r>
        <w:rPr>
          <w:color w:val="231F20"/>
        </w:rPr>
        <w:t>medesima</w:t>
      </w:r>
      <w:r>
        <w:rPr>
          <w:color w:val="231F20"/>
          <w:spacing w:val="-4"/>
        </w:rPr>
        <w:t> </w:t>
      </w:r>
      <w:r>
        <w:rPr>
          <w:color w:val="231F20"/>
        </w:rPr>
        <w:t>amministrazione</w:t>
      </w:r>
      <w:r>
        <w:rPr>
          <w:color w:val="231F20"/>
          <w:spacing w:val="-4"/>
        </w:rPr>
        <w:t> </w:t>
      </w:r>
      <w:r>
        <w:rPr>
          <w:color w:val="231F20"/>
        </w:rPr>
        <w:t>aveva</w:t>
      </w:r>
      <w:r>
        <w:rPr>
          <w:color w:val="231F20"/>
          <w:spacing w:val="-4"/>
        </w:rPr>
        <w:t> </w:t>
      </w:r>
      <w:r>
        <w:rPr>
          <w:color w:val="231F20"/>
        </w:rPr>
        <w:t>emesso</w:t>
      </w:r>
      <w:r>
        <w:rPr>
          <w:color w:val="231F20"/>
          <w:spacing w:val="-4"/>
        </w:rPr>
        <w:t> </w:t>
      </w:r>
      <w:r>
        <w:rPr>
          <w:color w:val="231F20"/>
        </w:rPr>
        <w:t>di</w:t>
      </w:r>
      <w:r>
        <w:rPr>
          <w:color w:val="231F20"/>
          <w:spacing w:val="-4"/>
        </w:rPr>
        <w:t> </w:t>
      </w:r>
      <w:r>
        <w:rPr>
          <w:color w:val="231F20"/>
        </w:rPr>
        <w:t>conseguenza</w:t>
      </w:r>
      <w:r>
        <w:rPr>
          <w:color w:val="231F20"/>
          <w:spacing w:val="-4"/>
        </w:rPr>
        <w:t> </w:t>
      </w:r>
      <w:r>
        <w:rPr>
          <w:color w:val="231F20"/>
        </w:rPr>
        <w:t>una</w:t>
      </w:r>
      <w:r>
        <w:rPr>
          <w:color w:val="231F20"/>
          <w:spacing w:val="-4"/>
        </w:rPr>
        <w:t> </w:t>
      </w:r>
      <w:r>
        <w:rPr>
          <w:color w:val="231F20"/>
        </w:rPr>
        <w:t>decisione di recupero dell’IVA indebitamente detratta dalla </w:t>
      </w:r>
      <w:r>
        <w:rPr>
          <w:i/>
          <w:color w:val="231F20"/>
        </w:rPr>
        <w:t>Hydina</w:t>
      </w:r>
      <w:r>
        <w:rPr>
          <w:color w:val="231F20"/>
        </w:rPr>
        <w:t>, che aveva im- pugnato</w:t>
      </w:r>
      <w:r>
        <w:rPr>
          <w:color w:val="231F20"/>
          <w:spacing w:val="-3"/>
        </w:rPr>
        <w:t> </w:t>
      </w:r>
      <w:r>
        <w:rPr>
          <w:color w:val="231F20"/>
        </w:rPr>
        <w:t>tale</w:t>
      </w:r>
      <w:r>
        <w:rPr>
          <w:color w:val="231F20"/>
          <w:spacing w:val="-3"/>
        </w:rPr>
        <w:t> </w:t>
      </w:r>
      <w:r>
        <w:rPr>
          <w:color w:val="231F20"/>
        </w:rPr>
        <w:t>decisione</w:t>
      </w:r>
      <w:r>
        <w:rPr>
          <w:color w:val="231F20"/>
          <w:spacing w:val="-3"/>
        </w:rPr>
        <w:t> </w:t>
      </w:r>
      <w:r>
        <w:rPr>
          <w:color w:val="231F20"/>
        </w:rPr>
        <w:t>dinanzi</w:t>
      </w:r>
      <w:r>
        <w:rPr>
          <w:color w:val="231F20"/>
          <w:spacing w:val="-3"/>
        </w:rPr>
        <w:t> </w:t>
      </w:r>
      <w:r>
        <w:rPr>
          <w:color w:val="231F20"/>
        </w:rPr>
        <w:t>al</w:t>
      </w:r>
      <w:r>
        <w:rPr>
          <w:color w:val="231F20"/>
          <w:spacing w:val="-3"/>
        </w:rPr>
        <w:t> </w:t>
      </w:r>
      <w:r>
        <w:rPr>
          <w:color w:val="231F20"/>
        </w:rPr>
        <w:t>giudice</w:t>
      </w:r>
      <w:r>
        <w:rPr>
          <w:color w:val="231F20"/>
          <w:spacing w:val="-3"/>
        </w:rPr>
        <w:t> </w:t>
      </w:r>
      <w:r>
        <w:rPr>
          <w:color w:val="231F20"/>
        </w:rPr>
        <w:t>nazionale</w:t>
      </w:r>
      <w:r>
        <w:rPr>
          <w:color w:val="231F20"/>
          <w:spacing w:val="-3"/>
        </w:rPr>
        <w:t> </w:t>
      </w:r>
      <w:r>
        <w:rPr>
          <w:color w:val="231F20"/>
        </w:rPr>
        <w:t>competente</w:t>
      </w:r>
      <w:r>
        <w:rPr>
          <w:color w:val="231F20"/>
          <w:spacing w:val="-3"/>
        </w:rPr>
        <w:t> </w:t>
      </w:r>
      <w:r>
        <w:rPr>
          <w:color w:val="231F20"/>
        </w:rPr>
        <w:t>invocando in particolare la durata eccessiva della verifica fiscale la quale, secondo la norma applicabile del codice di procedura tributaria slovacco, non poteva eccedere</w:t>
      </w:r>
      <w:r>
        <w:rPr>
          <w:color w:val="231F20"/>
          <w:spacing w:val="-10"/>
        </w:rPr>
        <w:t> </w:t>
      </w:r>
      <w:r>
        <w:rPr>
          <w:color w:val="231F20"/>
        </w:rPr>
        <w:t>un</w:t>
      </w:r>
      <w:r>
        <w:rPr>
          <w:color w:val="231F20"/>
          <w:spacing w:val="-10"/>
        </w:rPr>
        <w:t> </w:t>
      </w:r>
      <w:r>
        <w:rPr>
          <w:color w:val="231F20"/>
        </w:rPr>
        <w:t>anno</w:t>
      </w:r>
      <w:r>
        <w:rPr>
          <w:color w:val="231F20"/>
          <w:spacing w:val="-10"/>
        </w:rPr>
        <w:t> </w:t>
      </w:r>
      <w:r>
        <w:rPr>
          <w:color w:val="231F20"/>
        </w:rPr>
        <w:t>a</w:t>
      </w:r>
      <w:r>
        <w:rPr>
          <w:color w:val="231F20"/>
          <w:spacing w:val="-10"/>
        </w:rPr>
        <w:t> </w:t>
      </w:r>
      <w:r>
        <w:rPr>
          <w:color w:val="231F20"/>
        </w:rPr>
        <w:t>partire</w:t>
      </w:r>
      <w:r>
        <w:rPr>
          <w:color w:val="231F20"/>
          <w:spacing w:val="-10"/>
        </w:rPr>
        <w:t> </w:t>
      </w:r>
      <w:r>
        <w:rPr>
          <w:color w:val="231F20"/>
        </w:rPr>
        <w:t>dall’avvio</w:t>
      </w:r>
      <w:r>
        <w:rPr>
          <w:color w:val="231F20"/>
          <w:spacing w:val="-10"/>
        </w:rPr>
        <w:t> </w:t>
      </w:r>
      <w:r>
        <w:rPr>
          <w:color w:val="231F20"/>
        </w:rPr>
        <w:t>della</w:t>
      </w:r>
      <w:r>
        <w:rPr>
          <w:color w:val="231F20"/>
          <w:spacing w:val="-10"/>
        </w:rPr>
        <w:t> </w:t>
      </w:r>
      <w:r>
        <w:rPr>
          <w:color w:val="231F20"/>
        </w:rPr>
        <w:t>stessa.</w:t>
      </w:r>
      <w:r>
        <w:rPr>
          <w:color w:val="231F20"/>
          <w:spacing w:val="-10"/>
        </w:rPr>
        <w:t> </w:t>
      </w:r>
      <w:r>
        <w:rPr>
          <w:color w:val="231F20"/>
        </w:rPr>
        <w:t>Nel</w:t>
      </w:r>
      <w:r>
        <w:rPr>
          <w:color w:val="231F20"/>
          <w:spacing w:val="-10"/>
        </w:rPr>
        <w:t> </w:t>
      </w:r>
      <w:r>
        <w:rPr>
          <w:color w:val="231F20"/>
        </w:rPr>
        <w:t>caso</w:t>
      </w:r>
      <w:r>
        <w:rPr>
          <w:color w:val="231F20"/>
          <w:spacing w:val="-10"/>
        </w:rPr>
        <w:t> </w:t>
      </w:r>
      <w:r>
        <w:rPr>
          <w:color w:val="231F20"/>
        </w:rPr>
        <w:t>di</w:t>
      </w:r>
      <w:r>
        <w:rPr>
          <w:color w:val="231F20"/>
          <w:spacing w:val="-10"/>
        </w:rPr>
        <w:t> </w:t>
      </w:r>
      <w:r>
        <w:rPr>
          <w:color w:val="231F20"/>
        </w:rPr>
        <w:t>specie</w:t>
      </w:r>
      <w:r>
        <w:rPr>
          <w:color w:val="231F20"/>
          <w:spacing w:val="-10"/>
        </w:rPr>
        <w:t> </w:t>
      </w:r>
      <w:r>
        <w:rPr>
          <w:color w:val="231F20"/>
        </w:rPr>
        <w:t>tale</w:t>
      </w:r>
      <w:r>
        <w:rPr>
          <w:color w:val="231F20"/>
          <w:spacing w:val="-10"/>
        </w:rPr>
        <w:t> </w:t>
      </w:r>
      <w:r>
        <w:rPr>
          <w:color w:val="231F20"/>
        </w:rPr>
        <w:t>du- rata</w:t>
      </w:r>
      <w:r>
        <w:rPr>
          <w:color w:val="231F20"/>
          <w:spacing w:val="-5"/>
        </w:rPr>
        <w:t> </w:t>
      </w:r>
      <w:r>
        <w:rPr>
          <w:color w:val="231F20"/>
        </w:rPr>
        <w:t>massima</w:t>
      </w:r>
      <w:r>
        <w:rPr>
          <w:color w:val="231F20"/>
          <w:spacing w:val="-5"/>
        </w:rPr>
        <w:t> </w:t>
      </w:r>
      <w:r>
        <w:rPr>
          <w:color w:val="231F20"/>
        </w:rPr>
        <w:t>di</w:t>
      </w:r>
      <w:r>
        <w:rPr>
          <w:color w:val="231F20"/>
          <w:spacing w:val="-5"/>
        </w:rPr>
        <w:t> </w:t>
      </w:r>
      <w:r>
        <w:rPr>
          <w:color w:val="231F20"/>
        </w:rPr>
        <w:t>un</w:t>
      </w:r>
      <w:r>
        <w:rPr>
          <w:color w:val="231F20"/>
          <w:spacing w:val="-5"/>
        </w:rPr>
        <w:t> </w:t>
      </w:r>
      <w:r>
        <w:rPr>
          <w:color w:val="231F20"/>
        </w:rPr>
        <w:t>anno</w:t>
      </w:r>
      <w:r>
        <w:rPr>
          <w:color w:val="231F20"/>
          <w:spacing w:val="-5"/>
        </w:rPr>
        <w:t> </w:t>
      </w:r>
      <w:r>
        <w:rPr>
          <w:color w:val="231F20"/>
        </w:rPr>
        <w:t>era</w:t>
      </w:r>
      <w:r>
        <w:rPr>
          <w:color w:val="231F20"/>
          <w:spacing w:val="-5"/>
        </w:rPr>
        <w:t> </w:t>
      </w:r>
      <w:r>
        <w:rPr>
          <w:color w:val="231F20"/>
        </w:rPr>
        <w:t>stata</w:t>
      </w:r>
      <w:r>
        <w:rPr>
          <w:color w:val="231F20"/>
          <w:spacing w:val="-5"/>
        </w:rPr>
        <w:t> </w:t>
      </w:r>
      <w:r>
        <w:rPr>
          <w:color w:val="231F20"/>
        </w:rPr>
        <w:t>superata,</w:t>
      </w:r>
      <w:r>
        <w:rPr>
          <w:color w:val="231F20"/>
          <w:spacing w:val="-5"/>
        </w:rPr>
        <w:t> </w:t>
      </w:r>
      <w:r>
        <w:rPr>
          <w:color w:val="231F20"/>
        </w:rPr>
        <w:t>ma</w:t>
      </w:r>
      <w:r>
        <w:rPr>
          <w:color w:val="231F20"/>
          <w:spacing w:val="-5"/>
        </w:rPr>
        <w:t> </w:t>
      </w:r>
      <w:r>
        <w:rPr>
          <w:color w:val="231F20"/>
        </w:rPr>
        <w:t>secondo</w:t>
      </w:r>
      <w:r>
        <w:rPr>
          <w:color w:val="231F20"/>
          <w:spacing w:val="-5"/>
        </w:rPr>
        <w:t> </w:t>
      </w:r>
      <w:r>
        <w:rPr>
          <w:color w:val="231F20"/>
        </w:rPr>
        <w:t>il</w:t>
      </w:r>
      <w:r>
        <w:rPr>
          <w:color w:val="231F20"/>
          <w:spacing w:val="-5"/>
        </w:rPr>
        <w:t> </w:t>
      </w:r>
      <w:r>
        <w:rPr>
          <w:color w:val="231F20"/>
        </w:rPr>
        <w:t>giudice</w:t>
      </w:r>
      <w:r>
        <w:rPr>
          <w:color w:val="231F20"/>
          <w:spacing w:val="-5"/>
        </w:rPr>
        <w:t> </w:t>
      </w:r>
      <w:r>
        <w:rPr>
          <w:color w:val="231F20"/>
        </w:rPr>
        <w:t>di</w:t>
      </w:r>
      <w:r>
        <w:rPr>
          <w:color w:val="231F20"/>
          <w:spacing w:val="-5"/>
        </w:rPr>
        <w:t> </w:t>
      </w:r>
      <w:r>
        <w:rPr>
          <w:color w:val="231F20"/>
        </w:rPr>
        <w:t>rinvio tale</w:t>
      </w:r>
      <w:r>
        <w:rPr>
          <w:color w:val="231F20"/>
          <w:spacing w:val="-8"/>
        </w:rPr>
        <w:t> </w:t>
      </w:r>
      <w:r>
        <w:rPr>
          <w:color w:val="231F20"/>
        </w:rPr>
        <w:t>superamento</w:t>
      </w:r>
      <w:r>
        <w:rPr>
          <w:color w:val="231F20"/>
          <w:spacing w:val="-8"/>
        </w:rPr>
        <w:t> </w:t>
      </w:r>
      <w:r>
        <w:rPr>
          <w:color w:val="231F20"/>
        </w:rPr>
        <w:t>era</w:t>
      </w:r>
      <w:r>
        <w:rPr>
          <w:color w:val="231F20"/>
          <w:spacing w:val="-8"/>
        </w:rPr>
        <w:t> </w:t>
      </w:r>
      <w:r>
        <w:rPr>
          <w:color w:val="231F20"/>
        </w:rPr>
        <w:t>comunque</w:t>
      </w:r>
      <w:r>
        <w:rPr>
          <w:color w:val="231F20"/>
          <w:spacing w:val="-8"/>
        </w:rPr>
        <w:t> </w:t>
      </w:r>
      <w:r>
        <w:rPr>
          <w:color w:val="231F20"/>
        </w:rPr>
        <w:t>lecito</w:t>
      </w:r>
      <w:r>
        <w:rPr>
          <w:color w:val="231F20"/>
          <w:spacing w:val="-8"/>
        </w:rPr>
        <w:t> </w:t>
      </w:r>
      <w:r>
        <w:rPr>
          <w:color w:val="231F20"/>
        </w:rPr>
        <w:t>in</w:t>
      </w:r>
      <w:r>
        <w:rPr>
          <w:color w:val="231F20"/>
          <w:spacing w:val="-8"/>
        </w:rPr>
        <w:t> </w:t>
      </w:r>
      <w:r>
        <w:rPr>
          <w:color w:val="231F20"/>
        </w:rPr>
        <w:t>quanto</w:t>
      </w:r>
      <w:r>
        <w:rPr>
          <w:color w:val="231F20"/>
          <w:spacing w:val="-8"/>
        </w:rPr>
        <w:t> </w:t>
      </w:r>
      <w:r>
        <w:rPr>
          <w:color w:val="231F20"/>
        </w:rPr>
        <w:t>durante</w:t>
      </w:r>
      <w:r>
        <w:rPr>
          <w:color w:val="231F20"/>
          <w:spacing w:val="-8"/>
        </w:rPr>
        <w:t> </w:t>
      </w:r>
      <w:r>
        <w:rPr>
          <w:color w:val="231F20"/>
        </w:rPr>
        <w:t>la</w:t>
      </w:r>
      <w:r>
        <w:rPr>
          <w:color w:val="231F20"/>
          <w:spacing w:val="-8"/>
        </w:rPr>
        <w:t> </w:t>
      </w:r>
      <w:r>
        <w:rPr>
          <w:color w:val="231F20"/>
        </w:rPr>
        <w:t>due</w:t>
      </w:r>
      <w:r>
        <w:rPr>
          <w:color w:val="231F20"/>
          <w:spacing w:val="-8"/>
        </w:rPr>
        <w:t> </w:t>
      </w:r>
      <w:r>
        <w:rPr>
          <w:color w:val="231F20"/>
        </w:rPr>
        <w:t>richieste</w:t>
      </w:r>
      <w:r>
        <w:rPr>
          <w:color w:val="231F20"/>
          <w:spacing w:val="-8"/>
        </w:rPr>
        <w:t> </w:t>
      </w:r>
      <w:r>
        <w:rPr>
          <w:color w:val="231F20"/>
          <w:spacing w:val="-5"/>
        </w:rPr>
        <w:t>di</w:t>
      </w:r>
    </w:p>
    <w:p>
      <w:pPr>
        <w:pStyle w:val="BodyText"/>
        <w:spacing w:before="3"/>
        <w:rPr>
          <w:sz w:val="19"/>
        </w:rPr>
      </w:pPr>
      <w:r>
        <w:rPr/>
        <mc:AlternateContent>
          <mc:Choice Requires="wps">
            <w:drawing>
              <wp:anchor distT="0" distB="0" distL="0" distR="0" allowOverlap="1" layoutInCell="1" locked="0" behindDoc="1" simplePos="0" relativeHeight="487652864">
                <wp:simplePos x="0" y="0"/>
                <wp:positionH relativeFrom="page">
                  <wp:posOffset>899999</wp:posOffset>
                </wp:positionH>
                <wp:positionV relativeFrom="paragraph">
                  <wp:posOffset>170539</wp:posOffset>
                </wp:positionV>
                <wp:extent cx="792480" cy="1270"/>
                <wp:effectExtent l="0" t="0" r="0" b="0"/>
                <wp:wrapTopAndBottom/>
                <wp:docPr id="210" name="Graphic 210"/>
                <wp:cNvGraphicFramePr>
                  <a:graphicFrameLocks/>
                </wp:cNvGraphicFramePr>
                <a:graphic>
                  <a:graphicData uri="http://schemas.microsoft.com/office/word/2010/wordprocessingShape">
                    <wps:wsp>
                      <wps:cNvPr id="210" name="Graphic 210"/>
                      <wps:cNvSpPr/>
                      <wps:spPr>
                        <a:xfrm>
                          <a:off x="0" y="0"/>
                          <a:ext cx="792480" cy="1270"/>
                        </a:xfrm>
                        <a:custGeom>
                          <a:avLst/>
                          <a:gdLst/>
                          <a:ahLst/>
                          <a:cxnLst/>
                          <a:rect l="l" t="t" r="r" b="b"/>
                          <a:pathLst>
                            <a:path w="792480" h="0">
                              <a:moveTo>
                                <a:pt x="0" y="0"/>
                              </a:moveTo>
                              <a:lnTo>
                                <a:pt x="791997"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shape style="position:absolute;margin-left:70.866096pt;margin-top:13.42834pt;width:62.4pt;height:.1pt;mso-position-horizontal-relative:page;mso-position-vertical-relative:paragraph;z-index:-15663616;mso-wrap-distance-left:0;mso-wrap-distance-right:0" id="docshape174" coordorigin="1417,269" coordsize="1248,0" path="m1417,269l2665,269e" filled="false" stroked="true" strokeweight=".5pt" strokecolor="#231f20">
                <v:path arrowok="t"/>
                <v:stroke dashstyle="solid"/>
                <w10:wrap type="topAndBottom"/>
              </v:shape>
            </w:pict>
          </mc:Fallback>
        </mc:AlternateContent>
      </w:r>
    </w:p>
    <w:p>
      <w:pPr>
        <w:spacing w:line="225" w:lineRule="auto" w:before="201"/>
        <w:ind w:left="157" w:right="0" w:firstLine="0"/>
        <w:jc w:val="left"/>
        <w:rPr>
          <w:sz w:val="19"/>
        </w:rPr>
      </w:pPr>
      <w:r>
        <w:rPr>
          <w:color w:val="231F20"/>
          <w:sz w:val="19"/>
        </w:rPr>
        <w:t>accise) potrebbe forse essere l’Agenzia europea per la cooperazione amministrativa nel settore tributario</w:t>
      </w:r>
      <w:r>
        <w:rPr>
          <w:color w:val="231F20"/>
          <w:spacing w:val="-4"/>
          <w:sz w:val="19"/>
        </w:rPr>
        <w:t> </w:t>
      </w:r>
      <w:r>
        <w:rPr>
          <w:color w:val="231F20"/>
          <w:sz w:val="19"/>
        </w:rPr>
        <w:t>(EATC)</w:t>
      </w:r>
      <w:r>
        <w:rPr>
          <w:color w:val="231F20"/>
          <w:spacing w:val="-2"/>
          <w:sz w:val="19"/>
        </w:rPr>
        <w:t> </w:t>
      </w:r>
      <w:r>
        <w:rPr>
          <w:color w:val="231F20"/>
          <w:sz w:val="19"/>
        </w:rPr>
        <w:t>che</w:t>
      </w:r>
      <w:r>
        <w:rPr>
          <w:color w:val="231F20"/>
          <w:spacing w:val="-2"/>
          <w:sz w:val="19"/>
        </w:rPr>
        <w:t> </w:t>
      </w:r>
      <w:r>
        <w:rPr>
          <w:color w:val="231F20"/>
          <w:sz w:val="19"/>
        </w:rPr>
        <w:t>131</w:t>
      </w:r>
      <w:r>
        <w:rPr>
          <w:color w:val="231F20"/>
          <w:spacing w:val="-2"/>
          <w:sz w:val="19"/>
        </w:rPr>
        <w:t> </w:t>
      </w:r>
      <w:r>
        <w:rPr>
          <w:color w:val="231F20"/>
          <w:sz w:val="19"/>
        </w:rPr>
        <w:t>professori</w:t>
      </w:r>
      <w:r>
        <w:rPr>
          <w:color w:val="231F20"/>
          <w:spacing w:val="-2"/>
          <w:sz w:val="19"/>
        </w:rPr>
        <w:t> </w:t>
      </w:r>
      <w:r>
        <w:rPr>
          <w:color w:val="231F20"/>
          <w:sz w:val="19"/>
        </w:rPr>
        <w:t>europei</w:t>
      </w:r>
      <w:r>
        <w:rPr>
          <w:color w:val="231F20"/>
          <w:spacing w:val="-2"/>
          <w:sz w:val="19"/>
        </w:rPr>
        <w:t> </w:t>
      </w:r>
      <w:r>
        <w:rPr>
          <w:color w:val="231F20"/>
          <w:sz w:val="19"/>
        </w:rPr>
        <w:t>di</w:t>
      </w:r>
      <w:r>
        <w:rPr>
          <w:color w:val="231F20"/>
          <w:spacing w:val="-2"/>
          <w:sz w:val="19"/>
        </w:rPr>
        <w:t> </w:t>
      </w:r>
      <w:r>
        <w:rPr>
          <w:color w:val="231F20"/>
          <w:sz w:val="19"/>
        </w:rPr>
        <w:t>diritto</w:t>
      </w:r>
      <w:r>
        <w:rPr>
          <w:color w:val="231F20"/>
          <w:spacing w:val="-2"/>
          <w:sz w:val="19"/>
        </w:rPr>
        <w:t> </w:t>
      </w:r>
      <w:r>
        <w:rPr>
          <w:color w:val="231F20"/>
          <w:sz w:val="19"/>
        </w:rPr>
        <w:t>tributario</w:t>
      </w:r>
      <w:r>
        <w:rPr>
          <w:color w:val="231F20"/>
          <w:spacing w:val="-2"/>
          <w:sz w:val="19"/>
        </w:rPr>
        <w:t> </w:t>
      </w:r>
      <w:r>
        <w:rPr>
          <w:color w:val="231F20"/>
          <w:sz w:val="19"/>
        </w:rPr>
        <w:t>hanno</w:t>
      </w:r>
      <w:r>
        <w:rPr>
          <w:color w:val="231F20"/>
          <w:spacing w:val="-2"/>
          <w:sz w:val="19"/>
        </w:rPr>
        <w:t> </w:t>
      </w:r>
      <w:r>
        <w:rPr>
          <w:color w:val="231F20"/>
          <w:sz w:val="19"/>
        </w:rPr>
        <w:t>proposto</w:t>
      </w:r>
      <w:r>
        <w:rPr>
          <w:color w:val="231F20"/>
          <w:spacing w:val="-2"/>
          <w:sz w:val="19"/>
        </w:rPr>
        <w:t> </w:t>
      </w:r>
      <w:r>
        <w:rPr>
          <w:color w:val="231F20"/>
          <w:sz w:val="19"/>
        </w:rPr>
        <w:t>in</w:t>
      </w:r>
      <w:r>
        <w:rPr>
          <w:color w:val="231F20"/>
          <w:spacing w:val="-2"/>
          <w:sz w:val="19"/>
        </w:rPr>
        <w:t> </w:t>
      </w:r>
      <w:r>
        <w:rPr>
          <w:color w:val="231F20"/>
          <w:sz w:val="19"/>
        </w:rPr>
        <w:t>una</w:t>
      </w:r>
      <w:r>
        <w:rPr>
          <w:color w:val="231F20"/>
          <w:spacing w:val="-1"/>
          <w:sz w:val="19"/>
        </w:rPr>
        <w:t> </w:t>
      </w:r>
      <w:r>
        <w:rPr>
          <w:color w:val="231F20"/>
          <w:spacing w:val="-4"/>
          <w:sz w:val="19"/>
        </w:rPr>
        <w:t>loro</w:t>
      </w:r>
    </w:p>
    <w:p>
      <w:pPr>
        <w:spacing w:line="226" w:lineRule="exact" w:before="0"/>
        <w:ind w:left="157" w:right="0" w:firstLine="0"/>
        <w:jc w:val="left"/>
        <w:rPr>
          <w:i/>
          <w:sz w:val="19"/>
        </w:rPr>
      </w:pPr>
      <w:r>
        <w:rPr>
          <w:color w:val="231F20"/>
          <w:spacing w:val="-2"/>
          <w:sz w:val="19"/>
        </w:rPr>
        <w:t>«lettera</w:t>
      </w:r>
      <w:r>
        <w:rPr>
          <w:color w:val="231F20"/>
          <w:spacing w:val="-1"/>
          <w:sz w:val="19"/>
        </w:rPr>
        <w:t> </w:t>
      </w:r>
      <w:r>
        <w:rPr>
          <w:color w:val="231F20"/>
          <w:spacing w:val="-2"/>
          <w:sz w:val="19"/>
        </w:rPr>
        <w:t>aperta»</w:t>
      </w:r>
      <w:r>
        <w:rPr>
          <w:color w:val="231F20"/>
          <w:sz w:val="19"/>
        </w:rPr>
        <w:t> </w:t>
      </w:r>
      <w:r>
        <w:rPr>
          <w:color w:val="231F20"/>
          <w:spacing w:val="-2"/>
          <w:sz w:val="19"/>
        </w:rPr>
        <w:t>al</w:t>
      </w:r>
      <w:r>
        <w:rPr>
          <w:color w:val="231F20"/>
          <w:spacing w:val="-1"/>
          <w:sz w:val="19"/>
        </w:rPr>
        <w:t> </w:t>
      </w:r>
      <w:r>
        <w:rPr>
          <w:color w:val="231F20"/>
          <w:spacing w:val="-2"/>
          <w:sz w:val="19"/>
        </w:rPr>
        <w:t>Commissario</w:t>
      </w:r>
      <w:r>
        <w:rPr>
          <w:color w:val="231F20"/>
          <w:sz w:val="19"/>
        </w:rPr>
        <w:t> </w:t>
      </w:r>
      <w:r>
        <w:rPr>
          <w:color w:val="231F20"/>
          <w:spacing w:val="-2"/>
          <w:sz w:val="19"/>
        </w:rPr>
        <w:t>europeo</w:t>
      </w:r>
      <w:r>
        <w:rPr>
          <w:color w:val="231F20"/>
          <w:sz w:val="19"/>
        </w:rPr>
        <w:t> </w:t>
      </w:r>
      <w:r>
        <w:rPr>
          <w:color w:val="231F20"/>
          <w:spacing w:val="-2"/>
          <w:sz w:val="19"/>
        </w:rPr>
        <w:t>agli</w:t>
      </w:r>
      <w:r>
        <w:rPr>
          <w:color w:val="231F20"/>
          <w:spacing w:val="-1"/>
          <w:sz w:val="19"/>
        </w:rPr>
        <w:t> </w:t>
      </w:r>
      <w:r>
        <w:rPr>
          <w:color w:val="231F20"/>
          <w:spacing w:val="-2"/>
          <w:sz w:val="19"/>
        </w:rPr>
        <w:t>Affari</w:t>
      </w:r>
      <w:r>
        <w:rPr>
          <w:color w:val="231F20"/>
          <w:sz w:val="19"/>
        </w:rPr>
        <w:t> </w:t>
      </w:r>
      <w:r>
        <w:rPr>
          <w:color w:val="231F20"/>
          <w:spacing w:val="-2"/>
          <w:sz w:val="19"/>
        </w:rPr>
        <w:t>fiscali:</w:t>
      </w:r>
      <w:r>
        <w:rPr>
          <w:color w:val="231F20"/>
          <w:spacing w:val="-1"/>
          <w:sz w:val="19"/>
        </w:rPr>
        <w:t> </w:t>
      </w:r>
      <w:r>
        <w:rPr>
          <w:i/>
          <w:color w:val="231F20"/>
          <w:spacing w:val="-2"/>
          <w:sz w:val="19"/>
        </w:rPr>
        <w:t>La</w:t>
      </w:r>
      <w:r>
        <w:rPr>
          <w:i/>
          <w:color w:val="231F20"/>
          <w:sz w:val="19"/>
        </w:rPr>
        <w:t> </w:t>
      </w:r>
      <w:r>
        <w:rPr>
          <w:i/>
          <w:color w:val="231F20"/>
          <w:spacing w:val="-2"/>
          <w:sz w:val="19"/>
        </w:rPr>
        <w:t>proposta:</w:t>
      </w:r>
      <w:r>
        <w:rPr>
          <w:i/>
          <w:color w:val="231F20"/>
          <w:sz w:val="19"/>
        </w:rPr>
        <w:t> </w:t>
      </w:r>
      <w:r>
        <w:rPr>
          <w:i/>
          <w:color w:val="231F20"/>
          <w:spacing w:val="-2"/>
          <w:sz w:val="19"/>
        </w:rPr>
        <w:t>un’agenzia</w:t>
      </w:r>
      <w:r>
        <w:rPr>
          <w:i/>
          <w:color w:val="231F20"/>
          <w:spacing w:val="-1"/>
          <w:sz w:val="19"/>
        </w:rPr>
        <w:t> </w:t>
      </w:r>
      <w:r>
        <w:rPr>
          <w:i/>
          <w:color w:val="231F20"/>
          <w:spacing w:val="-2"/>
          <w:sz w:val="19"/>
        </w:rPr>
        <w:t>UE</w:t>
      </w:r>
      <w:r>
        <w:rPr>
          <w:i/>
          <w:color w:val="231F20"/>
          <w:sz w:val="19"/>
        </w:rPr>
        <w:t> </w:t>
      </w:r>
      <w:r>
        <w:rPr>
          <w:i/>
          <w:color w:val="231F20"/>
          <w:spacing w:val="-2"/>
          <w:sz w:val="19"/>
        </w:rPr>
        <w:t>per</w:t>
      </w:r>
      <w:r>
        <w:rPr>
          <w:i/>
          <w:color w:val="231F20"/>
          <w:spacing w:val="-1"/>
          <w:sz w:val="19"/>
        </w:rPr>
        <w:t> </w:t>
      </w:r>
      <w:r>
        <w:rPr>
          <w:i/>
          <w:color w:val="231F20"/>
          <w:spacing w:val="-2"/>
          <w:sz w:val="19"/>
        </w:rPr>
        <w:t>il</w:t>
      </w:r>
      <w:r>
        <w:rPr>
          <w:i/>
          <w:color w:val="231F20"/>
          <w:sz w:val="19"/>
        </w:rPr>
        <w:t> </w:t>
      </w:r>
      <w:r>
        <w:rPr>
          <w:i/>
          <w:color w:val="231F20"/>
          <w:spacing w:val="-2"/>
          <w:sz w:val="19"/>
        </w:rPr>
        <w:t>fisco,</w:t>
      </w:r>
    </w:p>
    <w:p>
      <w:pPr>
        <w:spacing w:line="228" w:lineRule="exact" w:before="0"/>
        <w:ind w:left="157" w:right="0" w:firstLine="0"/>
        <w:jc w:val="left"/>
        <w:rPr>
          <w:sz w:val="19"/>
        </w:rPr>
      </w:pPr>
      <w:r>
        <w:rPr>
          <w:color w:val="231F20"/>
          <w:sz w:val="19"/>
        </w:rPr>
        <w:t>in</w:t>
      </w:r>
      <w:r>
        <w:rPr>
          <w:color w:val="231F20"/>
          <w:spacing w:val="-2"/>
          <w:sz w:val="19"/>
        </w:rPr>
        <w:t> </w:t>
      </w:r>
      <w:r>
        <w:rPr>
          <w:i/>
          <w:color w:val="231F20"/>
          <w:sz w:val="19"/>
        </w:rPr>
        <w:t>Sole</w:t>
      </w:r>
      <w:r>
        <w:rPr>
          <w:i/>
          <w:color w:val="231F20"/>
          <w:spacing w:val="-1"/>
          <w:sz w:val="19"/>
        </w:rPr>
        <w:t> </w:t>
      </w:r>
      <w:r>
        <w:rPr>
          <w:i/>
          <w:color w:val="231F20"/>
          <w:sz w:val="19"/>
        </w:rPr>
        <w:t>24</w:t>
      </w:r>
      <w:r>
        <w:rPr>
          <w:i/>
          <w:color w:val="231F20"/>
          <w:spacing w:val="-1"/>
          <w:sz w:val="19"/>
        </w:rPr>
        <w:t> </w:t>
      </w:r>
      <w:r>
        <w:rPr>
          <w:i/>
          <w:color w:val="231F20"/>
          <w:sz w:val="19"/>
        </w:rPr>
        <w:t>Ore</w:t>
      </w:r>
      <w:r>
        <w:rPr>
          <w:color w:val="231F20"/>
          <w:sz w:val="19"/>
        </w:rPr>
        <w:t>,</w:t>
      </w:r>
      <w:r>
        <w:rPr>
          <w:color w:val="231F20"/>
          <w:spacing w:val="-1"/>
          <w:sz w:val="19"/>
        </w:rPr>
        <w:t> </w:t>
      </w:r>
      <w:r>
        <w:rPr>
          <w:color w:val="231F20"/>
          <w:sz w:val="19"/>
        </w:rPr>
        <w:t>23</w:t>
      </w:r>
      <w:r>
        <w:rPr>
          <w:color w:val="231F20"/>
          <w:spacing w:val="-2"/>
          <w:sz w:val="19"/>
        </w:rPr>
        <w:t> </w:t>
      </w:r>
      <w:r>
        <w:rPr>
          <w:color w:val="231F20"/>
          <w:sz w:val="19"/>
        </w:rPr>
        <w:t>gennaio</w:t>
      </w:r>
      <w:r>
        <w:rPr>
          <w:color w:val="231F20"/>
          <w:spacing w:val="-1"/>
          <w:sz w:val="19"/>
        </w:rPr>
        <w:t> </w:t>
      </w:r>
      <w:r>
        <w:rPr>
          <w:color w:val="231F20"/>
          <w:sz w:val="19"/>
        </w:rPr>
        <w:t>2024,</w:t>
      </w:r>
      <w:r>
        <w:rPr>
          <w:color w:val="231F20"/>
          <w:spacing w:val="-1"/>
          <w:sz w:val="19"/>
        </w:rPr>
        <w:t> </w:t>
      </w:r>
      <w:r>
        <w:rPr>
          <w:color w:val="231F20"/>
          <w:sz w:val="19"/>
        </w:rPr>
        <w:t>p.</w:t>
      </w:r>
      <w:r>
        <w:rPr>
          <w:color w:val="231F20"/>
          <w:spacing w:val="-1"/>
          <w:sz w:val="19"/>
        </w:rPr>
        <w:t> </w:t>
      </w:r>
      <w:r>
        <w:rPr>
          <w:color w:val="231F20"/>
          <w:spacing w:val="-5"/>
          <w:sz w:val="19"/>
        </w:rPr>
        <w:t>29.</w:t>
      </w:r>
    </w:p>
    <w:p>
      <w:pPr>
        <w:spacing w:line="225" w:lineRule="auto" w:before="3"/>
        <w:ind w:left="157" w:right="117" w:firstLine="0"/>
        <w:jc w:val="both"/>
        <w:rPr>
          <w:i/>
          <w:sz w:val="19"/>
        </w:rPr>
      </w:pPr>
      <w:r>
        <w:rPr>
          <w:color w:val="231F20"/>
          <w:position w:val="6"/>
          <w:sz w:val="11"/>
        </w:rPr>
        <w:t>145</w:t>
      </w:r>
      <w:r>
        <w:rPr>
          <w:color w:val="231F20"/>
          <w:spacing w:val="17"/>
          <w:position w:val="6"/>
          <w:sz w:val="11"/>
        </w:rPr>
        <w:t> </w:t>
      </w:r>
      <w:r>
        <w:rPr>
          <w:color w:val="231F20"/>
          <w:sz w:val="19"/>
        </w:rPr>
        <w:t>Corte</w:t>
      </w:r>
      <w:r>
        <w:rPr>
          <w:color w:val="231F20"/>
          <w:spacing w:val="-12"/>
          <w:sz w:val="19"/>
        </w:rPr>
        <w:t> </w:t>
      </w:r>
      <w:r>
        <w:rPr>
          <w:color w:val="231F20"/>
          <w:sz w:val="19"/>
        </w:rPr>
        <w:t>Giust.</w:t>
      </w:r>
      <w:r>
        <w:rPr>
          <w:color w:val="231F20"/>
          <w:spacing w:val="-11"/>
          <w:sz w:val="19"/>
        </w:rPr>
        <w:t> </w:t>
      </w:r>
      <w:r>
        <w:rPr>
          <w:color w:val="231F20"/>
          <w:sz w:val="19"/>
        </w:rPr>
        <w:t>UE,</w:t>
      </w:r>
      <w:r>
        <w:rPr>
          <w:color w:val="231F20"/>
          <w:spacing w:val="-12"/>
          <w:sz w:val="19"/>
        </w:rPr>
        <w:t> </w:t>
      </w:r>
      <w:r>
        <w:rPr>
          <w:color w:val="231F20"/>
          <w:sz w:val="19"/>
        </w:rPr>
        <w:t>sent.</w:t>
      </w:r>
      <w:r>
        <w:rPr>
          <w:color w:val="231F20"/>
          <w:spacing w:val="-12"/>
          <w:sz w:val="19"/>
        </w:rPr>
        <w:t> </w:t>
      </w:r>
      <w:r>
        <w:rPr>
          <w:color w:val="231F20"/>
          <w:sz w:val="19"/>
        </w:rPr>
        <w:t>del</w:t>
      </w:r>
      <w:r>
        <w:rPr>
          <w:color w:val="231F20"/>
          <w:spacing w:val="-12"/>
          <w:sz w:val="19"/>
        </w:rPr>
        <w:t> </w:t>
      </w:r>
      <w:r>
        <w:rPr>
          <w:color w:val="231F20"/>
          <w:sz w:val="19"/>
        </w:rPr>
        <w:t>30</w:t>
      </w:r>
      <w:r>
        <w:rPr>
          <w:color w:val="231F20"/>
          <w:spacing w:val="-12"/>
          <w:sz w:val="19"/>
        </w:rPr>
        <w:t> </w:t>
      </w:r>
      <w:r>
        <w:rPr>
          <w:color w:val="231F20"/>
          <w:sz w:val="19"/>
        </w:rPr>
        <w:t>settembre</w:t>
      </w:r>
      <w:r>
        <w:rPr>
          <w:color w:val="231F20"/>
          <w:spacing w:val="-12"/>
          <w:sz w:val="19"/>
        </w:rPr>
        <w:t> </w:t>
      </w:r>
      <w:r>
        <w:rPr>
          <w:color w:val="231F20"/>
          <w:sz w:val="19"/>
        </w:rPr>
        <w:t>2021,</w:t>
      </w:r>
      <w:r>
        <w:rPr>
          <w:color w:val="231F20"/>
          <w:spacing w:val="-12"/>
          <w:sz w:val="19"/>
        </w:rPr>
        <w:t> </w:t>
      </w:r>
      <w:r>
        <w:rPr>
          <w:color w:val="231F20"/>
          <w:sz w:val="19"/>
        </w:rPr>
        <w:t>C-186/20,</w:t>
      </w:r>
      <w:r>
        <w:rPr>
          <w:color w:val="231F20"/>
          <w:spacing w:val="-12"/>
          <w:sz w:val="19"/>
        </w:rPr>
        <w:t> </w:t>
      </w:r>
      <w:r>
        <w:rPr>
          <w:i/>
          <w:color w:val="231F20"/>
          <w:sz w:val="19"/>
        </w:rPr>
        <w:t>Hydina</w:t>
      </w:r>
      <w:r>
        <w:rPr>
          <w:i/>
          <w:color w:val="231F20"/>
          <w:spacing w:val="-11"/>
          <w:sz w:val="19"/>
        </w:rPr>
        <w:t> </w:t>
      </w:r>
      <w:r>
        <w:rPr>
          <w:i/>
          <w:color w:val="231F20"/>
          <w:sz w:val="19"/>
        </w:rPr>
        <w:t>Sk</w:t>
      </w:r>
      <w:r>
        <w:rPr>
          <w:i/>
          <w:color w:val="231F20"/>
          <w:spacing w:val="-12"/>
          <w:sz w:val="19"/>
        </w:rPr>
        <w:t> </w:t>
      </w:r>
      <w:r>
        <w:rPr>
          <w:i/>
          <w:color w:val="231F20"/>
          <w:sz w:val="19"/>
        </w:rPr>
        <w:t>c.</w:t>
      </w:r>
      <w:r>
        <w:rPr>
          <w:i/>
          <w:color w:val="231F20"/>
          <w:spacing w:val="-12"/>
          <w:sz w:val="19"/>
        </w:rPr>
        <w:t> </w:t>
      </w:r>
      <w:r>
        <w:rPr>
          <w:i/>
          <w:color w:val="231F20"/>
          <w:sz w:val="19"/>
        </w:rPr>
        <w:t>Direzione</w:t>
      </w:r>
      <w:r>
        <w:rPr>
          <w:i/>
          <w:color w:val="231F20"/>
          <w:spacing w:val="-12"/>
          <w:sz w:val="19"/>
        </w:rPr>
        <w:t> </w:t>
      </w:r>
      <w:r>
        <w:rPr>
          <w:i/>
          <w:color w:val="231F20"/>
          <w:sz w:val="19"/>
        </w:rPr>
        <w:t>finanziaria</w:t>
      </w:r>
      <w:r>
        <w:rPr>
          <w:i/>
          <w:color w:val="231F20"/>
          <w:sz w:val="19"/>
        </w:rPr>
        <w:t> della Repubblica slovacca.</w:t>
      </w:r>
    </w:p>
    <w:p>
      <w:pPr>
        <w:spacing w:line="225" w:lineRule="auto" w:before="5"/>
        <w:ind w:left="157" w:right="118" w:firstLine="0"/>
        <w:jc w:val="both"/>
        <w:rPr>
          <w:sz w:val="19"/>
        </w:rPr>
      </w:pPr>
      <w:r>
        <w:rPr>
          <w:color w:val="231F20"/>
          <w:position w:val="6"/>
          <w:sz w:val="11"/>
        </w:rPr>
        <w:t>146</w:t>
      </w:r>
      <w:r>
        <w:rPr>
          <w:color w:val="231F20"/>
          <w:spacing w:val="40"/>
          <w:position w:val="6"/>
          <w:sz w:val="11"/>
        </w:rPr>
        <w:t> </w:t>
      </w:r>
      <w:r>
        <w:rPr>
          <w:color w:val="231F20"/>
          <w:sz w:val="19"/>
        </w:rPr>
        <w:t>L’art. 10, regolamento (UE) 904/2010 prevede che: «L’autorità interpellata esegue </w:t>
      </w:r>
      <w:r>
        <w:rPr>
          <w:color w:val="231F20"/>
          <w:sz w:val="19"/>
        </w:rPr>
        <w:t>le comunicazioni</w:t>
      </w:r>
      <w:r>
        <w:rPr>
          <w:color w:val="231F20"/>
          <w:spacing w:val="-9"/>
          <w:sz w:val="19"/>
        </w:rPr>
        <w:t> </w:t>
      </w:r>
      <w:r>
        <w:rPr>
          <w:color w:val="231F20"/>
          <w:sz w:val="19"/>
        </w:rPr>
        <w:t>di</w:t>
      </w:r>
      <w:r>
        <w:rPr>
          <w:color w:val="231F20"/>
          <w:spacing w:val="-9"/>
          <w:sz w:val="19"/>
        </w:rPr>
        <w:t> </w:t>
      </w:r>
      <w:r>
        <w:rPr>
          <w:color w:val="231F20"/>
          <w:sz w:val="19"/>
        </w:rPr>
        <w:t>informazioni</w:t>
      </w:r>
      <w:r>
        <w:rPr>
          <w:color w:val="231F20"/>
          <w:spacing w:val="-9"/>
          <w:sz w:val="19"/>
        </w:rPr>
        <w:t> </w:t>
      </w:r>
      <w:r>
        <w:rPr>
          <w:color w:val="231F20"/>
          <w:sz w:val="19"/>
        </w:rPr>
        <w:t>di</w:t>
      </w:r>
      <w:r>
        <w:rPr>
          <w:color w:val="231F20"/>
          <w:spacing w:val="-9"/>
          <w:sz w:val="19"/>
        </w:rPr>
        <w:t> </w:t>
      </w:r>
      <w:r>
        <w:rPr>
          <w:color w:val="231F20"/>
          <w:sz w:val="19"/>
        </w:rPr>
        <w:t>cui</w:t>
      </w:r>
      <w:r>
        <w:rPr>
          <w:color w:val="231F20"/>
          <w:spacing w:val="-9"/>
          <w:sz w:val="19"/>
        </w:rPr>
        <w:t> </w:t>
      </w:r>
      <w:r>
        <w:rPr>
          <w:color w:val="231F20"/>
          <w:sz w:val="19"/>
        </w:rPr>
        <w:t>agli</w:t>
      </w:r>
      <w:r>
        <w:rPr>
          <w:color w:val="231F20"/>
          <w:spacing w:val="-9"/>
          <w:sz w:val="19"/>
        </w:rPr>
        <w:t> </w:t>
      </w:r>
      <w:r>
        <w:rPr>
          <w:color w:val="231F20"/>
          <w:sz w:val="19"/>
        </w:rPr>
        <w:t>articoli</w:t>
      </w:r>
      <w:r>
        <w:rPr>
          <w:color w:val="231F20"/>
          <w:spacing w:val="-9"/>
          <w:sz w:val="19"/>
        </w:rPr>
        <w:t> </w:t>
      </w:r>
      <w:r>
        <w:rPr>
          <w:color w:val="231F20"/>
          <w:sz w:val="19"/>
        </w:rPr>
        <w:t>7</w:t>
      </w:r>
      <w:r>
        <w:rPr>
          <w:color w:val="231F20"/>
          <w:spacing w:val="-9"/>
          <w:sz w:val="19"/>
        </w:rPr>
        <w:t> </w:t>
      </w:r>
      <w:r>
        <w:rPr>
          <w:color w:val="231F20"/>
          <w:sz w:val="19"/>
        </w:rPr>
        <w:t>e</w:t>
      </w:r>
      <w:r>
        <w:rPr>
          <w:color w:val="231F20"/>
          <w:spacing w:val="-9"/>
          <w:sz w:val="19"/>
        </w:rPr>
        <w:t> </w:t>
      </w:r>
      <w:r>
        <w:rPr>
          <w:color w:val="231F20"/>
          <w:sz w:val="19"/>
        </w:rPr>
        <w:t>9</w:t>
      </w:r>
      <w:r>
        <w:rPr>
          <w:color w:val="231F20"/>
          <w:spacing w:val="-9"/>
          <w:sz w:val="19"/>
        </w:rPr>
        <w:t> </w:t>
      </w:r>
      <w:r>
        <w:rPr>
          <w:color w:val="231F20"/>
          <w:sz w:val="19"/>
        </w:rPr>
        <w:t>al</w:t>
      </w:r>
      <w:r>
        <w:rPr>
          <w:color w:val="231F20"/>
          <w:spacing w:val="-9"/>
          <w:sz w:val="19"/>
        </w:rPr>
        <w:t> </w:t>
      </w:r>
      <w:r>
        <w:rPr>
          <w:color w:val="231F20"/>
          <w:sz w:val="19"/>
        </w:rPr>
        <w:t>più</w:t>
      </w:r>
      <w:r>
        <w:rPr>
          <w:color w:val="231F20"/>
          <w:spacing w:val="-9"/>
          <w:sz w:val="19"/>
        </w:rPr>
        <w:t> </w:t>
      </w:r>
      <w:r>
        <w:rPr>
          <w:color w:val="231F20"/>
          <w:sz w:val="19"/>
        </w:rPr>
        <w:t>presto</w:t>
      </w:r>
      <w:r>
        <w:rPr>
          <w:color w:val="231F20"/>
          <w:spacing w:val="-9"/>
          <w:sz w:val="19"/>
        </w:rPr>
        <w:t> </w:t>
      </w:r>
      <w:r>
        <w:rPr>
          <w:color w:val="231F20"/>
          <w:sz w:val="19"/>
        </w:rPr>
        <w:t>e</w:t>
      </w:r>
      <w:r>
        <w:rPr>
          <w:color w:val="231F20"/>
          <w:spacing w:val="-9"/>
          <w:sz w:val="19"/>
        </w:rPr>
        <w:t> </w:t>
      </w:r>
      <w:r>
        <w:rPr>
          <w:color w:val="231F20"/>
          <w:sz w:val="19"/>
        </w:rPr>
        <w:t>comunque</w:t>
      </w:r>
      <w:r>
        <w:rPr>
          <w:color w:val="231F20"/>
          <w:spacing w:val="-9"/>
          <w:sz w:val="19"/>
        </w:rPr>
        <w:t> </w:t>
      </w:r>
      <w:r>
        <w:rPr>
          <w:color w:val="231F20"/>
          <w:sz w:val="19"/>
        </w:rPr>
        <w:t>entro</w:t>
      </w:r>
      <w:r>
        <w:rPr>
          <w:color w:val="231F20"/>
          <w:spacing w:val="-9"/>
          <w:sz w:val="19"/>
        </w:rPr>
        <w:t> </w:t>
      </w:r>
      <w:r>
        <w:rPr>
          <w:color w:val="231F20"/>
          <w:sz w:val="19"/>
        </w:rPr>
        <w:t>tre</w:t>
      </w:r>
      <w:r>
        <w:rPr>
          <w:color w:val="231F20"/>
          <w:spacing w:val="-9"/>
          <w:sz w:val="19"/>
        </w:rPr>
        <w:t> </w:t>
      </w:r>
      <w:r>
        <w:rPr>
          <w:color w:val="231F20"/>
          <w:sz w:val="19"/>
        </w:rPr>
        <w:t>mesi dalla data di ricevimento della richiesta.</w:t>
      </w:r>
      <w:r>
        <w:rPr>
          <w:color w:val="231F20"/>
          <w:spacing w:val="-4"/>
          <w:sz w:val="19"/>
        </w:rPr>
        <w:t> </w:t>
      </w:r>
      <w:r>
        <w:rPr>
          <w:color w:val="231F20"/>
          <w:sz w:val="19"/>
        </w:rPr>
        <w:t>Tuttavia se le informazioni di cui trattasi sono già in possesso dell’autorità interpellata, il termine è ridotto ad un periodo massimo di un mese».</w:t>
      </w:r>
    </w:p>
    <w:p>
      <w:pPr>
        <w:spacing w:after="0" w:line="225" w:lineRule="auto"/>
        <w:jc w:val="both"/>
        <w:rPr>
          <w:sz w:val="19"/>
        </w:rPr>
        <w:sectPr>
          <w:pgSz w:w="9640" w:h="13610"/>
          <w:pgMar w:header="0" w:footer="625" w:top="1260" w:bottom="820" w:left="1260" w:right="1240"/>
        </w:sectPr>
      </w:pPr>
    </w:p>
    <w:p>
      <w:pPr>
        <w:pStyle w:val="BodyText"/>
        <w:spacing w:line="225" w:lineRule="auto" w:before="117"/>
        <w:ind w:left="100" w:right="174"/>
        <w:jc w:val="both"/>
      </w:pPr>
      <w:r>
        <w:rPr>
          <w:color w:val="231F20"/>
        </w:rPr>
        <w:t>informazioni alle amministrazioni di Polonia e Ungheria la verifica fiscale in</w:t>
      </w:r>
      <w:r>
        <w:rPr>
          <w:color w:val="231F20"/>
          <w:spacing w:val="-5"/>
        </w:rPr>
        <w:t> </w:t>
      </w:r>
      <w:r>
        <w:rPr>
          <w:color w:val="231F20"/>
        </w:rPr>
        <w:t>Slovacchia</w:t>
      </w:r>
      <w:r>
        <w:rPr>
          <w:color w:val="231F20"/>
          <w:spacing w:val="-5"/>
        </w:rPr>
        <w:t> </w:t>
      </w:r>
      <w:r>
        <w:rPr>
          <w:color w:val="231F20"/>
        </w:rPr>
        <w:t>era</w:t>
      </w:r>
      <w:r>
        <w:rPr>
          <w:color w:val="231F20"/>
          <w:spacing w:val="-5"/>
        </w:rPr>
        <w:t> </w:t>
      </w:r>
      <w:r>
        <w:rPr>
          <w:color w:val="231F20"/>
        </w:rPr>
        <w:t>da</w:t>
      </w:r>
      <w:r>
        <w:rPr>
          <w:color w:val="231F20"/>
          <w:spacing w:val="-5"/>
        </w:rPr>
        <w:t> </w:t>
      </w:r>
      <w:r>
        <w:rPr>
          <w:color w:val="231F20"/>
        </w:rPr>
        <w:t>considerarsi</w:t>
      </w:r>
      <w:r>
        <w:rPr>
          <w:color w:val="231F20"/>
          <w:spacing w:val="-5"/>
        </w:rPr>
        <w:t> </w:t>
      </w:r>
      <w:r>
        <w:rPr>
          <w:color w:val="231F20"/>
        </w:rPr>
        <w:t>sospesa.</w:t>
      </w:r>
      <w:r>
        <w:rPr>
          <w:color w:val="231F20"/>
          <w:spacing w:val="-15"/>
        </w:rPr>
        <w:t> </w:t>
      </w:r>
      <w:r>
        <w:rPr>
          <w:color w:val="231F20"/>
        </w:rPr>
        <w:t>Tuttavia</w:t>
      </w:r>
      <w:r>
        <w:rPr>
          <w:color w:val="231F20"/>
          <w:spacing w:val="-5"/>
        </w:rPr>
        <w:t> </w:t>
      </w:r>
      <w:r>
        <w:rPr>
          <w:color w:val="231F20"/>
        </w:rPr>
        <w:t>la</w:t>
      </w:r>
      <w:r>
        <w:rPr>
          <w:color w:val="231F20"/>
          <w:spacing w:val="-5"/>
        </w:rPr>
        <w:t> </w:t>
      </w:r>
      <w:r>
        <w:rPr>
          <w:color w:val="231F20"/>
        </w:rPr>
        <w:t>procedura</w:t>
      </w:r>
      <w:r>
        <w:rPr>
          <w:color w:val="231F20"/>
          <w:spacing w:val="-5"/>
        </w:rPr>
        <w:t> </w:t>
      </w:r>
      <w:r>
        <w:rPr>
          <w:color w:val="231F20"/>
        </w:rPr>
        <w:t>di</w:t>
      </w:r>
      <w:r>
        <w:rPr>
          <w:color w:val="231F20"/>
          <w:spacing w:val="-5"/>
        </w:rPr>
        <w:t> </w:t>
      </w:r>
      <w:r>
        <w:rPr>
          <w:color w:val="231F20"/>
        </w:rPr>
        <w:t>richiesta di</w:t>
      </w:r>
      <w:r>
        <w:rPr>
          <w:color w:val="231F20"/>
          <w:spacing w:val="-12"/>
        </w:rPr>
        <w:t> </w:t>
      </w:r>
      <w:r>
        <w:rPr>
          <w:color w:val="231F20"/>
        </w:rPr>
        <w:t>informazioni</w:t>
      </w:r>
      <w:r>
        <w:rPr>
          <w:color w:val="231F20"/>
          <w:spacing w:val="-12"/>
        </w:rPr>
        <w:t> </w:t>
      </w:r>
      <w:r>
        <w:rPr>
          <w:color w:val="231F20"/>
        </w:rPr>
        <w:t>all’autorità</w:t>
      </w:r>
      <w:r>
        <w:rPr>
          <w:color w:val="231F20"/>
          <w:spacing w:val="-12"/>
        </w:rPr>
        <w:t> </w:t>
      </w:r>
      <w:r>
        <w:rPr>
          <w:color w:val="231F20"/>
        </w:rPr>
        <w:t>interpellata</w:t>
      </w:r>
      <w:r>
        <w:rPr>
          <w:color w:val="231F20"/>
          <w:spacing w:val="-12"/>
        </w:rPr>
        <w:t> </w:t>
      </w:r>
      <w:r>
        <w:rPr>
          <w:color w:val="231F20"/>
        </w:rPr>
        <w:t>polacca</w:t>
      </w:r>
      <w:r>
        <w:rPr>
          <w:color w:val="231F20"/>
          <w:spacing w:val="-12"/>
        </w:rPr>
        <w:t> </w:t>
      </w:r>
      <w:r>
        <w:rPr>
          <w:color w:val="231F20"/>
        </w:rPr>
        <w:t>era</w:t>
      </w:r>
      <w:r>
        <w:rPr>
          <w:color w:val="231F20"/>
          <w:spacing w:val="-12"/>
        </w:rPr>
        <w:t> </w:t>
      </w:r>
      <w:r>
        <w:rPr>
          <w:color w:val="231F20"/>
        </w:rPr>
        <w:t>durata</w:t>
      </w:r>
      <w:r>
        <w:rPr>
          <w:color w:val="231F20"/>
          <w:spacing w:val="-12"/>
        </w:rPr>
        <w:t> </w:t>
      </w:r>
      <w:r>
        <w:rPr>
          <w:color w:val="231F20"/>
        </w:rPr>
        <w:t>sette</w:t>
      </w:r>
      <w:r>
        <w:rPr>
          <w:color w:val="231F20"/>
          <w:spacing w:val="-12"/>
        </w:rPr>
        <w:t> </w:t>
      </w:r>
      <w:r>
        <w:rPr>
          <w:color w:val="231F20"/>
        </w:rPr>
        <w:t>mesi</w:t>
      </w:r>
      <w:r>
        <w:rPr>
          <w:color w:val="231F20"/>
          <w:spacing w:val="-12"/>
        </w:rPr>
        <w:t> </w:t>
      </w:r>
      <w:r>
        <w:rPr>
          <w:color w:val="231F20"/>
        </w:rPr>
        <w:t>e</w:t>
      </w:r>
      <w:r>
        <w:rPr>
          <w:color w:val="231F20"/>
          <w:spacing w:val="-12"/>
        </w:rPr>
        <w:t> </w:t>
      </w:r>
      <w:r>
        <w:rPr>
          <w:color w:val="231F20"/>
        </w:rPr>
        <w:t>mez- zo,</w:t>
      </w:r>
      <w:r>
        <w:rPr>
          <w:color w:val="231F20"/>
          <w:spacing w:val="-6"/>
        </w:rPr>
        <w:t> </w:t>
      </w:r>
      <w:r>
        <w:rPr>
          <w:color w:val="231F20"/>
        </w:rPr>
        <w:t>vale</w:t>
      </w:r>
      <w:r>
        <w:rPr>
          <w:color w:val="231F20"/>
          <w:spacing w:val="-6"/>
        </w:rPr>
        <w:t> </w:t>
      </w:r>
      <w:r>
        <w:rPr>
          <w:color w:val="231F20"/>
        </w:rPr>
        <w:t>a</w:t>
      </w:r>
      <w:r>
        <w:rPr>
          <w:color w:val="231F20"/>
          <w:spacing w:val="-6"/>
        </w:rPr>
        <w:t> </w:t>
      </w:r>
      <w:r>
        <w:rPr>
          <w:color w:val="231F20"/>
        </w:rPr>
        <w:t>dire</w:t>
      </w:r>
      <w:r>
        <w:rPr>
          <w:color w:val="231F20"/>
          <w:spacing w:val="-6"/>
        </w:rPr>
        <w:t> </w:t>
      </w:r>
      <w:r>
        <w:rPr>
          <w:color w:val="231F20"/>
        </w:rPr>
        <w:t>ben</w:t>
      </w:r>
      <w:r>
        <w:rPr>
          <w:color w:val="231F20"/>
          <w:spacing w:val="-6"/>
        </w:rPr>
        <w:t> </w:t>
      </w:r>
      <w:r>
        <w:rPr>
          <w:color w:val="231F20"/>
        </w:rPr>
        <w:t>più</w:t>
      </w:r>
      <w:r>
        <w:rPr>
          <w:color w:val="231F20"/>
          <w:spacing w:val="-6"/>
        </w:rPr>
        <w:t> </w:t>
      </w:r>
      <w:r>
        <w:rPr>
          <w:color w:val="231F20"/>
        </w:rPr>
        <w:t>del</w:t>
      </w:r>
      <w:r>
        <w:rPr>
          <w:color w:val="231F20"/>
          <w:spacing w:val="-6"/>
        </w:rPr>
        <w:t> </w:t>
      </w:r>
      <w:r>
        <w:rPr>
          <w:color w:val="231F20"/>
        </w:rPr>
        <w:t>termine</w:t>
      </w:r>
      <w:r>
        <w:rPr>
          <w:color w:val="231F20"/>
          <w:spacing w:val="-6"/>
        </w:rPr>
        <w:t> </w:t>
      </w:r>
      <w:r>
        <w:rPr>
          <w:color w:val="231F20"/>
        </w:rPr>
        <w:t>massimo</w:t>
      </w:r>
      <w:r>
        <w:rPr>
          <w:color w:val="231F20"/>
          <w:spacing w:val="-6"/>
        </w:rPr>
        <w:t> </w:t>
      </w:r>
      <w:r>
        <w:rPr>
          <w:color w:val="231F20"/>
        </w:rPr>
        <w:t>di</w:t>
      </w:r>
      <w:r>
        <w:rPr>
          <w:color w:val="231F20"/>
          <w:spacing w:val="-6"/>
        </w:rPr>
        <w:t> </w:t>
      </w:r>
      <w:r>
        <w:rPr>
          <w:color w:val="231F20"/>
        </w:rPr>
        <w:t>tre</w:t>
      </w:r>
      <w:r>
        <w:rPr>
          <w:color w:val="231F20"/>
          <w:spacing w:val="-6"/>
        </w:rPr>
        <w:t> </w:t>
      </w:r>
      <w:r>
        <w:rPr>
          <w:color w:val="231F20"/>
        </w:rPr>
        <w:t>mesi</w:t>
      </w:r>
      <w:r>
        <w:rPr>
          <w:color w:val="231F20"/>
          <w:spacing w:val="-6"/>
        </w:rPr>
        <w:t> </w:t>
      </w:r>
      <w:r>
        <w:rPr>
          <w:color w:val="231F20"/>
        </w:rPr>
        <w:t>previsto</w:t>
      </w:r>
      <w:r>
        <w:rPr>
          <w:color w:val="231F20"/>
          <w:spacing w:val="-6"/>
        </w:rPr>
        <w:t> </w:t>
      </w:r>
      <w:r>
        <w:rPr>
          <w:color w:val="231F20"/>
        </w:rPr>
        <w:t>dall’art.</w:t>
      </w:r>
      <w:r>
        <w:rPr>
          <w:color w:val="231F20"/>
          <w:spacing w:val="-6"/>
        </w:rPr>
        <w:t> </w:t>
      </w:r>
      <w:r>
        <w:rPr>
          <w:color w:val="231F20"/>
        </w:rPr>
        <w:t>10 del regolamento. Da tali circostanze la Corte suprema della Slovacchia ha dedotto la necessità di porre alla Corte di giustizia un quesito interpreta- tivo avente ad oggetto l’art. 10, regolamento (UE) 904/2010 in relazione agli effetti che poteva produrre sulla legittimità della sospensione di una verifica</w:t>
      </w:r>
      <w:r>
        <w:rPr>
          <w:color w:val="231F20"/>
          <w:spacing w:val="-7"/>
        </w:rPr>
        <w:t> </w:t>
      </w:r>
      <w:r>
        <w:rPr>
          <w:color w:val="231F20"/>
        </w:rPr>
        <w:t>fiscale</w:t>
      </w:r>
      <w:r>
        <w:rPr>
          <w:color w:val="231F20"/>
          <w:spacing w:val="-7"/>
        </w:rPr>
        <w:t> </w:t>
      </w:r>
      <w:r>
        <w:rPr>
          <w:color w:val="231F20"/>
        </w:rPr>
        <w:t>prevista</w:t>
      </w:r>
      <w:r>
        <w:rPr>
          <w:color w:val="231F20"/>
          <w:spacing w:val="-7"/>
        </w:rPr>
        <w:t> </w:t>
      </w:r>
      <w:r>
        <w:rPr>
          <w:color w:val="231F20"/>
        </w:rPr>
        <w:t>dalla</w:t>
      </w:r>
      <w:r>
        <w:rPr>
          <w:color w:val="231F20"/>
          <w:spacing w:val="-7"/>
        </w:rPr>
        <w:t> </w:t>
      </w:r>
      <w:r>
        <w:rPr>
          <w:color w:val="231F20"/>
        </w:rPr>
        <w:t>legislazione</w:t>
      </w:r>
      <w:r>
        <w:rPr>
          <w:color w:val="231F20"/>
          <w:spacing w:val="-7"/>
        </w:rPr>
        <w:t> </w:t>
      </w:r>
      <w:r>
        <w:rPr>
          <w:color w:val="231F20"/>
        </w:rPr>
        <w:t>dello</w:t>
      </w:r>
      <w:r>
        <w:rPr>
          <w:color w:val="231F20"/>
          <w:spacing w:val="-7"/>
        </w:rPr>
        <w:t> </w:t>
      </w:r>
      <w:r>
        <w:rPr>
          <w:color w:val="231F20"/>
        </w:rPr>
        <w:t>Stato</w:t>
      </w:r>
      <w:r>
        <w:rPr>
          <w:color w:val="231F20"/>
          <w:spacing w:val="-7"/>
        </w:rPr>
        <w:t> </w:t>
      </w:r>
      <w:r>
        <w:rPr>
          <w:color w:val="231F20"/>
        </w:rPr>
        <w:t>membro</w:t>
      </w:r>
      <w:r>
        <w:rPr>
          <w:color w:val="231F20"/>
          <w:spacing w:val="-7"/>
        </w:rPr>
        <w:t> </w:t>
      </w:r>
      <w:r>
        <w:rPr>
          <w:color w:val="231F20"/>
        </w:rPr>
        <w:t>richiedente,</w:t>
      </w:r>
      <w:r>
        <w:rPr>
          <w:color w:val="231F20"/>
          <w:spacing w:val="-7"/>
        </w:rPr>
        <w:t> </w:t>
      </w:r>
      <w:r>
        <w:rPr>
          <w:color w:val="231F20"/>
        </w:rPr>
        <w:t>il superamento</w:t>
      </w:r>
      <w:r>
        <w:rPr>
          <w:color w:val="231F20"/>
          <w:spacing w:val="-14"/>
        </w:rPr>
        <w:t> </w:t>
      </w:r>
      <w:r>
        <w:rPr>
          <w:color w:val="231F20"/>
        </w:rPr>
        <w:t>dei</w:t>
      </w:r>
      <w:r>
        <w:rPr>
          <w:color w:val="231F20"/>
          <w:spacing w:val="-14"/>
        </w:rPr>
        <w:t> </w:t>
      </w:r>
      <w:r>
        <w:rPr>
          <w:color w:val="231F20"/>
        </w:rPr>
        <w:t>termini</w:t>
      </w:r>
      <w:r>
        <w:rPr>
          <w:color w:val="231F20"/>
          <w:spacing w:val="-14"/>
        </w:rPr>
        <w:t> </w:t>
      </w:r>
      <w:r>
        <w:rPr>
          <w:color w:val="231F20"/>
        </w:rPr>
        <w:t>previsti</w:t>
      </w:r>
      <w:r>
        <w:rPr>
          <w:color w:val="231F20"/>
          <w:spacing w:val="-14"/>
        </w:rPr>
        <w:t> </w:t>
      </w:r>
      <w:r>
        <w:rPr>
          <w:color w:val="231F20"/>
        </w:rPr>
        <w:t>da</w:t>
      </w:r>
      <w:r>
        <w:rPr>
          <w:color w:val="231F20"/>
          <w:spacing w:val="-14"/>
        </w:rPr>
        <w:t> </w:t>
      </w:r>
      <w:r>
        <w:rPr>
          <w:color w:val="231F20"/>
        </w:rPr>
        <w:t>tale</w:t>
      </w:r>
      <w:r>
        <w:rPr>
          <w:color w:val="231F20"/>
          <w:spacing w:val="-14"/>
        </w:rPr>
        <w:t> </w:t>
      </w:r>
      <w:r>
        <w:rPr>
          <w:color w:val="231F20"/>
        </w:rPr>
        <w:t>medesimo</w:t>
      </w:r>
      <w:r>
        <w:rPr>
          <w:color w:val="231F20"/>
          <w:spacing w:val="-14"/>
        </w:rPr>
        <w:t> </w:t>
      </w:r>
      <w:r>
        <w:rPr>
          <w:color w:val="231F20"/>
        </w:rPr>
        <w:t>articolo</w:t>
      </w:r>
      <w:r>
        <w:rPr>
          <w:color w:val="231F20"/>
          <w:spacing w:val="-14"/>
        </w:rPr>
        <w:t> </w:t>
      </w:r>
      <w:r>
        <w:rPr>
          <w:color w:val="231F20"/>
        </w:rPr>
        <w:t>10</w:t>
      </w:r>
      <w:r>
        <w:rPr>
          <w:color w:val="231F20"/>
          <w:spacing w:val="-14"/>
        </w:rPr>
        <w:t> </w:t>
      </w:r>
      <w:r>
        <w:rPr>
          <w:color w:val="231F20"/>
        </w:rPr>
        <w:t>per</w:t>
      </w:r>
      <w:r>
        <w:rPr>
          <w:color w:val="231F20"/>
          <w:spacing w:val="-14"/>
        </w:rPr>
        <w:t> </w:t>
      </w:r>
      <w:r>
        <w:rPr>
          <w:color w:val="231F20"/>
        </w:rPr>
        <w:t>la</w:t>
      </w:r>
      <w:r>
        <w:rPr>
          <w:color w:val="231F20"/>
          <w:spacing w:val="-14"/>
        </w:rPr>
        <w:t> </w:t>
      </w:r>
      <w:r>
        <w:rPr>
          <w:color w:val="231F20"/>
        </w:rPr>
        <w:t>comu- nicazione, da parte dell’autorità interpellata, delle informazioni richieste dall’autorità richiedente in applicazione della procedura di cooperazione amministrativa istituita da detto regolamento.</w:t>
      </w:r>
    </w:p>
    <w:p>
      <w:pPr>
        <w:pStyle w:val="BodyText"/>
        <w:spacing w:before="38"/>
      </w:pPr>
    </w:p>
    <w:p>
      <w:pPr>
        <w:pStyle w:val="ListParagraph"/>
        <w:numPr>
          <w:ilvl w:val="2"/>
          <w:numId w:val="4"/>
        </w:numPr>
        <w:tabs>
          <w:tab w:pos="700" w:val="left" w:leader="none"/>
        </w:tabs>
        <w:spacing w:line="295" w:lineRule="exact" w:before="1" w:after="0"/>
        <w:ind w:left="700" w:right="0" w:hanging="600"/>
        <w:jc w:val="left"/>
        <w:rPr>
          <w:i/>
          <w:sz w:val="24"/>
        </w:rPr>
      </w:pPr>
      <w:r>
        <w:rPr>
          <w:i/>
          <w:color w:val="231F20"/>
          <w:sz w:val="24"/>
        </w:rPr>
        <w:t>Il</w:t>
      </w:r>
      <w:r>
        <w:rPr>
          <w:i/>
          <w:color w:val="231F20"/>
          <w:spacing w:val="-4"/>
          <w:sz w:val="24"/>
        </w:rPr>
        <w:t> </w:t>
      </w:r>
      <w:r>
        <w:rPr>
          <w:i/>
          <w:color w:val="231F20"/>
          <w:sz w:val="24"/>
        </w:rPr>
        <w:t>superamento</w:t>
      </w:r>
      <w:r>
        <w:rPr>
          <w:i/>
          <w:color w:val="231F20"/>
          <w:spacing w:val="-2"/>
          <w:sz w:val="24"/>
        </w:rPr>
        <w:t> </w:t>
      </w:r>
      <w:r>
        <w:rPr>
          <w:i/>
          <w:color w:val="231F20"/>
          <w:sz w:val="24"/>
        </w:rPr>
        <w:t>del</w:t>
      </w:r>
      <w:r>
        <w:rPr>
          <w:i/>
          <w:color w:val="231F20"/>
          <w:spacing w:val="-2"/>
          <w:sz w:val="24"/>
        </w:rPr>
        <w:t> </w:t>
      </w:r>
      <w:r>
        <w:rPr>
          <w:i/>
          <w:color w:val="231F20"/>
          <w:sz w:val="24"/>
        </w:rPr>
        <w:t>termine</w:t>
      </w:r>
      <w:r>
        <w:rPr>
          <w:i/>
          <w:color w:val="231F20"/>
          <w:spacing w:val="-2"/>
          <w:sz w:val="24"/>
        </w:rPr>
        <w:t> </w:t>
      </w:r>
      <w:r>
        <w:rPr>
          <w:i/>
          <w:color w:val="231F20"/>
          <w:sz w:val="24"/>
        </w:rPr>
        <w:t>di</w:t>
      </w:r>
      <w:r>
        <w:rPr>
          <w:i/>
          <w:color w:val="231F20"/>
          <w:spacing w:val="-2"/>
          <w:sz w:val="24"/>
        </w:rPr>
        <w:t> </w:t>
      </w:r>
      <w:r>
        <w:rPr>
          <w:i/>
          <w:color w:val="231F20"/>
          <w:sz w:val="24"/>
        </w:rPr>
        <w:t>tre</w:t>
      </w:r>
      <w:r>
        <w:rPr>
          <w:i/>
          <w:color w:val="231F20"/>
          <w:spacing w:val="-2"/>
          <w:sz w:val="24"/>
        </w:rPr>
        <w:t> </w:t>
      </w:r>
      <w:r>
        <w:rPr>
          <w:i/>
          <w:color w:val="231F20"/>
          <w:sz w:val="24"/>
        </w:rPr>
        <w:t>mesi</w:t>
      </w:r>
      <w:r>
        <w:rPr>
          <w:i/>
          <w:color w:val="231F20"/>
          <w:spacing w:val="-2"/>
          <w:sz w:val="24"/>
        </w:rPr>
        <w:t> </w:t>
      </w:r>
      <w:r>
        <w:rPr>
          <w:i/>
          <w:color w:val="231F20"/>
          <w:sz w:val="24"/>
        </w:rPr>
        <w:t>per</w:t>
      </w:r>
      <w:r>
        <w:rPr>
          <w:i/>
          <w:color w:val="231F20"/>
          <w:spacing w:val="-2"/>
          <w:sz w:val="24"/>
        </w:rPr>
        <w:t> </w:t>
      </w:r>
      <w:r>
        <w:rPr>
          <w:i/>
          <w:color w:val="231F20"/>
          <w:sz w:val="24"/>
        </w:rPr>
        <w:t>la</w:t>
      </w:r>
      <w:r>
        <w:rPr>
          <w:i/>
          <w:color w:val="231F20"/>
          <w:spacing w:val="-1"/>
          <w:sz w:val="24"/>
        </w:rPr>
        <w:t> </w:t>
      </w:r>
      <w:r>
        <w:rPr>
          <w:i/>
          <w:color w:val="231F20"/>
          <w:spacing w:val="-2"/>
          <w:sz w:val="24"/>
        </w:rPr>
        <w:t>comunicazione</w:t>
      </w:r>
    </w:p>
    <w:p>
      <w:pPr>
        <w:spacing w:line="295" w:lineRule="exact" w:before="0"/>
        <w:ind w:left="100" w:right="0" w:firstLine="0"/>
        <w:jc w:val="both"/>
        <w:rPr>
          <w:i/>
          <w:sz w:val="24"/>
        </w:rPr>
      </w:pPr>
      <w:r>
        <w:rPr>
          <w:i/>
          <w:color w:val="231F20"/>
          <w:sz w:val="24"/>
        </w:rPr>
        <w:t>delle</w:t>
      </w:r>
      <w:r>
        <w:rPr>
          <w:i/>
          <w:color w:val="231F20"/>
          <w:spacing w:val="-1"/>
          <w:sz w:val="24"/>
        </w:rPr>
        <w:t> </w:t>
      </w:r>
      <w:r>
        <w:rPr>
          <w:i/>
          <w:color w:val="231F20"/>
          <w:sz w:val="24"/>
        </w:rPr>
        <w:t>informazioni all’autorità richiedente non ha conseguenze </w:t>
      </w:r>
      <w:r>
        <w:rPr>
          <w:i/>
          <w:color w:val="231F20"/>
          <w:spacing w:val="-2"/>
          <w:sz w:val="24"/>
        </w:rPr>
        <w:t>giuridiche</w:t>
      </w:r>
    </w:p>
    <w:p>
      <w:pPr>
        <w:pStyle w:val="BodyText"/>
        <w:spacing w:line="225" w:lineRule="auto" w:before="170"/>
        <w:ind w:left="100" w:right="174"/>
        <w:jc w:val="both"/>
      </w:pPr>
      <w:r>
        <w:rPr>
          <w:color w:val="231F20"/>
        </w:rPr>
        <w:t>Nella</w:t>
      </w:r>
      <w:r>
        <w:rPr>
          <w:color w:val="231F20"/>
          <w:spacing w:val="-8"/>
        </w:rPr>
        <w:t> </w:t>
      </w:r>
      <w:r>
        <w:rPr>
          <w:color w:val="231F20"/>
        </w:rPr>
        <w:t>sua</w:t>
      </w:r>
      <w:r>
        <w:rPr>
          <w:color w:val="231F20"/>
          <w:spacing w:val="-8"/>
        </w:rPr>
        <w:t> </w:t>
      </w:r>
      <w:r>
        <w:rPr>
          <w:color w:val="231F20"/>
        </w:rPr>
        <w:t>sentenza</w:t>
      </w:r>
      <w:r>
        <w:rPr>
          <w:color w:val="231F20"/>
          <w:spacing w:val="-8"/>
        </w:rPr>
        <w:t> </w:t>
      </w:r>
      <w:r>
        <w:rPr>
          <w:color w:val="231F20"/>
        </w:rPr>
        <w:t>la</w:t>
      </w:r>
      <w:r>
        <w:rPr>
          <w:color w:val="231F20"/>
          <w:spacing w:val="-8"/>
        </w:rPr>
        <w:t> </w:t>
      </w:r>
      <w:r>
        <w:rPr>
          <w:color w:val="231F20"/>
        </w:rPr>
        <w:t>Corte</w:t>
      </w:r>
      <w:r>
        <w:rPr>
          <w:color w:val="231F20"/>
          <w:spacing w:val="-8"/>
        </w:rPr>
        <w:t> </w:t>
      </w:r>
      <w:r>
        <w:rPr>
          <w:color w:val="231F20"/>
        </w:rPr>
        <w:t>di</w:t>
      </w:r>
      <w:r>
        <w:rPr>
          <w:color w:val="231F20"/>
          <w:spacing w:val="-8"/>
        </w:rPr>
        <w:t> </w:t>
      </w:r>
      <w:r>
        <w:rPr>
          <w:color w:val="231F20"/>
        </w:rPr>
        <w:t>giustizia</w:t>
      </w:r>
      <w:r>
        <w:rPr>
          <w:color w:val="231F20"/>
          <w:spacing w:val="-8"/>
        </w:rPr>
        <w:t> </w:t>
      </w:r>
      <w:r>
        <w:rPr>
          <w:color w:val="231F20"/>
        </w:rPr>
        <w:t>ha</w:t>
      </w:r>
      <w:r>
        <w:rPr>
          <w:color w:val="231F20"/>
          <w:spacing w:val="-8"/>
        </w:rPr>
        <w:t> </w:t>
      </w:r>
      <w:r>
        <w:rPr>
          <w:color w:val="231F20"/>
        </w:rPr>
        <w:t>rilevato</w:t>
      </w:r>
      <w:r>
        <w:rPr>
          <w:color w:val="231F20"/>
          <w:spacing w:val="-8"/>
        </w:rPr>
        <w:t> </w:t>
      </w:r>
      <w:r>
        <w:rPr>
          <w:color w:val="231F20"/>
        </w:rPr>
        <w:t>in</w:t>
      </w:r>
      <w:r>
        <w:rPr>
          <w:color w:val="231F20"/>
          <w:spacing w:val="-8"/>
        </w:rPr>
        <w:t> </w:t>
      </w:r>
      <w:r>
        <w:rPr>
          <w:color w:val="231F20"/>
        </w:rPr>
        <w:t>primo</w:t>
      </w:r>
      <w:r>
        <w:rPr>
          <w:color w:val="231F20"/>
          <w:spacing w:val="-8"/>
        </w:rPr>
        <w:t> </w:t>
      </w:r>
      <w:r>
        <w:rPr>
          <w:color w:val="231F20"/>
        </w:rPr>
        <w:t>luogo</w:t>
      </w:r>
      <w:r>
        <w:rPr>
          <w:color w:val="231F20"/>
          <w:spacing w:val="-8"/>
        </w:rPr>
        <w:t> </w:t>
      </w:r>
      <w:r>
        <w:rPr>
          <w:color w:val="231F20"/>
        </w:rPr>
        <w:t>che</w:t>
      </w:r>
      <w:r>
        <w:rPr>
          <w:color w:val="231F20"/>
          <w:spacing w:val="-8"/>
        </w:rPr>
        <w:t> </w:t>
      </w:r>
      <w:r>
        <w:rPr>
          <w:color w:val="231F20"/>
        </w:rPr>
        <w:t>dalla facoltà di deroga previste dagli articoli 11 e 12 del regolamento risulta che il</w:t>
      </w:r>
      <w:r>
        <w:rPr>
          <w:color w:val="231F20"/>
          <w:spacing w:val="-1"/>
        </w:rPr>
        <w:t> </w:t>
      </w:r>
      <w:r>
        <w:rPr>
          <w:color w:val="231F20"/>
        </w:rPr>
        <w:t>legislatore</w:t>
      </w:r>
      <w:r>
        <w:rPr>
          <w:color w:val="231F20"/>
          <w:spacing w:val="-1"/>
        </w:rPr>
        <w:t> </w:t>
      </w:r>
      <w:r>
        <w:rPr>
          <w:color w:val="231F20"/>
        </w:rPr>
        <w:t>dell’Unione</w:t>
      </w:r>
      <w:r>
        <w:rPr>
          <w:color w:val="231F20"/>
          <w:spacing w:val="-1"/>
        </w:rPr>
        <w:t> </w:t>
      </w:r>
      <w:r>
        <w:rPr>
          <w:color w:val="231F20"/>
        </w:rPr>
        <w:t>ha</w:t>
      </w:r>
      <w:r>
        <w:rPr>
          <w:color w:val="231F20"/>
          <w:spacing w:val="-1"/>
        </w:rPr>
        <w:t> </w:t>
      </w:r>
      <w:r>
        <w:rPr>
          <w:color w:val="231F20"/>
        </w:rPr>
        <w:t>espressamente</w:t>
      </w:r>
      <w:r>
        <w:rPr>
          <w:color w:val="231F20"/>
          <w:spacing w:val="-1"/>
        </w:rPr>
        <w:t> </w:t>
      </w:r>
      <w:r>
        <w:rPr>
          <w:color w:val="231F20"/>
        </w:rPr>
        <w:t>previsto</w:t>
      </w:r>
      <w:r>
        <w:rPr>
          <w:color w:val="231F20"/>
          <w:spacing w:val="-1"/>
        </w:rPr>
        <w:t> </w:t>
      </w:r>
      <w:r>
        <w:rPr>
          <w:color w:val="231F20"/>
        </w:rPr>
        <w:t>per</w:t>
      </w:r>
      <w:r>
        <w:rPr>
          <w:color w:val="231F20"/>
          <w:spacing w:val="-1"/>
        </w:rPr>
        <w:t> </w:t>
      </w:r>
      <w:r>
        <w:rPr>
          <w:color w:val="231F20"/>
        </w:rPr>
        <w:t>le</w:t>
      </w:r>
      <w:r>
        <w:rPr>
          <w:color w:val="231F20"/>
          <w:spacing w:val="-1"/>
        </w:rPr>
        <w:t> </w:t>
      </w:r>
      <w:r>
        <w:rPr>
          <w:color w:val="231F20"/>
        </w:rPr>
        <w:t>amministrazioni finanziarie degli Stati membri la possibilità di rispondere ad una richiesta di</w:t>
      </w:r>
      <w:r>
        <w:rPr>
          <w:color w:val="231F20"/>
          <w:spacing w:val="18"/>
        </w:rPr>
        <w:t> </w:t>
      </w:r>
      <w:r>
        <w:rPr>
          <w:color w:val="231F20"/>
        </w:rPr>
        <w:t>informazioni</w:t>
      </w:r>
      <w:r>
        <w:rPr>
          <w:color w:val="231F20"/>
          <w:spacing w:val="18"/>
        </w:rPr>
        <w:t> </w:t>
      </w:r>
      <w:r>
        <w:rPr>
          <w:color w:val="231F20"/>
        </w:rPr>
        <w:t>anche</w:t>
      </w:r>
      <w:r>
        <w:rPr>
          <w:color w:val="231F20"/>
          <w:spacing w:val="18"/>
        </w:rPr>
        <w:t> </w:t>
      </w:r>
      <w:r>
        <w:rPr>
          <w:color w:val="231F20"/>
        </w:rPr>
        <w:t>dopo</w:t>
      </w:r>
      <w:r>
        <w:rPr>
          <w:color w:val="231F20"/>
          <w:spacing w:val="18"/>
        </w:rPr>
        <w:t> </w:t>
      </w:r>
      <w:r>
        <w:rPr>
          <w:color w:val="231F20"/>
        </w:rPr>
        <w:t>la</w:t>
      </w:r>
      <w:r>
        <w:rPr>
          <w:color w:val="231F20"/>
          <w:spacing w:val="18"/>
        </w:rPr>
        <w:t> </w:t>
      </w:r>
      <w:r>
        <w:rPr>
          <w:color w:val="231F20"/>
        </w:rPr>
        <w:t>scadenza</w:t>
      </w:r>
      <w:r>
        <w:rPr>
          <w:color w:val="231F20"/>
          <w:spacing w:val="18"/>
        </w:rPr>
        <w:t> </w:t>
      </w:r>
      <w:r>
        <w:rPr>
          <w:color w:val="231F20"/>
        </w:rPr>
        <w:t>dei</w:t>
      </w:r>
      <w:r>
        <w:rPr>
          <w:color w:val="231F20"/>
          <w:spacing w:val="18"/>
        </w:rPr>
        <w:t> </w:t>
      </w:r>
      <w:r>
        <w:rPr>
          <w:color w:val="231F20"/>
        </w:rPr>
        <w:t>termini</w:t>
      </w:r>
      <w:r>
        <w:rPr>
          <w:color w:val="231F20"/>
          <w:spacing w:val="18"/>
        </w:rPr>
        <w:t> </w:t>
      </w:r>
      <w:r>
        <w:rPr>
          <w:color w:val="231F20"/>
        </w:rPr>
        <w:t>(tre</w:t>
      </w:r>
      <w:r>
        <w:rPr>
          <w:color w:val="231F20"/>
          <w:spacing w:val="18"/>
        </w:rPr>
        <w:t> </w:t>
      </w:r>
      <w:r>
        <w:rPr>
          <w:color w:val="231F20"/>
        </w:rPr>
        <w:t>mesi</w:t>
      </w:r>
      <w:r>
        <w:rPr>
          <w:color w:val="231F20"/>
          <w:spacing w:val="18"/>
        </w:rPr>
        <w:t> </w:t>
      </w:r>
      <w:r>
        <w:rPr>
          <w:color w:val="231F20"/>
        </w:rPr>
        <w:t>o</w:t>
      </w:r>
      <w:r>
        <w:rPr>
          <w:color w:val="231F20"/>
          <w:spacing w:val="18"/>
        </w:rPr>
        <w:t> </w:t>
      </w:r>
      <w:r>
        <w:rPr>
          <w:color w:val="231F20"/>
        </w:rPr>
        <w:t>un</w:t>
      </w:r>
      <w:r>
        <w:rPr>
          <w:color w:val="231F20"/>
          <w:spacing w:val="18"/>
        </w:rPr>
        <w:t> </w:t>
      </w:r>
      <w:r>
        <w:rPr>
          <w:color w:val="231F20"/>
        </w:rPr>
        <w:t>mese a seconda delle circostanze) previsti dall’art. 10 del regolamento stesso</w:t>
      </w:r>
      <w:r>
        <w:rPr>
          <w:color w:val="231F20"/>
          <w:position w:val="8"/>
          <w:sz w:val="14"/>
        </w:rPr>
        <w:t>147</w:t>
      </w:r>
      <w:r>
        <w:rPr>
          <w:color w:val="231F20"/>
        </w:rPr>
        <w:t>. Dai medesimi articoli 11 e 12 del regolamento risulta inoltre, sempre per</w:t>
      </w:r>
      <w:r>
        <w:rPr>
          <w:color w:val="231F20"/>
          <w:spacing w:val="40"/>
        </w:rPr>
        <w:t> </w:t>
      </w:r>
      <w:r>
        <w:rPr>
          <w:color w:val="231F20"/>
        </w:rPr>
        <w:t>i giudici dell’Unione, che «i termini previsti all’art. 10 di tale regolamento non riguardano i rapporti tra le autorità tributarie competenti… e i sog- getti passivi (IVA), bensì i soli rapporti fra tali autorità». Peraltro nessuna disposizione</w:t>
      </w:r>
      <w:r>
        <w:rPr>
          <w:color w:val="231F20"/>
          <w:spacing w:val="-12"/>
        </w:rPr>
        <w:t> </w:t>
      </w:r>
      <w:r>
        <w:rPr>
          <w:color w:val="231F20"/>
        </w:rPr>
        <w:t>del</w:t>
      </w:r>
      <w:r>
        <w:rPr>
          <w:color w:val="231F20"/>
          <w:spacing w:val="-12"/>
        </w:rPr>
        <w:t> </w:t>
      </w:r>
      <w:r>
        <w:rPr>
          <w:color w:val="231F20"/>
        </w:rPr>
        <w:t>regolamento</w:t>
      </w:r>
      <w:r>
        <w:rPr>
          <w:color w:val="231F20"/>
          <w:spacing w:val="-12"/>
        </w:rPr>
        <w:t> </w:t>
      </w:r>
      <w:r>
        <w:rPr>
          <w:color w:val="231F20"/>
        </w:rPr>
        <w:t>prevede</w:t>
      </w:r>
      <w:r>
        <w:rPr>
          <w:color w:val="231F20"/>
          <w:spacing w:val="-12"/>
        </w:rPr>
        <w:t> </w:t>
      </w:r>
      <w:r>
        <w:rPr>
          <w:color w:val="231F20"/>
        </w:rPr>
        <w:t>conseguenze</w:t>
      </w:r>
      <w:r>
        <w:rPr>
          <w:color w:val="231F20"/>
          <w:spacing w:val="-12"/>
        </w:rPr>
        <w:t> </w:t>
      </w:r>
      <w:r>
        <w:rPr>
          <w:color w:val="231F20"/>
        </w:rPr>
        <w:t>giuridiche</w:t>
      </w:r>
      <w:r>
        <w:rPr>
          <w:color w:val="231F20"/>
          <w:spacing w:val="-12"/>
        </w:rPr>
        <w:t> </w:t>
      </w:r>
      <w:r>
        <w:rPr>
          <w:color w:val="231F20"/>
        </w:rPr>
        <w:t>in</w:t>
      </w:r>
      <w:r>
        <w:rPr>
          <w:color w:val="231F20"/>
          <w:spacing w:val="-12"/>
        </w:rPr>
        <w:t> </w:t>
      </w:r>
      <w:r>
        <w:rPr>
          <w:color w:val="231F20"/>
        </w:rPr>
        <w:t>caso</w:t>
      </w:r>
      <w:r>
        <w:rPr>
          <w:color w:val="231F20"/>
          <w:spacing w:val="-12"/>
        </w:rPr>
        <w:t> </w:t>
      </w:r>
      <w:r>
        <w:rPr>
          <w:color w:val="231F20"/>
        </w:rPr>
        <w:t>di</w:t>
      </w:r>
      <w:r>
        <w:rPr>
          <w:color w:val="231F20"/>
          <w:spacing w:val="-12"/>
        </w:rPr>
        <w:t> </w:t>
      </w:r>
      <w:r>
        <w:rPr>
          <w:color w:val="231F20"/>
        </w:rPr>
        <w:t>su- peramento,</w:t>
      </w:r>
      <w:r>
        <w:rPr>
          <w:color w:val="231F20"/>
          <w:spacing w:val="-10"/>
        </w:rPr>
        <w:t> </w:t>
      </w:r>
      <w:r>
        <w:rPr>
          <w:color w:val="231F20"/>
        </w:rPr>
        <w:t>da</w:t>
      </w:r>
      <w:r>
        <w:rPr>
          <w:color w:val="231F20"/>
          <w:spacing w:val="-10"/>
        </w:rPr>
        <w:t> </w:t>
      </w:r>
      <w:r>
        <w:rPr>
          <w:color w:val="231F20"/>
        </w:rPr>
        <w:t>parte</w:t>
      </w:r>
      <w:r>
        <w:rPr>
          <w:color w:val="231F20"/>
          <w:spacing w:val="-10"/>
        </w:rPr>
        <w:t> </w:t>
      </w:r>
      <w:r>
        <w:rPr>
          <w:color w:val="231F20"/>
        </w:rPr>
        <w:t>delle</w:t>
      </w:r>
      <w:r>
        <w:rPr>
          <w:color w:val="231F20"/>
          <w:spacing w:val="-10"/>
        </w:rPr>
        <w:t> </w:t>
      </w:r>
      <w:r>
        <w:rPr>
          <w:color w:val="231F20"/>
        </w:rPr>
        <w:t>amministrazioni</w:t>
      </w:r>
      <w:r>
        <w:rPr>
          <w:color w:val="231F20"/>
          <w:spacing w:val="-10"/>
        </w:rPr>
        <w:t> </w:t>
      </w:r>
      <w:r>
        <w:rPr>
          <w:color w:val="231F20"/>
        </w:rPr>
        <w:t>finanziarie</w:t>
      </w:r>
      <w:r>
        <w:rPr>
          <w:color w:val="231F20"/>
          <w:spacing w:val="-10"/>
        </w:rPr>
        <w:t> </w:t>
      </w:r>
      <w:r>
        <w:rPr>
          <w:color w:val="231F20"/>
        </w:rPr>
        <w:t>nazionali,</w:t>
      </w:r>
      <w:r>
        <w:rPr>
          <w:color w:val="231F20"/>
          <w:spacing w:val="-10"/>
        </w:rPr>
        <w:t> </w:t>
      </w:r>
      <w:r>
        <w:rPr>
          <w:color w:val="231F20"/>
        </w:rPr>
        <w:t>di</w:t>
      </w:r>
      <w:r>
        <w:rPr>
          <w:color w:val="231F20"/>
          <w:spacing w:val="-10"/>
        </w:rPr>
        <w:t> </w:t>
      </w:r>
      <w:r>
        <w:rPr>
          <w:color w:val="231F20"/>
        </w:rPr>
        <w:t>uno</w:t>
      </w:r>
      <w:r>
        <w:rPr>
          <w:color w:val="231F20"/>
          <w:spacing w:val="-10"/>
        </w:rPr>
        <w:t> </w:t>
      </w:r>
      <w:r>
        <w:rPr>
          <w:color w:val="231F20"/>
        </w:rPr>
        <w:t>dei termini</w:t>
      </w:r>
      <w:r>
        <w:rPr>
          <w:color w:val="231F20"/>
          <w:spacing w:val="-2"/>
        </w:rPr>
        <w:t> </w:t>
      </w:r>
      <w:r>
        <w:rPr>
          <w:color w:val="231F20"/>
        </w:rPr>
        <w:t>previsti</w:t>
      </w:r>
      <w:r>
        <w:rPr>
          <w:color w:val="231F20"/>
          <w:spacing w:val="-2"/>
        </w:rPr>
        <w:t> </w:t>
      </w:r>
      <w:r>
        <w:rPr>
          <w:color w:val="231F20"/>
        </w:rPr>
        <w:t>dagli</w:t>
      </w:r>
      <w:r>
        <w:rPr>
          <w:color w:val="231F20"/>
          <w:spacing w:val="-2"/>
        </w:rPr>
        <w:t> </w:t>
      </w:r>
      <w:r>
        <w:rPr>
          <w:color w:val="231F20"/>
        </w:rPr>
        <w:t>artt.</w:t>
      </w:r>
      <w:r>
        <w:rPr>
          <w:color w:val="231F20"/>
          <w:spacing w:val="-2"/>
        </w:rPr>
        <w:t> </w:t>
      </w:r>
      <w:r>
        <w:rPr>
          <w:color w:val="231F20"/>
        </w:rPr>
        <w:t>10,</w:t>
      </w:r>
      <w:r>
        <w:rPr>
          <w:color w:val="231F20"/>
          <w:spacing w:val="-2"/>
        </w:rPr>
        <w:t> </w:t>
      </w:r>
      <w:r>
        <w:rPr>
          <w:color w:val="231F20"/>
        </w:rPr>
        <w:t>11</w:t>
      </w:r>
      <w:r>
        <w:rPr>
          <w:color w:val="231F20"/>
          <w:spacing w:val="-2"/>
        </w:rPr>
        <w:t> </w:t>
      </w:r>
      <w:r>
        <w:rPr>
          <w:color w:val="231F20"/>
        </w:rPr>
        <w:t>e</w:t>
      </w:r>
      <w:r>
        <w:rPr>
          <w:color w:val="231F20"/>
          <w:spacing w:val="-2"/>
        </w:rPr>
        <w:t> </w:t>
      </w:r>
      <w:r>
        <w:rPr>
          <w:color w:val="231F20"/>
        </w:rPr>
        <w:t>12,</w:t>
      </w:r>
      <w:r>
        <w:rPr>
          <w:color w:val="231F20"/>
          <w:spacing w:val="-2"/>
        </w:rPr>
        <w:t> </w:t>
      </w:r>
      <w:r>
        <w:rPr>
          <w:color w:val="231F20"/>
        </w:rPr>
        <w:t>né</w:t>
      </w:r>
      <w:r>
        <w:rPr>
          <w:color w:val="231F20"/>
          <w:spacing w:val="-2"/>
        </w:rPr>
        <w:t> </w:t>
      </w:r>
      <w:r>
        <w:rPr>
          <w:color w:val="231F20"/>
        </w:rPr>
        <w:t>per</w:t>
      </w:r>
      <w:r>
        <w:rPr>
          <w:color w:val="231F20"/>
          <w:spacing w:val="-2"/>
        </w:rPr>
        <w:t> </w:t>
      </w:r>
      <w:r>
        <w:rPr>
          <w:color w:val="231F20"/>
        </w:rPr>
        <w:t>le</w:t>
      </w:r>
      <w:r>
        <w:rPr>
          <w:color w:val="231F20"/>
          <w:spacing w:val="-2"/>
        </w:rPr>
        <w:t> </w:t>
      </w:r>
      <w:r>
        <w:rPr>
          <w:color w:val="231F20"/>
        </w:rPr>
        <w:t>medesime</w:t>
      </w:r>
      <w:r>
        <w:rPr>
          <w:color w:val="231F20"/>
          <w:spacing w:val="-2"/>
        </w:rPr>
        <w:t> </w:t>
      </w:r>
      <w:r>
        <w:rPr>
          <w:color w:val="231F20"/>
        </w:rPr>
        <w:t>amministrazio- ni,</w:t>
      </w:r>
      <w:r>
        <w:rPr>
          <w:color w:val="231F20"/>
          <w:spacing w:val="-15"/>
        </w:rPr>
        <w:t> </w:t>
      </w:r>
      <w:r>
        <w:rPr>
          <w:color w:val="231F20"/>
        </w:rPr>
        <w:t>né</w:t>
      </w:r>
      <w:r>
        <w:rPr>
          <w:color w:val="231F20"/>
          <w:spacing w:val="-15"/>
        </w:rPr>
        <w:t> </w:t>
      </w:r>
      <w:r>
        <w:rPr>
          <w:color w:val="231F20"/>
        </w:rPr>
        <w:t>per</w:t>
      </w:r>
      <w:r>
        <w:rPr>
          <w:color w:val="231F20"/>
          <w:spacing w:val="-15"/>
        </w:rPr>
        <w:t> </w:t>
      </w:r>
      <w:r>
        <w:rPr>
          <w:color w:val="231F20"/>
        </w:rPr>
        <w:t>i</w:t>
      </w:r>
      <w:r>
        <w:rPr>
          <w:color w:val="231F20"/>
          <w:spacing w:val="-15"/>
        </w:rPr>
        <w:t> </w:t>
      </w:r>
      <w:r>
        <w:rPr>
          <w:color w:val="231F20"/>
        </w:rPr>
        <w:t>soggetti</w:t>
      </w:r>
      <w:r>
        <w:rPr>
          <w:color w:val="231F20"/>
          <w:spacing w:val="-15"/>
        </w:rPr>
        <w:t> </w:t>
      </w:r>
      <w:r>
        <w:rPr>
          <w:color w:val="231F20"/>
        </w:rPr>
        <w:t>passivi</w:t>
      </w:r>
      <w:r>
        <w:rPr>
          <w:color w:val="231F20"/>
          <w:spacing w:val="-15"/>
        </w:rPr>
        <w:t> </w:t>
      </w:r>
      <w:r>
        <w:rPr>
          <w:color w:val="231F20"/>
        </w:rPr>
        <w:t>IVA.</w:t>
      </w:r>
      <w:r>
        <w:rPr>
          <w:color w:val="231F20"/>
          <w:spacing w:val="-15"/>
        </w:rPr>
        <w:t> </w:t>
      </w:r>
      <w:r>
        <w:rPr>
          <w:color w:val="231F20"/>
        </w:rPr>
        <w:t>Da</w:t>
      </w:r>
      <w:r>
        <w:rPr>
          <w:color w:val="231F20"/>
          <w:spacing w:val="-15"/>
        </w:rPr>
        <w:t> </w:t>
      </w:r>
      <w:r>
        <w:rPr>
          <w:color w:val="231F20"/>
        </w:rPr>
        <w:t>questa</w:t>
      </w:r>
      <w:r>
        <w:rPr>
          <w:color w:val="231F20"/>
          <w:spacing w:val="-15"/>
        </w:rPr>
        <w:t> </w:t>
      </w:r>
      <w:r>
        <w:rPr>
          <w:color w:val="231F20"/>
        </w:rPr>
        <w:t>attenta</w:t>
      </w:r>
      <w:r>
        <w:rPr>
          <w:color w:val="231F20"/>
          <w:spacing w:val="-15"/>
        </w:rPr>
        <w:t> </w:t>
      </w:r>
      <w:r>
        <w:rPr>
          <w:color w:val="231F20"/>
        </w:rPr>
        <w:t>analisi</w:t>
      </w:r>
      <w:r>
        <w:rPr>
          <w:color w:val="231F20"/>
          <w:spacing w:val="-15"/>
        </w:rPr>
        <w:t> </w:t>
      </w:r>
      <w:r>
        <w:rPr>
          <w:color w:val="231F20"/>
        </w:rPr>
        <w:t>del</w:t>
      </w:r>
      <w:r>
        <w:rPr>
          <w:color w:val="231F20"/>
          <w:spacing w:val="-15"/>
        </w:rPr>
        <w:t> </w:t>
      </w:r>
      <w:r>
        <w:rPr>
          <w:color w:val="231F20"/>
        </w:rPr>
        <w:t>contesto</w:t>
      </w:r>
      <w:r>
        <w:rPr>
          <w:color w:val="231F20"/>
          <w:spacing w:val="-15"/>
        </w:rPr>
        <w:t> </w:t>
      </w:r>
      <w:r>
        <w:rPr>
          <w:color w:val="231F20"/>
        </w:rPr>
        <w:t>in</w:t>
      </w:r>
      <w:r>
        <w:rPr>
          <w:color w:val="231F20"/>
          <w:spacing w:val="-15"/>
        </w:rPr>
        <w:t> </w:t>
      </w:r>
      <w:r>
        <w:rPr>
          <w:color w:val="231F20"/>
        </w:rPr>
        <w:t>cui si</w:t>
      </w:r>
      <w:r>
        <w:rPr>
          <w:color w:val="231F20"/>
          <w:spacing w:val="-13"/>
        </w:rPr>
        <w:t> </w:t>
      </w:r>
      <w:r>
        <w:rPr>
          <w:color w:val="231F20"/>
        </w:rPr>
        <w:t>situano</w:t>
      </w:r>
      <w:r>
        <w:rPr>
          <w:color w:val="231F20"/>
          <w:spacing w:val="-13"/>
        </w:rPr>
        <w:t> </w:t>
      </w:r>
      <w:r>
        <w:rPr>
          <w:color w:val="231F20"/>
        </w:rPr>
        <w:t>le</w:t>
      </w:r>
      <w:r>
        <w:rPr>
          <w:color w:val="231F20"/>
          <w:spacing w:val="-13"/>
        </w:rPr>
        <w:t> </w:t>
      </w:r>
      <w:r>
        <w:rPr>
          <w:color w:val="231F20"/>
        </w:rPr>
        <w:t>norme</w:t>
      </w:r>
      <w:r>
        <w:rPr>
          <w:color w:val="231F20"/>
          <w:spacing w:val="-13"/>
        </w:rPr>
        <w:t> </w:t>
      </w:r>
      <w:r>
        <w:rPr>
          <w:color w:val="231F20"/>
        </w:rPr>
        <w:t>del</w:t>
      </w:r>
      <w:r>
        <w:rPr>
          <w:color w:val="231F20"/>
          <w:spacing w:val="-12"/>
        </w:rPr>
        <w:t> </w:t>
      </w:r>
      <w:r>
        <w:rPr>
          <w:color w:val="231F20"/>
        </w:rPr>
        <w:t>regolamento</w:t>
      </w:r>
      <w:r>
        <w:rPr>
          <w:color w:val="231F20"/>
          <w:spacing w:val="-13"/>
        </w:rPr>
        <w:t> </w:t>
      </w:r>
      <w:r>
        <w:rPr>
          <w:color w:val="231F20"/>
        </w:rPr>
        <w:t>che</w:t>
      </w:r>
      <w:r>
        <w:rPr>
          <w:color w:val="231F20"/>
          <w:spacing w:val="-13"/>
        </w:rPr>
        <w:t> </w:t>
      </w:r>
      <w:r>
        <w:rPr>
          <w:color w:val="231F20"/>
        </w:rPr>
        <w:t>fissano</w:t>
      </w:r>
      <w:r>
        <w:rPr>
          <w:color w:val="231F20"/>
          <w:spacing w:val="-13"/>
        </w:rPr>
        <w:t> </w:t>
      </w:r>
      <w:r>
        <w:rPr>
          <w:color w:val="231F20"/>
        </w:rPr>
        <w:t>i</w:t>
      </w:r>
      <w:r>
        <w:rPr>
          <w:color w:val="231F20"/>
          <w:spacing w:val="-12"/>
        </w:rPr>
        <w:t> </w:t>
      </w:r>
      <w:r>
        <w:rPr>
          <w:color w:val="231F20"/>
        </w:rPr>
        <w:t>termini</w:t>
      </w:r>
      <w:r>
        <w:rPr>
          <w:color w:val="231F20"/>
          <w:spacing w:val="-13"/>
        </w:rPr>
        <w:t> </w:t>
      </w:r>
      <w:r>
        <w:rPr>
          <w:color w:val="231F20"/>
        </w:rPr>
        <w:t>per</w:t>
      </w:r>
      <w:r>
        <w:rPr>
          <w:color w:val="231F20"/>
          <w:spacing w:val="-13"/>
        </w:rPr>
        <w:t> </w:t>
      </w:r>
      <w:r>
        <w:rPr>
          <w:color w:val="231F20"/>
        </w:rPr>
        <w:t>la</w:t>
      </w:r>
      <w:r>
        <w:rPr>
          <w:color w:val="231F20"/>
          <w:spacing w:val="-13"/>
        </w:rPr>
        <w:t> </w:t>
      </w:r>
      <w:r>
        <w:rPr>
          <w:color w:val="231F20"/>
          <w:spacing w:val="-2"/>
        </w:rPr>
        <w:t>trasmissione</w:t>
      </w:r>
    </w:p>
    <w:p>
      <w:pPr>
        <w:pStyle w:val="BodyText"/>
        <w:spacing w:before="5"/>
        <w:rPr>
          <w:sz w:val="6"/>
        </w:rPr>
      </w:pPr>
      <w:r>
        <w:rPr/>
        <mc:AlternateContent>
          <mc:Choice Requires="wps">
            <w:drawing>
              <wp:anchor distT="0" distB="0" distL="0" distR="0" allowOverlap="1" layoutInCell="1" locked="0" behindDoc="1" simplePos="0" relativeHeight="487654400">
                <wp:simplePos x="0" y="0"/>
                <wp:positionH relativeFrom="page">
                  <wp:posOffset>864000</wp:posOffset>
                </wp:positionH>
                <wp:positionV relativeFrom="paragraph">
                  <wp:posOffset>67048</wp:posOffset>
                </wp:positionV>
                <wp:extent cx="792480" cy="1270"/>
                <wp:effectExtent l="0" t="0" r="0" b="0"/>
                <wp:wrapTopAndBottom/>
                <wp:docPr id="211" name="Graphic 211"/>
                <wp:cNvGraphicFramePr>
                  <a:graphicFrameLocks/>
                </wp:cNvGraphicFramePr>
                <a:graphic>
                  <a:graphicData uri="http://schemas.microsoft.com/office/word/2010/wordprocessingShape">
                    <wps:wsp>
                      <wps:cNvPr id="211" name="Graphic 211"/>
                      <wps:cNvSpPr/>
                      <wps:spPr>
                        <a:xfrm>
                          <a:off x="0" y="0"/>
                          <a:ext cx="792480" cy="1270"/>
                        </a:xfrm>
                        <a:custGeom>
                          <a:avLst/>
                          <a:gdLst/>
                          <a:ahLst/>
                          <a:cxnLst/>
                          <a:rect l="l" t="t" r="r" b="b"/>
                          <a:pathLst>
                            <a:path w="792480" h="0">
                              <a:moveTo>
                                <a:pt x="0" y="0"/>
                              </a:moveTo>
                              <a:lnTo>
                                <a:pt x="791997"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shape style="position:absolute;margin-left:68.031502pt;margin-top:5.279436pt;width:62.4pt;height:.1pt;mso-position-horizontal-relative:page;mso-position-vertical-relative:paragraph;z-index:-15662080;mso-wrap-distance-left:0;mso-wrap-distance-right:0" id="docshape175" coordorigin="1361,106" coordsize="1248,0" path="m1361,106l2608,106e" filled="false" stroked="true" strokeweight=".5pt" strokecolor="#231f20">
                <v:path arrowok="t"/>
                <v:stroke dashstyle="solid"/>
                <w10:wrap type="topAndBottom"/>
              </v:shape>
            </w:pict>
          </mc:Fallback>
        </mc:AlternateContent>
      </w:r>
    </w:p>
    <w:p>
      <w:pPr>
        <w:spacing w:line="225" w:lineRule="auto" w:before="201"/>
        <w:ind w:left="100" w:right="174" w:firstLine="0"/>
        <w:jc w:val="both"/>
        <w:rPr>
          <w:sz w:val="19"/>
        </w:rPr>
      </w:pPr>
      <w:r>
        <w:rPr>
          <w:color w:val="231F20"/>
          <w:position w:val="6"/>
          <w:sz w:val="11"/>
        </w:rPr>
        <w:t>147</w:t>
      </w:r>
      <w:r>
        <w:rPr>
          <w:color w:val="231F20"/>
          <w:spacing w:val="80"/>
          <w:position w:val="6"/>
          <w:sz w:val="11"/>
        </w:rPr>
        <w:t> </w:t>
      </w:r>
      <w:r>
        <w:rPr>
          <w:color w:val="231F20"/>
          <w:sz w:val="19"/>
        </w:rPr>
        <w:t>Corte</w:t>
      </w:r>
      <w:r>
        <w:rPr>
          <w:color w:val="231F20"/>
          <w:spacing w:val="24"/>
          <w:sz w:val="19"/>
        </w:rPr>
        <w:t> </w:t>
      </w:r>
      <w:r>
        <w:rPr>
          <w:color w:val="231F20"/>
          <w:sz w:val="19"/>
        </w:rPr>
        <w:t>Giust.</w:t>
      </w:r>
      <w:r>
        <w:rPr>
          <w:color w:val="231F20"/>
          <w:spacing w:val="24"/>
          <w:sz w:val="19"/>
        </w:rPr>
        <w:t> </w:t>
      </w:r>
      <w:r>
        <w:rPr>
          <w:color w:val="231F20"/>
          <w:sz w:val="19"/>
        </w:rPr>
        <w:t>UE,</w:t>
      </w:r>
      <w:r>
        <w:rPr>
          <w:color w:val="231F20"/>
          <w:spacing w:val="24"/>
          <w:sz w:val="19"/>
        </w:rPr>
        <w:t> </w:t>
      </w:r>
      <w:r>
        <w:rPr>
          <w:color w:val="231F20"/>
          <w:sz w:val="19"/>
        </w:rPr>
        <w:t>sent.</w:t>
      </w:r>
      <w:r>
        <w:rPr>
          <w:color w:val="231F20"/>
          <w:spacing w:val="24"/>
          <w:sz w:val="19"/>
        </w:rPr>
        <w:t> </w:t>
      </w:r>
      <w:r>
        <w:rPr>
          <w:color w:val="231F20"/>
          <w:sz w:val="19"/>
        </w:rPr>
        <w:t>del</w:t>
      </w:r>
      <w:r>
        <w:rPr>
          <w:color w:val="231F20"/>
          <w:spacing w:val="24"/>
          <w:sz w:val="19"/>
        </w:rPr>
        <w:t> </w:t>
      </w:r>
      <w:r>
        <w:rPr>
          <w:color w:val="231F20"/>
          <w:sz w:val="19"/>
        </w:rPr>
        <w:t>30</w:t>
      </w:r>
      <w:r>
        <w:rPr>
          <w:color w:val="231F20"/>
          <w:spacing w:val="24"/>
          <w:sz w:val="19"/>
        </w:rPr>
        <w:t> </w:t>
      </w:r>
      <w:r>
        <w:rPr>
          <w:color w:val="231F20"/>
          <w:sz w:val="19"/>
        </w:rPr>
        <w:t>settembre</w:t>
      </w:r>
      <w:r>
        <w:rPr>
          <w:color w:val="231F20"/>
          <w:spacing w:val="24"/>
          <w:sz w:val="19"/>
        </w:rPr>
        <w:t> </w:t>
      </w:r>
      <w:r>
        <w:rPr>
          <w:color w:val="231F20"/>
          <w:sz w:val="19"/>
        </w:rPr>
        <w:t>2021,</w:t>
      </w:r>
      <w:r>
        <w:rPr>
          <w:color w:val="231F20"/>
          <w:spacing w:val="24"/>
          <w:sz w:val="19"/>
        </w:rPr>
        <w:t> </w:t>
      </w:r>
      <w:r>
        <w:rPr>
          <w:color w:val="231F20"/>
          <w:sz w:val="19"/>
        </w:rPr>
        <w:t>C-186/20,</w:t>
      </w:r>
      <w:r>
        <w:rPr>
          <w:color w:val="231F20"/>
          <w:spacing w:val="24"/>
          <w:sz w:val="19"/>
        </w:rPr>
        <w:t> </w:t>
      </w:r>
      <w:r>
        <w:rPr>
          <w:color w:val="231F20"/>
          <w:sz w:val="19"/>
        </w:rPr>
        <w:t>cit</w:t>
      </w:r>
      <w:r>
        <w:rPr>
          <w:i/>
          <w:color w:val="231F20"/>
          <w:sz w:val="19"/>
        </w:rPr>
        <w:t>.,</w:t>
      </w:r>
      <w:r>
        <w:rPr>
          <w:i/>
          <w:color w:val="231F20"/>
          <w:spacing w:val="24"/>
          <w:sz w:val="19"/>
        </w:rPr>
        <w:t> </w:t>
      </w:r>
      <w:r>
        <w:rPr>
          <w:color w:val="231F20"/>
          <w:sz w:val="19"/>
        </w:rPr>
        <w:t>punti</w:t>
      </w:r>
      <w:r>
        <w:rPr>
          <w:color w:val="231F20"/>
          <w:spacing w:val="24"/>
          <w:sz w:val="19"/>
        </w:rPr>
        <w:t> </w:t>
      </w:r>
      <w:r>
        <w:rPr>
          <w:color w:val="231F20"/>
          <w:sz w:val="19"/>
        </w:rPr>
        <w:t>da</w:t>
      </w:r>
      <w:r>
        <w:rPr>
          <w:color w:val="231F20"/>
          <w:spacing w:val="24"/>
          <w:sz w:val="19"/>
        </w:rPr>
        <w:t> </w:t>
      </w:r>
      <w:r>
        <w:rPr>
          <w:color w:val="231F20"/>
          <w:sz w:val="19"/>
        </w:rPr>
        <w:t>30</w:t>
      </w:r>
      <w:r>
        <w:rPr>
          <w:color w:val="231F20"/>
          <w:spacing w:val="24"/>
          <w:sz w:val="19"/>
        </w:rPr>
        <w:t> </w:t>
      </w:r>
      <w:r>
        <w:rPr>
          <w:color w:val="231F20"/>
          <w:sz w:val="19"/>
        </w:rPr>
        <w:t>34.</w:t>
      </w:r>
      <w:r>
        <w:rPr>
          <w:color w:val="231F20"/>
          <w:spacing w:val="24"/>
          <w:sz w:val="19"/>
        </w:rPr>
        <w:t> </w:t>
      </w:r>
      <w:r>
        <w:rPr>
          <w:color w:val="231F20"/>
          <w:sz w:val="19"/>
        </w:rPr>
        <w:t>L’art. 11, regolamento (UE) 904/2010 prevede che: «Per alcune categorie di casi specifici tre l’autorità</w:t>
      </w:r>
      <w:r>
        <w:rPr>
          <w:color w:val="231F20"/>
          <w:spacing w:val="-7"/>
          <w:sz w:val="19"/>
        </w:rPr>
        <w:t> </w:t>
      </w:r>
      <w:r>
        <w:rPr>
          <w:color w:val="231F20"/>
          <w:sz w:val="19"/>
        </w:rPr>
        <w:t>interpellata</w:t>
      </w:r>
      <w:r>
        <w:rPr>
          <w:color w:val="231F20"/>
          <w:spacing w:val="-7"/>
          <w:sz w:val="19"/>
        </w:rPr>
        <w:t> </w:t>
      </w:r>
      <w:r>
        <w:rPr>
          <w:color w:val="231F20"/>
          <w:sz w:val="19"/>
        </w:rPr>
        <w:t>e</w:t>
      </w:r>
      <w:r>
        <w:rPr>
          <w:color w:val="231F20"/>
          <w:spacing w:val="-7"/>
          <w:sz w:val="19"/>
        </w:rPr>
        <w:t> </w:t>
      </w:r>
      <w:r>
        <w:rPr>
          <w:color w:val="231F20"/>
          <w:sz w:val="19"/>
        </w:rPr>
        <w:t>l’autorità</w:t>
      </w:r>
      <w:r>
        <w:rPr>
          <w:color w:val="231F20"/>
          <w:spacing w:val="-7"/>
          <w:sz w:val="19"/>
        </w:rPr>
        <w:t> </w:t>
      </w:r>
      <w:r>
        <w:rPr>
          <w:color w:val="231F20"/>
          <w:sz w:val="19"/>
        </w:rPr>
        <w:t>richiedente</w:t>
      </w:r>
      <w:r>
        <w:rPr>
          <w:color w:val="231F20"/>
          <w:spacing w:val="-7"/>
          <w:sz w:val="19"/>
        </w:rPr>
        <w:t> </w:t>
      </w:r>
      <w:r>
        <w:rPr>
          <w:color w:val="231F20"/>
          <w:sz w:val="19"/>
        </w:rPr>
        <w:t>possono</w:t>
      </w:r>
      <w:r>
        <w:rPr>
          <w:color w:val="231F20"/>
          <w:spacing w:val="-7"/>
          <w:sz w:val="19"/>
        </w:rPr>
        <w:t> </w:t>
      </w:r>
      <w:r>
        <w:rPr>
          <w:color w:val="231F20"/>
          <w:sz w:val="19"/>
        </w:rPr>
        <w:t>essere</w:t>
      </w:r>
      <w:r>
        <w:rPr>
          <w:color w:val="231F20"/>
          <w:spacing w:val="-7"/>
          <w:sz w:val="19"/>
        </w:rPr>
        <w:t> </w:t>
      </w:r>
      <w:r>
        <w:rPr>
          <w:color w:val="231F20"/>
          <w:sz w:val="19"/>
        </w:rPr>
        <w:t>convenuti</w:t>
      </w:r>
      <w:r>
        <w:rPr>
          <w:color w:val="231F20"/>
          <w:spacing w:val="-7"/>
          <w:sz w:val="19"/>
        </w:rPr>
        <w:t> </w:t>
      </w:r>
      <w:r>
        <w:rPr>
          <w:color w:val="231F20"/>
          <w:sz w:val="19"/>
        </w:rPr>
        <w:t>termini</w:t>
      </w:r>
      <w:r>
        <w:rPr>
          <w:color w:val="231F20"/>
          <w:spacing w:val="-7"/>
          <w:sz w:val="19"/>
        </w:rPr>
        <w:t> </w:t>
      </w:r>
      <w:r>
        <w:rPr>
          <w:color w:val="231F20"/>
          <w:sz w:val="19"/>
        </w:rPr>
        <w:t>diversi</w:t>
      </w:r>
      <w:r>
        <w:rPr>
          <w:color w:val="231F20"/>
          <w:spacing w:val="-7"/>
          <w:sz w:val="19"/>
        </w:rPr>
        <w:t> </w:t>
      </w:r>
      <w:r>
        <w:rPr>
          <w:color w:val="231F20"/>
          <w:sz w:val="19"/>
        </w:rPr>
        <w:t>da</w:t>
      </w:r>
      <w:r>
        <w:rPr>
          <w:color w:val="231F20"/>
          <w:spacing w:val="-7"/>
          <w:sz w:val="19"/>
        </w:rPr>
        <w:t> </w:t>
      </w:r>
      <w:r>
        <w:rPr>
          <w:color w:val="231F20"/>
          <w:sz w:val="19"/>
        </w:rPr>
        <w:t>quelli contemplati dall’articolo 10.». In forza dell’art. 12, qualora l’autorità interpellata ritenga di non</w:t>
      </w:r>
      <w:r>
        <w:rPr>
          <w:color w:val="231F20"/>
          <w:spacing w:val="10"/>
          <w:sz w:val="19"/>
        </w:rPr>
        <w:t> </w:t>
      </w:r>
      <w:r>
        <w:rPr>
          <w:color w:val="231F20"/>
          <w:sz w:val="19"/>
        </w:rPr>
        <w:t>poter</w:t>
      </w:r>
      <w:r>
        <w:rPr>
          <w:color w:val="231F20"/>
          <w:spacing w:val="10"/>
          <w:sz w:val="19"/>
        </w:rPr>
        <w:t> </w:t>
      </w:r>
      <w:r>
        <w:rPr>
          <w:color w:val="231F20"/>
          <w:sz w:val="19"/>
        </w:rPr>
        <w:t>rispondere</w:t>
      </w:r>
      <w:r>
        <w:rPr>
          <w:color w:val="231F20"/>
          <w:spacing w:val="11"/>
          <w:sz w:val="19"/>
        </w:rPr>
        <w:t> </w:t>
      </w:r>
      <w:r>
        <w:rPr>
          <w:color w:val="231F20"/>
          <w:sz w:val="19"/>
        </w:rPr>
        <w:t>alla</w:t>
      </w:r>
      <w:r>
        <w:rPr>
          <w:color w:val="231F20"/>
          <w:spacing w:val="10"/>
          <w:sz w:val="19"/>
        </w:rPr>
        <w:t> </w:t>
      </w:r>
      <w:r>
        <w:rPr>
          <w:color w:val="231F20"/>
          <w:sz w:val="19"/>
        </w:rPr>
        <w:t>richiesta</w:t>
      </w:r>
      <w:r>
        <w:rPr>
          <w:color w:val="231F20"/>
          <w:spacing w:val="10"/>
          <w:sz w:val="19"/>
        </w:rPr>
        <w:t> </w:t>
      </w:r>
      <w:r>
        <w:rPr>
          <w:color w:val="231F20"/>
          <w:sz w:val="19"/>
        </w:rPr>
        <w:t>di</w:t>
      </w:r>
      <w:r>
        <w:rPr>
          <w:color w:val="231F20"/>
          <w:spacing w:val="11"/>
          <w:sz w:val="19"/>
        </w:rPr>
        <w:t> </w:t>
      </w:r>
      <w:r>
        <w:rPr>
          <w:color w:val="231F20"/>
          <w:sz w:val="19"/>
        </w:rPr>
        <w:t>informazioni</w:t>
      </w:r>
      <w:r>
        <w:rPr>
          <w:color w:val="231F20"/>
          <w:spacing w:val="10"/>
          <w:sz w:val="19"/>
        </w:rPr>
        <w:t> </w:t>
      </w:r>
      <w:r>
        <w:rPr>
          <w:color w:val="231F20"/>
          <w:sz w:val="19"/>
        </w:rPr>
        <w:t>entro</w:t>
      </w:r>
      <w:r>
        <w:rPr>
          <w:color w:val="231F20"/>
          <w:spacing w:val="11"/>
          <w:sz w:val="19"/>
        </w:rPr>
        <w:t> </w:t>
      </w:r>
      <w:r>
        <w:rPr>
          <w:color w:val="231F20"/>
          <w:sz w:val="19"/>
        </w:rPr>
        <w:t>il</w:t>
      </w:r>
      <w:r>
        <w:rPr>
          <w:color w:val="231F20"/>
          <w:spacing w:val="10"/>
          <w:sz w:val="19"/>
        </w:rPr>
        <w:t> </w:t>
      </w:r>
      <w:r>
        <w:rPr>
          <w:color w:val="231F20"/>
          <w:sz w:val="19"/>
        </w:rPr>
        <w:t>termine</w:t>
      </w:r>
      <w:r>
        <w:rPr>
          <w:color w:val="231F20"/>
          <w:spacing w:val="10"/>
          <w:sz w:val="19"/>
        </w:rPr>
        <w:t> </w:t>
      </w:r>
      <w:r>
        <w:rPr>
          <w:color w:val="231F20"/>
          <w:sz w:val="19"/>
        </w:rPr>
        <w:t>previsto</w:t>
      </w:r>
      <w:r>
        <w:rPr>
          <w:color w:val="231F20"/>
          <w:spacing w:val="11"/>
          <w:sz w:val="19"/>
        </w:rPr>
        <w:t> </w:t>
      </w:r>
      <w:r>
        <w:rPr>
          <w:color w:val="231F20"/>
          <w:sz w:val="19"/>
        </w:rPr>
        <w:t>dall’art.</w:t>
      </w:r>
      <w:r>
        <w:rPr>
          <w:color w:val="231F20"/>
          <w:spacing w:val="10"/>
          <w:sz w:val="19"/>
        </w:rPr>
        <w:t> </w:t>
      </w:r>
      <w:r>
        <w:rPr>
          <w:color w:val="231F20"/>
          <w:sz w:val="19"/>
        </w:rPr>
        <w:t>10,</w:t>
      </w:r>
      <w:r>
        <w:rPr>
          <w:color w:val="231F20"/>
          <w:spacing w:val="11"/>
          <w:sz w:val="19"/>
        </w:rPr>
        <w:t> </w:t>
      </w:r>
      <w:r>
        <w:rPr>
          <w:color w:val="231F20"/>
          <w:spacing w:val="-4"/>
          <w:sz w:val="19"/>
        </w:rPr>
        <w:t>essa</w:t>
      </w:r>
    </w:p>
    <w:p>
      <w:pPr>
        <w:spacing w:line="225" w:lineRule="auto" w:before="5"/>
        <w:ind w:left="100" w:right="175" w:firstLine="0"/>
        <w:jc w:val="both"/>
        <w:rPr>
          <w:sz w:val="19"/>
        </w:rPr>
      </w:pPr>
      <w:r>
        <w:rPr>
          <w:color w:val="231F20"/>
          <w:sz w:val="19"/>
        </w:rPr>
        <w:t>«informa immediatamente per iscritto l’autorità richiedente delle circostanze che ostano </w:t>
      </w:r>
      <w:r>
        <w:rPr>
          <w:color w:val="231F20"/>
          <w:sz w:val="19"/>
        </w:rPr>
        <w:t>al rispetto</w:t>
      </w:r>
      <w:r>
        <w:rPr>
          <w:color w:val="231F20"/>
          <w:spacing w:val="-7"/>
          <w:sz w:val="19"/>
        </w:rPr>
        <w:t> </w:t>
      </w:r>
      <w:r>
        <w:rPr>
          <w:color w:val="231F20"/>
          <w:sz w:val="19"/>
        </w:rPr>
        <w:t>di</w:t>
      </w:r>
      <w:r>
        <w:rPr>
          <w:color w:val="231F20"/>
          <w:spacing w:val="-7"/>
          <w:sz w:val="19"/>
        </w:rPr>
        <w:t> </w:t>
      </w:r>
      <w:r>
        <w:rPr>
          <w:color w:val="231F20"/>
          <w:sz w:val="19"/>
        </w:rPr>
        <w:t>tale</w:t>
      </w:r>
      <w:r>
        <w:rPr>
          <w:color w:val="231F20"/>
          <w:spacing w:val="-7"/>
          <w:sz w:val="19"/>
        </w:rPr>
        <w:t> </w:t>
      </w:r>
      <w:r>
        <w:rPr>
          <w:color w:val="231F20"/>
          <w:sz w:val="19"/>
        </w:rPr>
        <w:t>termine</w:t>
      </w:r>
      <w:r>
        <w:rPr>
          <w:color w:val="231F20"/>
          <w:spacing w:val="-7"/>
          <w:sz w:val="19"/>
        </w:rPr>
        <w:t> </w:t>
      </w:r>
      <w:r>
        <w:rPr>
          <w:color w:val="231F20"/>
          <w:sz w:val="19"/>
        </w:rPr>
        <w:t>indicando</w:t>
      </w:r>
      <w:r>
        <w:rPr>
          <w:color w:val="231F20"/>
          <w:spacing w:val="-7"/>
          <w:sz w:val="19"/>
        </w:rPr>
        <w:t> </w:t>
      </w:r>
      <w:r>
        <w:rPr>
          <w:color w:val="231F20"/>
          <w:sz w:val="19"/>
        </w:rPr>
        <w:t>quando</w:t>
      </w:r>
      <w:r>
        <w:rPr>
          <w:color w:val="231F20"/>
          <w:spacing w:val="-7"/>
          <w:sz w:val="19"/>
        </w:rPr>
        <w:t> </w:t>
      </w:r>
      <w:r>
        <w:rPr>
          <w:color w:val="231F20"/>
          <w:sz w:val="19"/>
        </w:rPr>
        <w:t>ritiene</w:t>
      </w:r>
      <w:r>
        <w:rPr>
          <w:color w:val="231F20"/>
          <w:spacing w:val="-7"/>
          <w:sz w:val="19"/>
        </w:rPr>
        <w:t> </w:t>
      </w:r>
      <w:r>
        <w:rPr>
          <w:color w:val="231F20"/>
          <w:sz w:val="19"/>
        </w:rPr>
        <w:t>che</w:t>
      </w:r>
      <w:r>
        <w:rPr>
          <w:color w:val="231F20"/>
          <w:spacing w:val="-7"/>
          <w:sz w:val="19"/>
        </w:rPr>
        <w:t> </w:t>
      </w:r>
      <w:r>
        <w:rPr>
          <w:color w:val="231F20"/>
          <w:sz w:val="19"/>
        </w:rPr>
        <w:t>le</w:t>
      </w:r>
      <w:r>
        <w:rPr>
          <w:color w:val="231F20"/>
          <w:spacing w:val="-7"/>
          <w:sz w:val="19"/>
        </w:rPr>
        <w:t> </w:t>
      </w:r>
      <w:r>
        <w:rPr>
          <w:color w:val="231F20"/>
          <w:sz w:val="19"/>
        </w:rPr>
        <w:t>sarà</w:t>
      </w:r>
      <w:r>
        <w:rPr>
          <w:color w:val="231F20"/>
          <w:spacing w:val="-7"/>
          <w:sz w:val="19"/>
        </w:rPr>
        <w:t> </w:t>
      </w:r>
      <w:r>
        <w:rPr>
          <w:color w:val="231F20"/>
          <w:sz w:val="19"/>
        </w:rPr>
        <w:t>possibile</w:t>
      </w:r>
      <w:r>
        <w:rPr>
          <w:color w:val="231F20"/>
          <w:spacing w:val="-7"/>
          <w:sz w:val="19"/>
        </w:rPr>
        <w:t> </w:t>
      </w:r>
      <w:r>
        <w:rPr>
          <w:color w:val="231F20"/>
          <w:sz w:val="19"/>
        </w:rPr>
        <w:t>dar</w:t>
      </w:r>
      <w:r>
        <w:rPr>
          <w:color w:val="231F20"/>
          <w:spacing w:val="-7"/>
          <w:sz w:val="19"/>
        </w:rPr>
        <w:t> </w:t>
      </w:r>
      <w:r>
        <w:rPr>
          <w:color w:val="231F20"/>
          <w:sz w:val="19"/>
        </w:rPr>
        <w:t>seguito</w:t>
      </w:r>
      <w:r>
        <w:rPr>
          <w:color w:val="231F20"/>
          <w:spacing w:val="-7"/>
          <w:sz w:val="19"/>
        </w:rPr>
        <w:t> </w:t>
      </w:r>
      <w:r>
        <w:rPr>
          <w:color w:val="231F20"/>
          <w:sz w:val="19"/>
        </w:rPr>
        <w:t>alla</w:t>
      </w:r>
      <w:r>
        <w:rPr>
          <w:color w:val="231F20"/>
          <w:spacing w:val="-7"/>
          <w:sz w:val="19"/>
        </w:rPr>
        <w:t> </w:t>
      </w:r>
      <w:r>
        <w:rPr>
          <w:color w:val="231F20"/>
          <w:spacing w:val="-2"/>
          <w:sz w:val="19"/>
        </w:rPr>
        <w:t>richiesta».</w:t>
      </w:r>
    </w:p>
    <w:p>
      <w:pPr>
        <w:spacing w:after="0" w:line="225" w:lineRule="auto"/>
        <w:jc w:val="both"/>
        <w:rPr>
          <w:sz w:val="19"/>
        </w:rPr>
        <w:sectPr>
          <w:pgSz w:w="9640" w:h="13610"/>
          <w:pgMar w:header="0" w:footer="625" w:top="1260" w:bottom="820" w:left="1260" w:right="1240"/>
        </w:sectPr>
      </w:pPr>
    </w:p>
    <w:p>
      <w:pPr>
        <w:pStyle w:val="BodyText"/>
        <w:spacing w:line="225" w:lineRule="auto" w:before="117"/>
        <w:ind w:left="157" w:right="117"/>
        <w:jc w:val="both"/>
      </w:pPr>
      <w:r>
        <w:rPr/>
        <mc:AlternateContent>
          <mc:Choice Requires="wps">
            <w:drawing>
              <wp:anchor distT="0" distB="0" distL="0" distR="0" allowOverlap="1" layoutInCell="1" locked="0" behindDoc="0" simplePos="0" relativeHeight="15796224">
                <wp:simplePos x="0" y="0"/>
                <wp:positionH relativeFrom="page">
                  <wp:posOffset>5608609</wp:posOffset>
                </wp:positionH>
                <wp:positionV relativeFrom="page">
                  <wp:posOffset>2376001</wp:posOffset>
                </wp:positionV>
                <wp:extent cx="511809" cy="2412365"/>
                <wp:effectExtent l="0" t="0" r="0" b="0"/>
                <wp:wrapNone/>
                <wp:docPr id="212" name="Group 212"/>
                <wp:cNvGraphicFramePr>
                  <a:graphicFrameLocks/>
                </wp:cNvGraphicFramePr>
                <a:graphic>
                  <a:graphicData uri="http://schemas.microsoft.com/office/word/2010/wordprocessingGroup">
                    <wpg:wgp>
                      <wpg:cNvPr id="212" name="Group 212"/>
                      <wpg:cNvGrpSpPr/>
                      <wpg:grpSpPr>
                        <a:xfrm>
                          <a:off x="0" y="0"/>
                          <a:ext cx="511809" cy="2412365"/>
                          <a:chExt cx="511809" cy="2412365"/>
                        </a:xfrm>
                      </wpg:grpSpPr>
                      <wps:wsp>
                        <wps:cNvPr id="213" name="Graphic 213"/>
                        <wps:cNvSpPr/>
                        <wps:spPr>
                          <a:xfrm>
                            <a:off x="7393" y="3"/>
                            <a:ext cx="504190" cy="360045"/>
                          </a:xfrm>
                          <a:custGeom>
                            <a:avLst/>
                            <a:gdLst/>
                            <a:ahLst/>
                            <a:cxnLst/>
                            <a:rect l="l" t="t" r="r" b="b"/>
                            <a:pathLst>
                              <a:path w="504190" h="360045">
                                <a:moveTo>
                                  <a:pt x="503999" y="0"/>
                                </a:moveTo>
                                <a:lnTo>
                                  <a:pt x="0" y="0"/>
                                </a:lnTo>
                                <a:lnTo>
                                  <a:pt x="0" y="359994"/>
                                </a:lnTo>
                                <a:lnTo>
                                  <a:pt x="503999" y="359994"/>
                                </a:lnTo>
                                <a:lnTo>
                                  <a:pt x="503999" y="0"/>
                                </a:lnTo>
                                <a:close/>
                              </a:path>
                            </a:pathLst>
                          </a:custGeom>
                          <a:solidFill>
                            <a:srgbClr val="939598"/>
                          </a:solidFill>
                        </wps:spPr>
                        <wps:bodyPr wrap="square" lIns="0" tIns="0" rIns="0" bIns="0" rtlCol="0">
                          <a:prstTxWarp prst="textNoShape">
                            <a:avLst/>
                          </a:prstTxWarp>
                          <a:noAutofit/>
                        </wps:bodyPr>
                      </wps:wsp>
                      <wps:wsp>
                        <wps:cNvPr id="214" name="Graphic 214"/>
                        <wps:cNvSpPr/>
                        <wps:spPr>
                          <a:xfrm>
                            <a:off x="6350" y="0"/>
                            <a:ext cx="1270" cy="2412365"/>
                          </a:xfrm>
                          <a:custGeom>
                            <a:avLst/>
                            <a:gdLst/>
                            <a:ahLst/>
                            <a:cxnLst/>
                            <a:rect l="l" t="t" r="r" b="b"/>
                            <a:pathLst>
                              <a:path w="0" h="2412365">
                                <a:moveTo>
                                  <a:pt x="0" y="0"/>
                                </a:moveTo>
                                <a:lnTo>
                                  <a:pt x="0" y="2411996"/>
                                </a:lnTo>
                              </a:path>
                            </a:pathLst>
                          </a:custGeom>
                          <a:ln w="12700">
                            <a:solidFill>
                              <a:srgbClr val="939598"/>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441.622803pt;margin-top:187.0867pt;width:40.3pt;height:189.95pt;mso-position-horizontal-relative:page;mso-position-vertical-relative:page;z-index:15796224" id="docshapegroup176" coordorigin="8832,3742" coordsize="806,3799">
                <v:rect style="position:absolute;left:8844;top:3741;width:794;height:567" id="docshape177" filled="true" fillcolor="#939598" stroked="false">
                  <v:fill type="solid"/>
                </v:rect>
                <v:line style="position:absolute" from="8842,3742" to="8842,7540" stroked="true" strokeweight="1pt" strokecolor="#939598">
                  <v:stroke dashstyle="solid"/>
                </v:line>
                <w10:wrap type="none"/>
              </v:group>
            </w:pict>
          </mc:Fallback>
        </mc:AlternateContent>
      </w:r>
      <w:r>
        <w:rPr/>
        <mc:AlternateContent>
          <mc:Choice Requires="wps">
            <w:drawing>
              <wp:anchor distT="0" distB="0" distL="0" distR="0" allowOverlap="1" layoutInCell="1" locked="0" behindDoc="0" simplePos="0" relativeHeight="15796736">
                <wp:simplePos x="0" y="0"/>
                <wp:positionH relativeFrom="page">
                  <wp:posOffset>5635147</wp:posOffset>
                </wp:positionH>
                <wp:positionV relativeFrom="page">
                  <wp:posOffset>2795300</wp:posOffset>
                </wp:positionV>
                <wp:extent cx="299720" cy="1995805"/>
                <wp:effectExtent l="0" t="0" r="0" b="0"/>
                <wp:wrapNone/>
                <wp:docPr id="215" name="Textbox 215"/>
                <wp:cNvGraphicFramePr>
                  <a:graphicFrameLocks/>
                </wp:cNvGraphicFramePr>
                <a:graphic>
                  <a:graphicData uri="http://schemas.microsoft.com/office/word/2010/wordprocessingShape">
                    <wps:wsp>
                      <wps:cNvPr id="215" name="Textbox 215"/>
                      <wps:cNvSpPr txBox="1"/>
                      <wps:spPr>
                        <a:xfrm>
                          <a:off x="0" y="0"/>
                          <a:ext cx="299720" cy="1995805"/>
                        </a:xfrm>
                        <a:prstGeom prst="rect">
                          <a:avLst/>
                        </a:prstGeom>
                      </wps:spPr>
                      <wps:txbx>
                        <w:txbxContent>
                          <w:p>
                            <w:pPr>
                              <w:spacing w:before="20"/>
                              <w:ind w:left="20" w:right="0" w:firstLine="0"/>
                              <w:jc w:val="left"/>
                              <w:rPr>
                                <w:rFonts w:ascii="Minion Pro"/>
                                <w:sz w:val="32"/>
                              </w:rPr>
                            </w:pPr>
                            <w:r>
                              <w:rPr>
                                <w:rFonts w:ascii="Minion Pro"/>
                                <w:color w:val="231F20"/>
                                <w:sz w:val="32"/>
                              </w:rPr>
                              <w:t>Commented</w:t>
                            </w:r>
                            <w:r>
                              <w:rPr>
                                <w:rFonts w:ascii="Minion Pro"/>
                                <w:color w:val="231F20"/>
                                <w:spacing w:val="-10"/>
                                <w:sz w:val="32"/>
                              </w:rPr>
                              <w:t> </w:t>
                            </w:r>
                            <w:r>
                              <w:rPr>
                                <w:rFonts w:ascii="Minion Pro"/>
                                <w:color w:val="231F20"/>
                                <w:spacing w:val="-2"/>
                                <w:sz w:val="32"/>
                              </w:rPr>
                              <w:t>documents</w:t>
                            </w:r>
                          </w:p>
                        </w:txbxContent>
                      </wps:txbx>
                      <wps:bodyPr wrap="square" lIns="0" tIns="0" rIns="0" bIns="0" rtlCol="0" vert="vert">
                        <a:noAutofit/>
                      </wps:bodyPr>
                    </wps:wsp>
                  </a:graphicData>
                </a:graphic>
              </wp:anchor>
            </w:drawing>
          </mc:Choice>
          <mc:Fallback>
            <w:pict>
              <v:shape style="position:absolute;margin-left:443.712402pt;margin-top:220.102402pt;width:23.6pt;height:157.15pt;mso-position-horizontal-relative:page;mso-position-vertical-relative:page;z-index:15796736" type="#_x0000_t202" id="docshape178" filled="false" stroked="false">
                <v:textbox inset="0,0,0,0" style="layout-flow:vertical">
                  <w:txbxContent>
                    <w:p>
                      <w:pPr>
                        <w:spacing w:before="20"/>
                        <w:ind w:left="20" w:right="0" w:firstLine="0"/>
                        <w:jc w:val="left"/>
                        <w:rPr>
                          <w:rFonts w:ascii="Minion Pro"/>
                          <w:sz w:val="32"/>
                        </w:rPr>
                      </w:pPr>
                      <w:r>
                        <w:rPr>
                          <w:rFonts w:ascii="Minion Pro"/>
                          <w:color w:val="231F20"/>
                          <w:sz w:val="32"/>
                        </w:rPr>
                        <w:t>Commented</w:t>
                      </w:r>
                      <w:r>
                        <w:rPr>
                          <w:rFonts w:ascii="Minion Pro"/>
                          <w:color w:val="231F20"/>
                          <w:spacing w:val="-10"/>
                          <w:sz w:val="32"/>
                        </w:rPr>
                        <w:t> </w:t>
                      </w:r>
                      <w:r>
                        <w:rPr>
                          <w:rFonts w:ascii="Minion Pro"/>
                          <w:color w:val="231F20"/>
                          <w:spacing w:val="-2"/>
                          <w:sz w:val="32"/>
                        </w:rPr>
                        <w:t>documents</w:t>
                      </w:r>
                    </w:p>
                  </w:txbxContent>
                </v:textbox>
                <w10:wrap type="none"/>
              </v:shape>
            </w:pict>
          </mc:Fallback>
        </mc:AlternateContent>
      </w:r>
      <w:r>
        <w:rPr>
          <w:color w:val="231F20"/>
        </w:rPr>
        <w:t>delle</w:t>
      </w:r>
      <w:r>
        <w:rPr>
          <w:color w:val="231F20"/>
          <w:spacing w:val="-1"/>
        </w:rPr>
        <w:t> </w:t>
      </w:r>
      <w:r>
        <w:rPr>
          <w:color w:val="231F20"/>
        </w:rPr>
        <w:t>informazioni,</w:t>
      </w:r>
      <w:r>
        <w:rPr>
          <w:color w:val="231F20"/>
          <w:spacing w:val="-1"/>
        </w:rPr>
        <w:t> </w:t>
      </w:r>
      <w:r>
        <w:rPr>
          <w:color w:val="231F20"/>
        </w:rPr>
        <w:t>Corte</w:t>
      </w:r>
      <w:r>
        <w:rPr>
          <w:color w:val="231F20"/>
          <w:spacing w:val="-1"/>
        </w:rPr>
        <w:t> </w:t>
      </w:r>
      <w:r>
        <w:rPr>
          <w:color w:val="231F20"/>
        </w:rPr>
        <w:t>di</w:t>
      </w:r>
      <w:r>
        <w:rPr>
          <w:color w:val="231F20"/>
          <w:spacing w:val="-1"/>
        </w:rPr>
        <w:t> </w:t>
      </w:r>
      <w:r>
        <w:rPr>
          <w:color w:val="231F20"/>
        </w:rPr>
        <w:t>giustizia</w:t>
      </w:r>
      <w:r>
        <w:rPr>
          <w:color w:val="231F20"/>
          <w:spacing w:val="-1"/>
        </w:rPr>
        <w:t> </w:t>
      </w:r>
      <w:r>
        <w:rPr>
          <w:color w:val="231F20"/>
        </w:rPr>
        <w:t>ha</w:t>
      </w:r>
      <w:r>
        <w:rPr>
          <w:color w:val="231F20"/>
          <w:spacing w:val="-1"/>
        </w:rPr>
        <w:t> </w:t>
      </w:r>
      <w:r>
        <w:rPr>
          <w:color w:val="231F20"/>
        </w:rPr>
        <w:t>tratto</w:t>
      </w:r>
      <w:r>
        <w:rPr>
          <w:color w:val="231F20"/>
          <w:spacing w:val="-1"/>
        </w:rPr>
        <w:t> </w:t>
      </w:r>
      <w:r>
        <w:rPr>
          <w:color w:val="231F20"/>
        </w:rPr>
        <w:t>l’ovvia</w:t>
      </w:r>
      <w:r>
        <w:rPr>
          <w:color w:val="231F20"/>
          <w:spacing w:val="-1"/>
        </w:rPr>
        <w:t> </w:t>
      </w:r>
      <w:r>
        <w:rPr>
          <w:color w:val="231F20"/>
        </w:rPr>
        <w:t>conclusione</w:t>
      </w:r>
      <w:r>
        <w:rPr>
          <w:color w:val="231F20"/>
          <w:spacing w:val="-1"/>
        </w:rPr>
        <w:t> </w:t>
      </w:r>
      <w:r>
        <w:rPr>
          <w:color w:val="231F20"/>
        </w:rPr>
        <w:t>che:</w:t>
      </w:r>
      <w:r>
        <w:rPr>
          <w:color w:val="231F20"/>
          <w:spacing w:val="40"/>
        </w:rPr>
        <w:t> </w:t>
      </w:r>
      <w:r>
        <w:rPr>
          <w:color w:val="231F20"/>
        </w:rPr>
        <w:t>«il superamento di uno dei termini previsti da quest’ultimo (art. 10) non fa sorgere</w:t>
      </w:r>
      <w:r>
        <w:rPr>
          <w:color w:val="231F20"/>
          <w:spacing w:val="-10"/>
        </w:rPr>
        <w:t> </w:t>
      </w:r>
      <w:r>
        <w:rPr>
          <w:color w:val="231F20"/>
        </w:rPr>
        <w:t>alcun</w:t>
      </w:r>
      <w:r>
        <w:rPr>
          <w:color w:val="231F20"/>
          <w:spacing w:val="-10"/>
        </w:rPr>
        <w:t> </w:t>
      </w:r>
      <w:r>
        <w:rPr>
          <w:color w:val="231F20"/>
        </w:rPr>
        <w:t>diritto</w:t>
      </w:r>
      <w:r>
        <w:rPr>
          <w:color w:val="231F20"/>
          <w:spacing w:val="-10"/>
        </w:rPr>
        <w:t> </w:t>
      </w:r>
      <w:r>
        <w:rPr>
          <w:color w:val="231F20"/>
        </w:rPr>
        <w:t>in</w:t>
      </w:r>
      <w:r>
        <w:rPr>
          <w:color w:val="231F20"/>
          <w:spacing w:val="-10"/>
        </w:rPr>
        <w:t> </w:t>
      </w:r>
      <w:r>
        <w:rPr>
          <w:color w:val="231F20"/>
        </w:rPr>
        <w:t>capo</w:t>
      </w:r>
      <w:r>
        <w:rPr>
          <w:color w:val="231F20"/>
          <w:spacing w:val="-10"/>
        </w:rPr>
        <w:t> </w:t>
      </w:r>
      <w:r>
        <w:rPr>
          <w:color w:val="231F20"/>
        </w:rPr>
        <w:t>al</w:t>
      </w:r>
      <w:r>
        <w:rPr>
          <w:color w:val="231F20"/>
          <w:spacing w:val="-10"/>
        </w:rPr>
        <w:t> </w:t>
      </w:r>
      <w:r>
        <w:rPr>
          <w:color w:val="231F20"/>
        </w:rPr>
        <w:t>soggetto</w:t>
      </w:r>
      <w:r>
        <w:rPr>
          <w:color w:val="231F20"/>
          <w:spacing w:val="-10"/>
        </w:rPr>
        <w:t> </w:t>
      </w:r>
      <w:r>
        <w:rPr>
          <w:color w:val="231F20"/>
        </w:rPr>
        <w:t>passivo</w:t>
      </w:r>
      <w:r>
        <w:rPr>
          <w:color w:val="231F20"/>
          <w:spacing w:val="-10"/>
        </w:rPr>
        <w:t> </w:t>
      </w:r>
      <w:r>
        <w:rPr>
          <w:color w:val="231F20"/>
        </w:rPr>
        <w:t>interessato</w:t>
      </w:r>
      <w:r>
        <w:rPr>
          <w:color w:val="231F20"/>
          <w:spacing w:val="-10"/>
        </w:rPr>
        <w:t> </w:t>
      </w:r>
      <w:r>
        <w:rPr>
          <w:color w:val="231F20"/>
        </w:rPr>
        <w:t>e</w:t>
      </w:r>
      <w:r>
        <w:rPr>
          <w:color w:val="231F20"/>
          <w:spacing w:val="-10"/>
        </w:rPr>
        <w:t> </w:t>
      </w:r>
      <w:r>
        <w:rPr>
          <w:color w:val="231F20"/>
        </w:rPr>
        <w:t>non</w:t>
      </w:r>
      <w:r>
        <w:rPr>
          <w:color w:val="231F20"/>
          <w:spacing w:val="-10"/>
        </w:rPr>
        <w:t> </w:t>
      </w:r>
      <w:r>
        <w:rPr>
          <w:color w:val="231F20"/>
        </w:rPr>
        <w:t>comporta alcuna conseguenza specifica, neppure per quanto riguarda la legittimità della sospensione della verifica fiscale prevista dal diritto nazionale dello Stato membro richiedente…»</w:t>
      </w:r>
      <w:r>
        <w:rPr>
          <w:color w:val="231F20"/>
          <w:position w:val="8"/>
          <w:sz w:val="14"/>
        </w:rPr>
        <w:t>148</w:t>
      </w:r>
      <w:r>
        <w:rPr>
          <w:color w:val="231F20"/>
        </w:rPr>
        <w:t>. Ed infine, dato che il regolamento (UE) 904/2010 non disciplina né la durata massima di una verifica fiscale, né</w:t>
      </w:r>
      <w:r>
        <w:rPr>
          <w:color w:val="231F20"/>
          <w:spacing w:val="80"/>
        </w:rPr>
        <w:t> </w:t>
      </w:r>
      <w:r>
        <w:rPr>
          <w:color w:val="231F20"/>
        </w:rPr>
        <w:t>le condizioni della sospensione di tale verifica in caso di avvio della proce- dura di scambio di informazioni disciplinata dal regolamento stesso, «un soggetto passivo (IVA) non può avvalersi di detto regolamento al fine di contestare, a causa di una durata eccessiva, la legittimità della sospensione della verifica fiscale a cui è sottoposto»</w:t>
      </w:r>
      <w:r>
        <w:rPr>
          <w:color w:val="231F20"/>
          <w:position w:val="8"/>
          <w:sz w:val="14"/>
        </w:rPr>
        <w:t>149</w:t>
      </w:r>
      <w:r>
        <w:rPr>
          <w:color w:val="231F20"/>
        </w:rPr>
        <w:t>.</w:t>
      </w:r>
    </w:p>
    <w:p>
      <w:pPr>
        <w:pStyle w:val="BodyText"/>
      </w:pPr>
    </w:p>
    <w:p>
      <w:pPr>
        <w:pStyle w:val="BodyText"/>
        <w:spacing w:before="34"/>
      </w:pPr>
    </w:p>
    <w:p>
      <w:pPr>
        <w:pStyle w:val="Heading3"/>
        <w:numPr>
          <w:ilvl w:val="0"/>
          <w:numId w:val="4"/>
        </w:numPr>
        <w:tabs>
          <w:tab w:pos="430" w:val="left" w:leader="none"/>
        </w:tabs>
        <w:spacing w:line="244" w:lineRule="auto" w:before="0" w:after="0"/>
        <w:ind w:left="157" w:right="185" w:firstLine="0"/>
        <w:jc w:val="left"/>
        <w:rPr>
          <w:b/>
        </w:rPr>
      </w:pPr>
      <w:r>
        <w:rPr>
          <w:b/>
          <w:color w:val="231F20"/>
          <w:spacing w:val="-2"/>
        </w:rPr>
        <w:t>Le</w:t>
      </w:r>
      <w:r>
        <w:rPr>
          <w:b/>
          <w:color w:val="231F20"/>
          <w:spacing w:val="-16"/>
        </w:rPr>
        <w:t> </w:t>
      </w:r>
      <w:r>
        <w:rPr>
          <w:b/>
          <w:color w:val="231F20"/>
          <w:spacing w:val="-2"/>
        </w:rPr>
        <w:t>sentenze</w:t>
      </w:r>
      <w:r>
        <w:rPr>
          <w:b/>
          <w:color w:val="231F20"/>
          <w:spacing w:val="-15"/>
        </w:rPr>
        <w:t> </w:t>
      </w:r>
      <w:r>
        <w:rPr>
          <w:b/>
          <w:color w:val="231F20"/>
          <w:spacing w:val="-2"/>
        </w:rPr>
        <w:t>aventi</w:t>
      </w:r>
      <w:r>
        <w:rPr>
          <w:b/>
          <w:color w:val="231F20"/>
          <w:spacing w:val="-15"/>
        </w:rPr>
        <w:t> </w:t>
      </w:r>
      <w:r>
        <w:rPr>
          <w:b/>
          <w:color w:val="231F20"/>
          <w:spacing w:val="-2"/>
        </w:rPr>
        <w:t>ad</w:t>
      </w:r>
      <w:r>
        <w:rPr>
          <w:b/>
          <w:color w:val="231F20"/>
          <w:spacing w:val="-15"/>
        </w:rPr>
        <w:t> </w:t>
      </w:r>
      <w:r>
        <w:rPr>
          <w:b/>
          <w:color w:val="231F20"/>
          <w:spacing w:val="-2"/>
        </w:rPr>
        <w:t>oggetto</w:t>
      </w:r>
      <w:r>
        <w:rPr>
          <w:b/>
          <w:color w:val="231F20"/>
          <w:spacing w:val="-15"/>
        </w:rPr>
        <w:t> </w:t>
      </w:r>
      <w:r>
        <w:rPr>
          <w:b/>
          <w:color w:val="231F20"/>
          <w:spacing w:val="-2"/>
        </w:rPr>
        <w:t>l’interpretazione</w:t>
      </w:r>
      <w:r>
        <w:rPr>
          <w:b/>
          <w:color w:val="231F20"/>
          <w:spacing w:val="-15"/>
        </w:rPr>
        <w:t> </w:t>
      </w:r>
      <w:r>
        <w:rPr>
          <w:b/>
          <w:color w:val="231F20"/>
          <w:spacing w:val="-2"/>
        </w:rPr>
        <w:t>della</w:t>
      </w:r>
      <w:r>
        <w:rPr>
          <w:b/>
          <w:color w:val="231F20"/>
          <w:spacing w:val="-16"/>
        </w:rPr>
        <w:t> </w:t>
      </w:r>
      <w:r>
        <w:rPr>
          <w:b/>
          <w:color w:val="231F20"/>
          <w:spacing w:val="-2"/>
        </w:rPr>
        <w:t>direttiva </w:t>
      </w:r>
      <w:r>
        <w:rPr>
          <w:b/>
          <w:color w:val="231F20"/>
        </w:rPr>
        <w:t>2010/24/UE</w:t>
      </w:r>
      <w:r>
        <w:rPr>
          <w:b/>
          <w:color w:val="231F20"/>
          <w:spacing w:val="-7"/>
        </w:rPr>
        <w:t> </w:t>
      </w:r>
      <w:r>
        <w:rPr>
          <w:b/>
          <w:color w:val="231F20"/>
        </w:rPr>
        <w:t>«sull’assistenza</w:t>
      </w:r>
      <w:r>
        <w:rPr>
          <w:b/>
          <w:color w:val="231F20"/>
          <w:spacing w:val="-7"/>
        </w:rPr>
        <w:t> </w:t>
      </w:r>
      <w:r>
        <w:rPr>
          <w:b/>
          <w:color w:val="231F20"/>
        </w:rPr>
        <w:t>reciproca</w:t>
      </w:r>
      <w:r>
        <w:rPr>
          <w:b/>
          <w:color w:val="231F20"/>
          <w:spacing w:val="-7"/>
        </w:rPr>
        <w:t> </w:t>
      </w:r>
      <w:r>
        <w:rPr>
          <w:b/>
          <w:color w:val="231F20"/>
        </w:rPr>
        <w:t>in</w:t>
      </w:r>
      <w:r>
        <w:rPr>
          <w:b/>
          <w:color w:val="231F20"/>
          <w:spacing w:val="-7"/>
        </w:rPr>
        <w:t> </w:t>
      </w:r>
      <w:r>
        <w:rPr>
          <w:b/>
          <w:color w:val="231F20"/>
        </w:rPr>
        <w:t>materia</w:t>
      </w:r>
      <w:r>
        <w:rPr>
          <w:b/>
          <w:color w:val="231F20"/>
          <w:spacing w:val="-7"/>
        </w:rPr>
        <w:t> </w:t>
      </w:r>
      <w:r>
        <w:rPr>
          <w:b/>
          <w:color w:val="231F20"/>
        </w:rPr>
        <w:t>di</w:t>
      </w:r>
      <w:r>
        <w:rPr>
          <w:b/>
          <w:color w:val="231F20"/>
          <w:spacing w:val="-7"/>
        </w:rPr>
        <w:t> </w:t>
      </w:r>
      <w:r>
        <w:rPr>
          <w:b/>
          <w:color w:val="231F20"/>
        </w:rPr>
        <w:t>recupero di</w:t>
      </w:r>
      <w:r>
        <w:rPr>
          <w:b/>
          <w:color w:val="231F20"/>
          <w:spacing w:val="-4"/>
        </w:rPr>
        <w:t> </w:t>
      </w:r>
      <w:r>
        <w:rPr>
          <w:b/>
          <w:color w:val="231F20"/>
        </w:rPr>
        <w:t>crediti</w:t>
      </w:r>
      <w:r>
        <w:rPr>
          <w:b/>
          <w:color w:val="231F20"/>
          <w:spacing w:val="-4"/>
        </w:rPr>
        <w:t> </w:t>
      </w:r>
      <w:r>
        <w:rPr>
          <w:b/>
          <w:color w:val="231F20"/>
        </w:rPr>
        <w:t>risultanti</w:t>
      </w:r>
      <w:r>
        <w:rPr>
          <w:b/>
          <w:color w:val="231F20"/>
          <w:spacing w:val="-4"/>
        </w:rPr>
        <w:t> </w:t>
      </w:r>
      <w:r>
        <w:rPr>
          <w:b/>
          <w:color w:val="231F20"/>
        </w:rPr>
        <w:t>da</w:t>
      </w:r>
      <w:r>
        <w:rPr>
          <w:b/>
          <w:color w:val="231F20"/>
          <w:spacing w:val="-4"/>
        </w:rPr>
        <w:t> </w:t>
      </w:r>
      <w:r>
        <w:rPr>
          <w:b/>
          <w:color w:val="231F20"/>
        </w:rPr>
        <w:t>dazi,</w:t>
      </w:r>
      <w:r>
        <w:rPr>
          <w:b/>
          <w:color w:val="231F20"/>
          <w:spacing w:val="-4"/>
        </w:rPr>
        <w:t> </w:t>
      </w:r>
      <w:r>
        <w:rPr>
          <w:b/>
          <w:color w:val="231F20"/>
        </w:rPr>
        <w:t>imposte</w:t>
      </w:r>
      <w:r>
        <w:rPr>
          <w:b/>
          <w:color w:val="231F20"/>
          <w:spacing w:val="-4"/>
        </w:rPr>
        <w:t> </w:t>
      </w:r>
      <w:r>
        <w:rPr>
          <w:b/>
          <w:color w:val="231F20"/>
        </w:rPr>
        <w:t>ed</w:t>
      </w:r>
      <w:r>
        <w:rPr>
          <w:b/>
          <w:color w:val="231F20"/>
          <w:spacing w:val="-4"/>
        </w:rPr>
        <w:t> </w:t>
      </w:r>
      <w:r>
        <w:rPr>
          <w:b/>
          <w:color w:val="231F20"/>
        </w:rPr>
        <w:t>altre</w:t>
      </w:r>
      <w:r>
        <w:rPr>
          <w:b/>
          <w:color w:val="231F20"/>
          <w:spacing w:val="-4"/>
        </w:rPr>
        <w:t> </w:t>
      </w:r>
      <w:r>
        <w:rPr>
          <w:b/>
          <w:color w:val="231F20"/>
        </w:rPr>
        <w:t>misure»</w:t>
      </w:r>
    </w:p>
    <w:p>
      <w:pPr>
        <w:pStyle w:val="BodyText"/>
        <w:spacing w:line="225" w:lineRule="auto" w:before="251"/>
        <w:ind w:left="157" w:right="117"/>
        <w:jc w:val="both"/>
      </w:pPr>
      <w:r>
        <w:rPr>
          <w:color w:val="231F20"/>
        </w:rPr>
        <w:t>La</w:t>
      </w:r>
      <w:r>
        <w:rPr>
          <w:color w:val="231F20"/>
          <w:spacing w:val="-11"/>
        </w:rPr>
        <w:t> </w:t>
      </w:r>
      <w:r>
        <w:rPr>
          <w:color w:val="231F20"/>
        </w:rPr>
        <w:t>cooperazione</w:t>
      </w:r>
      <w:r>
        <w:rPr>
          <w:color w:val="231F20"/>
          <w:spacing w:val="-11"/>
        </w:rPr>
        <w:t> </w:t>
      </w:r>
      <w:r>
        <w:rPr>
          <w:color w:val="231F20"/>
        </w:rPr>
        <w:t>fra</w:t>
      </w:r>
      <w:r>
        <w:rPr>
          <w:color w:val="231F20"/>
          <w:spacing w:val="-11"/>
        </w:rPr>
        <w:t> </w:t>
      </w:r>
      <w:r>
        <w:rPr>
          <w:color w:val="231F20"/>
        </w:rPr>
        <w:t>amministrazioni</w:t>
      </w:r>
      <w:r>
        <w:rPr>
          <w:color w:val="231F20"/>
          <w:spacing w:val="-11"/>
        </w:rPr>
        <w:t> </w:t>
      </w:r>
      <w:r>
        <w:rPr>
          <w:color w:val="231F20"/>
        </w:rPr>
        <w:t>tributarie</w:t>
      </w:r>
      <w:r>
        <w:rPr>
          <w:color w:val="231F20"/>
          <w:spacing w:val="-11"/>
        </w:rPr>
        <w:t> </w:t>
      </w:r>
      <w:r>
        <w:rPr>
          <w:color w:val="231F20"/>
        </w:rPr>
        <w:t>degli</w:t>
      </w:r>
      <w:r>
        <w:rPr>
          <w:color w:val="231F20"/>
          <w:spacing w:val="-11"/>
        </w:rPr>
        <w:t> </w:t>
      </w:r>
      <w:r>
        <w:rPr>
          <w:color w:val="231F20"/>
        </w:rPr>
        <w:t>Stati</w:t>
      </w:r>
      <w:r>
        <w:rPr>
          <w:color w:val="231F20"/>
          <w:spacing w:val="-11"/>
        </w:rPr>
        <w:t> </w:t>
      </w:r>
      <w:r>
        <w:rPr>
          <w:color w:val="231F20"/>
        </w:rPr>
        <w:t>membri</w:t>
      </w:r>
      <w:r>
        <w:rPr>
          <w:color w:val="231F20"/>
          <w:spacing w:val="-11"/>
        </w:rPr>
        <w:t> </w:t>
      </w:r>
      <w:r>
        <w:rPr>
          <w:color w:val="231F20"/>
        </w:rPr>
        <w:t>in</w:t>
      </w:r>
      <w:r>
        <w:rPr>
          <w:color w:val="231F20"/>
          <w:spacing w:val="-11"/>
        </w:rPr>
        <w:t> </w:t>
      </w:r>
      <w:r>
        <w:rPr>
          <w:color w:val="231F20"/>
        </w:rPr>
        <w:t>mate- ria</w:t>
      </w:r>
      <w:r>
        <w:rPr>
          <w:color w:val="231F20"/>
          <w:spacing w:val="-1"/>
        </w:rPr>
        <w:t> </w:t>
      </w:r>
      <w:r>
        <w:rPr>
          <w:color w:val="231F20"/>
        </w:rPr>
        <w:t>di</w:t>
      </w:r>
      <w:r>
        <w:rPr>
          <w:color w:val="231F20"/>
          <w:spacing w:val="-1"/>
        </w:rPr>
        <w:t> </w:t>
      </w:r>
      <w:r>
        <w:rPr>
          <w:color w:val="231F20"/>
        </w:rPr>
        <w:t>recupero</w:t>
      </w:r>
      <w:r>
        <w:rPr>
          <w:color w:val="231F20"/>
          <w:spacing w:val="-1"/>
        </w:rPr>
        <w:t> </w:t>
      </w:r>
      <w:r>
        <w:rPr>
          <w:color w:val="231F20"/>
        </w:rPr>
        <w:t>di</w:t>
      </w:r>
      <w:r>
        <w:rPr>
          <w:color w:val="231F20"/>
          <w:spacing w:val="-1"/>
        </w:rPr>
        <w:t> </w:t>
      </w:r>
      <w:r>
        <w:rPr>
          <w:color w:val="231F20"/>
        </w:rPr>
        <w:t>crediti</w:t>
      </w:r>
      <w:r>
        <w:rPr>
          <w:color w:val="231F20"/>
          <w:spacing w:val="-1"/>
        </w:rPr>
        <w:t> </w:t>
      </w:r>
      <w:r>
        <w:rPr>
          <w:color w:val="231F20"/>
        </w:rPr>
        <w:t>fiscali</w:t>
      </w:r>
      <w:r>
        <w:rPr>
          <w:color w:val="231F20"/>
          <w:spacing w:val="-1"/>
        </w:rPr>
        <w:t> </w:t>
      </w:r>
      <w:r>
        <w:rPr>
          <w:color w:val="231F20"/>
        </w:rPr>
        <w:t>è</w:t>
      </w:r>
      <w:r>
        <w:rPr>
          <w:color w:val="231F20"/>
          <w:spacing w:val="-1"/>
        </w:rPr>
        <w:t> </w:t>
      </w:r>
      <w:r>
        <w:rPr>
          <w:color w:val="231F20"/>
        </w:rPr>
        <w:t>stata</w:t>
      </w:r>
      <w:r>
        <w:rPr>
          <w:color w:val="231F20"/>
          <w:spacing w:val="-1"/>
        </w:rPr>
        <w:t> </w:t>
      </w:r>
      <w:r>
        <w:rPr>
          <w:color w:val="231F20"/>
        </w:rPr>
        <w:t>la</w:t>
      </w:r>
      <w:r>
        <w:rPr>
          <w:color w:val="231F20"/>
          <w:spacing w:val="-1"/>
        </w:rPr>
        <w:t> </w:t>
      </w:r>
      <w:r>
        <w:rPr>
          <w:color w:val="231F20"/>
        </w:rPr>
        <w:t>prima</w:t>
      </w:r>
      <w:r>
        <w:rPr>
          <w:color w:val="231F20"/>
          <w:spacing w:val="-1"/>
        </w:rPr>
        <w:t> </w:t>
      </w:r>
      <w:r>
        <w:rPr>
          <w:color w:val="231F20"/>
        </w:rPr>
        <w:t>forma</w:t>
      </w:r>
      <w:r>
        <w:rPr>
          <w:color w:val="231F20"/>
          <w:spacing w:val="-1"/>
        </w:rPr>
        <w:t> </w:t>
      </w:r>
      <w:r>
        <w:rPr>
          <w:color w:val="231F20"/>
        </w:rPr>
        <w:t>di</w:t>
      </w:r>
      <w:r>
        <w:rPr>
          <w:color w:val="231F20"/>
          <w:spacing w:val="-1"/>
        </w:rPr>
        <w:t> </w:t>
      </w:r>
      <w:r>
        <w:rPr>
          <w:color w:val="231F20"/>
        </w:rPr>
        <w:t>collaborazione</w:t>
      </w:r>
      <w:r>
        <w:rPr>
          <w:color w:val="231F20"/>
          <w:spacing w:val="-1"/>
        </w:rPr>
        <w:t> </w:t>
      </w:r>
      <w:r>
        <w:rPr>
          <w:color w:val="231F20"/>
        </w:rPr>
        <w:t>fra </w:t>
      </w:r>
      <w:r>
        <w:rPr>
          <w:color w:val="231F20"/>
          <w:spacing w:val="-2"/>
        </w:rPr>
        <w:t>amministrazioni</w:t>
      </w:r>
      <w:r>
        <w:rPr>
          <w:color w:val="231F20"/>
          <w:spacing w:val="-10"/>
        </w:rPr>
        <w:t> </w:t>
      </w:r>
      <w:r>
        <w:rPr>
          <w:color w:val="231F20"/>
          <w:spacing w:val="-2"/>
        </w:rPr>
        <w:t>nazionali</w:t>
      </w:r>
      <w:r>
        <w:rPr>
          <w:color w:val="231F20"/>
          <w:spacing w:val="-10"/>
        </w:rPr>
        <w:t> </w:t>
      </w:r>
      <w:r>
        <w:rPr>
          <w:color w:val="231F20"/>
          <w:spacing w:val="-2"/>
        </w:rPr>
        <w:t>che</w:t>
      </w:r>
      <w:r>
        <w:rPr>
          <w:color w:val="231F20"/>
          <w:spacing w:val="-10"/>
        </w:rPr>
        <w:t> </w:t>
      </w:r>
      <w:r>
        <w:rPr>
          <w:color w:val="231F20"/>
          <w:spacing w:val="-2"/>
        </w:rPr>
        <w:t>il</w:t>
      </w:r>
      <w:r>
        <w:rPr>
          <w:color w:val="231F20"/>
          <w:spacing w:val="-10"/>
        </w:rPr>
        <w:t> </w:t>
      </w:r>
      <w:r>
        <w:rPr>
          <w:color w:val="231F20"/>
          <w:spacing w:val="-2"/>
        </w:rPr>
        <w:t>legislatore</w:t>
      </w:r>
      <w:r>
        <w:rPr>
          <w:color w:val="231F20"/>
          <w:spacing w:val="-10"/>
        </w:rPr>
        <w:t> </w:t>
      </w:r>
      <w:r>
        <w:rPr>
          <w:color w:val="231F20"/>
          <w:spacing w:val="-2"/>
        </w:rPr>
        <w:t>(all’epoca)</w:t>
      </w:r>
      <w:r>
        <w:rPr>
          <w:color w:val="231F20"/>
          <w:spacing w:val="-10"/>
        </w:rPr>
        <w:t> </w:t>
      </w:r>
      <w:r>
        <w:rPr>
          <w:color w:val="231F20"/>
          <w:spacing w:val="-2"/>
        </w:rPr>
        <w:t>comunitario</w:t>
      </w:r>
      <w:r>
        <w:rPr>
          <w:color w:val="231F20"/>
          <w:spacing w:val="-10"/>
        </w:rPr>
        <w:t> </w:t>
      </w:r>
      <w:r>
        <w:rPr>
          <w:color w:val="231F20"/>
          <w:spacing w:val="-2"/>
        </w:rPr>
        <w:t>ha</w:t>
      </w:r>
      <w:r>
        <w:rPr>
          <w:color w:val="231F20"/>
          <w:spacing w:val="-10"/>
        </w:rPr>
        <w:t> </w:t>
      </w:r>
      <w:r>
        <w:rPr>
          <w:color w:val="231F20"/>
          <w:spacing w:val="-2"/>
        </w:rPr>
        <w:t>istitu- </w:t>
      </w:r>
      <w:r>
        <w:rPr>
          <w:color w:val="231F20"/>
        </w:rPr>
        <w:t>ito</w:t>
      </w:r>
      <w:r>
        <w:rPr>
          <w:color w:val="231F20"/>
          <w:spacing w:val="-10"/>
        </w:rPr>
        <w:t> </w:t>
      </w:r>
      <w:r>
        <w:rPr>
          <w:color w:val="231F20"/>
        </w:rPr>
        <w:t>e</w:t>
      </w:r>
      <w:r>
        <w:rPr>
          <w:color w:val="231F20"/>
          <w:spacing w:val="-10"/>
        </w:rPr>
        <w:t> </w:t>
      </w:r>
      <w:r>
        <w:rPr>
          <w:color w:val="231F20"/>
        </w:rPr>
        <w:t>regolato</w:t>
      </w:r>
      <w:r>
        <w:rPr>
          <w:color w:val="231F20"/>
          <w:spacing w:val="-10"/>
        </w:rPr>
        <w:t> </w:t>
      </w:r>
      <w:r>
        <w:rPr>
          <w:color w:val="231F20"/>
        </w:rPr>
        <w:t>con</w:t>
      </w:r>
      <w:r>
        <w:rPr>
          <w:color w:val="231F20"/>
          <w:spacing w:val="-10"/>
        </w:rPr>
        <w:t> </w:t>
      </w:r>
      <w:r>
        <w:rPr>
          <w:color w:val="231F20"/>
        </w:rPr>
        <w:t>un</w:t>
      </w:r>
      <w:r>
        <w:rPr>
          <w:color w:val="231F20"/>
          <w:spacing w:val="-10"/>
        </w:rPr>
        <w:t> </w:t>
      </w:r>
      <w:r>
        <w:rPr>
          <w:color w:val="231F20"/>
        </w:rPr>
        <w:t>proprio</w:t>
      </w:r>
      <w:r>
        <w:rPr>
          <w:color w:val="231F20"/>
          <w:spacing w:val="-10"/>
        </w:rPr>
        <w:t> </w:t>
      </w:r>
      <w:r>
        <w:rPr>
          <w:color w:val="231F20"/>
        </w:rPr>
        <w:t>atto</w:t>
      </w:r>
      <w:r>
        <w:rPr>
          <w:color w:val="231F20"/>
          <w:spacing w:val="-10"/>
        </w:rPr>
        <w:t> </w:t>
      </w:r>
      <w:r>
        <w:rPr>
          <w:color w:val="231F20"/>
        </w:rPr>
        <w:t>legislativo</w:t>
      </w:r>
      <w:r>
        <w:rPr>
          <w:color w:val="231F20"/>
          <w:spacing w:val="-10"/>
        </w:rPr>
        <w:t> </w:t>
      </w:r>
      <w:r>
        <w:rPr>
          <w:color w:val="231F20"/>
        </w:rPr>
        <w:t>e</w:t>
      </w:r>
      <w:r>
        <w:rPr>
          <w:color w:val="231F20"/>
          <w:spacing w:val="-10"/>
        </w:rPr>
        <w:t> </w:t>
      </w:r>
      <w:r>
        <w:rPr>
          <w:color w:val="231F20"/>
        </w:rPr>
        <w:t>precisamente</w:t>
      </w:r>
      <w:r>
        <w:rPr>
          <w:color w:val="231F20"/>
          <w:spacing w:val="-10"/>
        </w:rPr>
        <w:t> </w:t>
      </w:r>
      <w:r>
        <w:rPr>
          <w:color w:val="231F20"/>
        </w:rPr>
        <w:t>con</w:t>
      </w:r>
      <w:r>
        <w:rPr>
          <w:color w:val="231F20"/>
          <w:spacing w:val="-10"/>
        </w:rPr>
        <w:t> </w:t>
      </w:r>
      <w:r>
        <w:rPr>
          <w:color w:val="231F20"/>
        </w:rPr>
        <w:t>la</w:t>
      </w:r>
      <w:r>
        <w:rPr>
          <w:color w:val="231F20"/>
          <w:spacing w:val="-10"/>
        </w:rPr>
        <w:t> </w:t>
      </w:r>
      <w:r>
        <w:rPr>
          <w:color w:val="231F20"/>
        </w:rPr>
        <w:t>direttiva (CEE)</w:t>
      </w:r>
      <w:r>
        <w:rPr>
          <w:color w:val="231F20"/>
          <w:spacing w:val="-9"/>
        </w:rPr>
        <w:t> </w:t>
      </w:r>
      <w:r>
        <w:rPr>
          <w:color w:val="231F20"/>
        </w:rPr>
        <w:t>76/308</w:t>
      </w:r>
      <w:r>
        <w:rPr>
          <w:color w:val="231F20"/>
          <w:position w:val="8"/>
          <w:sz w:val="14"/>
        </w:rPr>
        <w:t>150</w:t>
      </w:r>
      <w:r>
        <w:rPr>
          <w:color w:val="231F20"/>
        </w:rPr>
        <w:t>,</w:t>
      </w:r>
      <w:r>
        <w:rPr>
          <w:color w:val="231F20"/>
          <w:spacing w:val="-9"/>
        </w:rPr>
        <w:t> </w:t>
      </w:r>
      <w:r>
        <w:rPr>
          <w:color w:val="231F20"/>
        </w:rPr>
        <w:t>successivamente</w:t>
      </w:r>
      <w:r>
        <w:rPr>
          <w:color w:val="231F20"/>
          <w:spacing w:val="-8"/>
        </w:rPr>
        <w:t> </w:t>
      </w:r>
      <w:r>
        <w:rPr>
          <w:color w:val="231F20"/>
        </w:rPr>
        <w:t>abrogata</w:t>
      </w:r>
      <w:r>
        <w:rPr>
          <w:color w:val="231F20"/>
          <w:spacing w:val="-9"/>
        </w:rPr>
        <w:t> </w:t>
      </w:r>
      <w:r>
        <w:rPr>
          <w:color w:val="231F20"/>
        </w:rPr>
        <w:t>e</w:t>
      </w:r>
      <w:r>
        <w:rPr>
          <w:color w:val="231F20"/>
          <w:spacing w:val="-9"/>
        </w:rPr>
        <w:t> </w:t>
      </w:r>
      <w:r>
        <w:rPr>
          <w:color w:val="231F20"/>
        </w:rPr>
        <w:t>sostituita</w:t>
      </w:r>
      <w:r>
        <w:rPr>
          <w:color w:val="231F20"/>
          <w:spacing w:val="-9"/>
        </w:rPr>
        <w:t> </w:t>
      </w:r>
      <w:r>
        <w:rPr>
          <w:color w:val="231F20"/>
        </w:rPr>
        <w:t>dalla</w:t>
      </w:r>
      <w:r>
        <w:rPr>
          <w:color w:val="231F20"/>
          <w:spacing w:val="-9"/>
        </w:rPr>
        <w:t> </w:t>
      </w:r>
      <w:r>
        <w:rPr>
          <w:color w:val="231F20"/>
        </w:rPr>
        <w:t>direttiva</w:t>
      </w:r>
      <w:r>
        <w:rPr>
          <w:color w:val="231F20"/>
          <w:spacing w:val="-9"/>
        </w:rPr>
        <w:t> </w:t>
      </w:r>
      <w:r>
        <w:rPr>
          <w:color w:val="231F20"/>
        </w:rPr>
        <w:t>(CE) 2008/55</w:t>
      </w:r>
      <w:r>
        <w:rPr>
          <w:color w:val="231F20"/>
          <w:position w:val="8"/>
          <w:sz w:val="14"/>
        </w:rPr>
        <w:t>151</w:t>
      </w:r>
      <w:r>
        <w:rPr>
          <w:color w:val="231F20"/>
        </w:rPr>
        <w:t>, la quale è stata a sua volta abrogata e sostituita dalla direttiva </w:t>
      </w:r>
      <w:r>
        <w:rPr>
          <w:color w:val="231F20"/>
          <w:spacing w:val="-2"/>
        </w:rPr>
        <w:t>(UE)</w:t>
      </w:r>
      <w:r>
        <w:rPr>
          <w:color w:val="231F20"/>
          <w:spacing w:val="-6"/>
        </w:rPr>
        <w:t> </w:t>
      </w:r>
      <w:r>
        <w:rPr>
          <w:color w:val="231F20"/>
          <w:spacing w:val="-2"/>
        </w:rPr>
        <w:t>2010/24</w:t>
      </w:r>
      <w:r>
        <w:rPr>
          <w:color w:val="231F20"/>
          <w:spacing w:val="-6"/>
        </w:rPr>
        <w:t> </w:t>
      </w:r>
      <w:r>
        <w:rPr>
          <w:color w:val="231F20"/>
          <w:spacing w:val="-2"/>
        </w:rPr>
        <w:t>attualmente</w:t>
      </w:r>
      <w:r>
        <w:rPr>
          <w:color w:val="231F20"/>
          <w:spacing w:val="-6"/>
        </w:rPr>
        <w:t> </w:t>
      </w:r>
      <w:r>
        <w:rPr>
          <w:color w:val="231F20"/>
          <w:spacing w:val="-2"/>
        </w:rPr>
        <w:t>in</w:t>
      </w:r>
      <w:r>
        <w:rPr>
          <w:color w:val="231F20"/>
          <w:spacing w:val="-6"/>
        </w:rPr>
        <w:t> </w:t>
      </w:r>
      <w:r>
        <w:rPr>
          <w:color w:val="231F20"/>
          <w:spacing w:val="-2"/>
        </w:rPr>
        <w:t>vigore</w:t>
      </w:r>
      <w:r>
        <w:rPr>
          <w:color w:val="231F20"/>
          <w:spacing w:val="-2"/>
          <w:position w:val="8"/>
          <w:sz w:val="14"/>
        </w:rPr>
        <w:t>152</w:t>
      </w:r>
      <w:r>
        <w:rPr>
          <w:color w:val="231F20"/>
          <w:spacing w:val="-2"/>
        </w:rPr>
        <w:t>.</w:t>
      </w:r>
      <w:r>
        <w:rPr>
          <w:color w:val="231F20"/>
          <w:spacing w:val="-6"/>
        </w:rPr>
        <w:t> </w:t>
      </w:r>
      <w:r>
        <w:rPr>
          <w:color w:val="231F20"/>
          <w:spacing w:val="-2"/>
        </w:rPr>
        <w:t>Anche</w:t>
      </w:r>
      <w:r>
        <w:rPr>
          <w:color w:val="231F20"/>
          <w:spacing w:val="-6"/>
        </w:rPr>
        <w:t> </w:t>
      </w:r>
      <w:r>
        <w:rPr>
          <w:color w:val="231F20"/>
          <w:spacing w:val="-2"/>
        </w:rPr>
        <w:t>tali</w:t>
      </w:r>
      <w:r>
        <w:rPr>
          <w:color w:val="231F20"/>
          <w:spacing w:val="-6"/>
        </w:rPr>
        <w:t> </w:t>
      </w:r>
      <w:r>
        <w:rPr>
          <w:color w:val="231F20"/>
          <w:spacing w:val="-2"/>
        </w:rPr>
        <w:t>direttive</w:t>
      </w:r>
      <w:r>
        <w:rPr>
          <w:color w:val="231F20"/>
          <w:spacing w:val="-6"/>
        </w:rPr>
        <w:t> </w:t>
      </w:r>
      <w:r>
        <w:rPr>
          <w:color w:val="231F20"/>
          <w:spacing w:val="-2"/>
        </w:rPr>
        <w:t>non</w:t>
      </w:r>
      <w:r>
        <w:rPr>
          <w:color w:val="231F20"/>
          <w:spacing w:val="-6"/>
        </w:rPr>
        <w:t> </w:t>
      </w:r>
      <w:r>
        <w:rPr>
          <w:color w:val="231F20"/>
          <w:spacing w:val="-2"/>
        </w:rPr>
        <w:t>hanno</w:t>
      </w:r>
      <w:r>
        <w:rPr>
          <w:color w:val="231F20"/>
          <w:spacing w:val="-6"/>
        </w:rPr>
        <w:t> </w:t>
      </w:r>
      <w:r>
        <w:rPr>
          <w:color w:val="231F20"/>
          <w:spacing w:val="-2"/>
        </w:rPr>
        <w:t>dato </w:t>
      </w:r>
      <w:r>
        <w:rPr>
          <w:color w:val="231F20"/>
        </w:rPr>
        <w:t>luogo a molte pronunce interpretative della Corte di giustizia, ma due di queste presentano un particolare interesse sotto il profilo della definizione di due principi generali rispettivamente di diritto istituzionale e di diritto tributario</w:t>
      </w:r>
      <w:r>
        <w:rPr>
          <w:color w:val="231F20"/>
          <w:spacing w:val="-14"/>
        </w:rPr>
        <w:t> </w:t>
      </w:r>
      <w:r>
        <w:rPr>
          <w:color w:val="231F20"/>
        </w:rPr>
        <w:t>dell’Unione:</w:t>
      </w:r>
      <w:r>
        <w:rPr>
          <w:color w:val="231F20"/>
          <w:spacing w:val="-14"/>
        </w:rPr>
        <w:t> </w:t>
      </w:r>
      <w:r>
        <w:rPr>
          <w:color w:val="231F20"/>
        </w:rPr>
        <w:t>il</w:t>
      </w:r>
      <w:r>
        <w:rPr>
          <w:color w:val="231F20"/>
          <w:spacing w:val="-14"/>
        </w:rPr>
        <w:t> </w:t>
      </w:r>
      <w:r>
        <w:rPr>
          <w:color w:val="231F20"/>
        </w:rPr>
        <w:t>diritto</w:t>
      </w:r>
      <w:r>
        <w:rPr>
          <w:color w:val="231F20"/>
          <w:spacing w:val="-14"/>
        </w:rPr>
        <w:t> </w:t>
      </w:r>
      <w:r>
        <w:rPr>
          <w:color w:val="231F20"/>
        </w:rPr>
        <w:t>ad</w:t>
      </w:r>
      <w:r>
        <w:rPr>
          <w:color w:val="231F20"/>
          <w:spacing w:val="-14"/>
        </w:rPr>
        <w:t> </w:t>
      </w:r>
      <w:r>
        <w:rPr>
          <w:color w:val="231F20"/>
        </w:rPr>
        <w:t>un</w:t>
      </w:r>
      <w:r>
        <w:rPr>
          <w:color w:val="231F20"/>
          <w:spacing w:val="-14"/>
        </w:rPr>
        <w:t> </w:t>
      </w:r>
      <w:r>
        <w:rPr>
          <w:color w:val="231F20"/>
        </w:rPr>
        <w:t>ricorso</w:t>
      </w:r>
      <w:r>
        <w:rPr>
          <w:color w:val="231F20"/>
          <w:spacing w:val="-14"/>
        </w:rPr>
        <w:t> </w:t>
      </w:r>
      <w:r>
        <w:rPr>
          <w:color w:val="231F20"/>
        </w:rPr>
        <w:t>giurisdizionale</w:t>
      </w:r>
      <w:r>
        <w:rPr>
          <w:color w:val="231F20"/>
          <w:spacing w:val="-14"/>
        </w:rPr>
        <w:t> </w:t>
      </w:r>
      <w:r>
        <w:rPr>
          <w:color w:val="231F20"/>
        </w:rPr>
        <w:t>effettivo</w:t>
      </w:r>
      <w:r>
        <w:rPr>
          <w:color w:val="231F20"/>
          <w:spacing w:val="-14"/>
        </w:rPr>
        <w:t> </w:t>
      </w:r>
      <w:r>
        <w:rPr>
          <w:color w:val="231F20"/>
        </w:rPr>
        <w:t>e</w:t>
      </w:r>
      <w:r>
        <w:rPr>
          <w:color w:val="231F20"/>
          <w:spacing w:val="-14"/>
        </w:rPr>
        <w:t> </w:t>
      </w:r>
      <w:r>
        <w:rPr>
          <w:color w:val="231F20"/>
        </w:rPr>
        <w:t>l’il- legittimità</w:t>
      </w:r>
      <w:r>
        <w:rPr>
          <w:color w:val="231F20"/>
          <w:spacing w:val="-15"/>
        </w:rPr>
        <w:t> </w:t>
      </w:r>
      <w:r>
        <w:rPr>
          <w:color w:val="231F20"/>
        </w:rPr>
        <w:t>di</w:t>
      </w:r>
      <w:r>
        <w:rPr>
          <w:color w:val="231F20"/>
          <w:spacing w:val="-15"/>
        </w:rPr>
        <w:t> </w:t>
      </w:r>
      <w:r>
        <w:rPr>
          <w:color w:val="231F20"/>
        </w:rPr>
        <w:t>un</w:t>
      </w:r>
      <w:r>
        <w:rPr>
          <w:color w:val="231F20"/>
          <w:spacing w:val="-15"/>
        </w:rPr>
        <w:t> </w:t>
      </w:r>
      <w:r>
        <w:rPr>
          <w:color w:val="231F20"/>
        </w:rPr>
        <w:t>duplice</w:t>
      </w:r>
      <w:r>
        <w:rPr>
          <w:color w:val="231F20"/>
          <w:spacing w:val="-15"/>
        </w:rPr>
        <w:t> </w:t>
      </w:r>
      <w:r>
        <w:rPr>
          <w:color w:val="231F20"/>
        </w:rPr>
        <w:t>assoggettamento</w:t>
      </w:r>
      <w:r>
        <w:rPr>
          <w:color w:val="231F20"/>
          <w:spacing w:val="-15"/>
        </w:rPr>
        <w:t> </w:t>
      </w:r>
      <w:r>
        <w:rPr>
          <w:color w:val="231F20"/>
        </w:rPr>
        <w:t>delle</w:t>
      </w:r>
      <w:r>
        <w:rPr>
          <w:color w:val="231F20"/>
          <w:spacing w:val="-15"/>
        </w:rPr>
        <w:t> </w:t>
      </w:r>
      <w:r>
        <w:rPr>
          <w:color w:val="231F20"/>
        </w:rPr>
        <w:t>medesime</w:t>
      </w:r>
      <w:r>
        <w:rPr>
          <w:color w:val="231F20"/>
          <w:spacing w:val="-15"/>
        </w:rPr>
        <w:t> </w:t>
      </w:r>
      <w:r>
        <w:rPr>
          <w:color w:val="231F20"/>
        </w:rPr>
        <w:t>operazioni</w:t>
      </w:r>
      <w:r>
        <w:rPr>
          <w:color w:val="231F20"/>
          <w:spacing w:val="-15"/>
        </w:rPr>
        <w:t> </w:t>
      </w:r>
      <w:r>
        <w:rPr>
          <w:color w:val="231F20"/>
        </w:rPr>
        <w:t>impo- nibili ad un’accisa armonizzata da parte di due diversi Stati membri.</w:t>
      </w:r>
    </w:p>
    <w:p>
      <w:pPr>
        <w:pStyle w:val="BodyText"/>
        <w:spacing w:before="3"/>
        <w:rPr>
          <w:sz w:val="11"/>
        </w:rPr>
      </w:pPr>
      <w:r>
        <w:rPr/>
        <mc:AlternateContent>
          <mc:Choice Requires="wps">
            <w:drawing>
              <wp:anchor distT="0" distB="0" distL="0" distR="0" allowOverlap="1" layoutInCell="1" locked="0" behindDoc="1" simplePos="0" relativeHeight="487654912">
                <wp:simplePos x="0" y="0"/>
                <wp:positionH relativeFrom="page">
                  <wp:posOffset>899999</wp:posOffset>
                </wp:positionH>
                <wp:positionV relativeFrom="paragraph">
                  <wp:posOffset>106185</wp:posOffset>
                </wp:positionV>
                <wp:extent cx="792480" cy="1270"/>
                <wp:effectExtent l="0" t="0" r="0" b="0"/>
                <wp:wrapTopAndBottom/>
                <wp:docPr id="216" name="Graphic 216"/>
                <wp:cNvGraphicFramePr>
                  <a:graphicFrameLocks/>
                </wp:cNvGraphicFramePr>
                <a:graphic>
                  <a:graphicData uri="http://schemas.microsoft.com/office/word/2010/wordprocessingShape">
                    <wps:wsp>
                      <wps:cNvPr id="216" name="Graphic 216"/>
                      <wps:cNvSpPr/>
                      <wps:spPr>
                        <a:xfrm>
                          <a:off x="0" y="0"/>
                          <a:ext cx="792480" cy="1270"/>
                        </a:xfrm>
                        <a:custGeom>
                          <a:avLst/>
                          <a:gdLst/>
                          <a:ahLst/>
                          <a:cxnLst/>
                          <a:rect l="l" t="t" r="r" b="b"/>
                          <a:pathLst>
                            <a:path w="792480" h="0">
                              <a:moveTo>
                                <a:pt x="0" y="0"/>
                              </a:moveTo>
                              <a:lnTo>
                                <a:pt x="791997"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shape style="position:absolute;margin-left:70.866096pt;margin-top:8.3611pt;width:62.4pt;height:.1pt;mso-position-horizontal-relative:page;mso-position-vertical-relative:paragraph;z-index:-15661568;mso-wrap-distance-left:0;mso-wrap-distance-right:0" id="docshape179" coordorigin="1417,167" coordsize="1248,0" path="m1417,167l2665,167e" filled="false" stroked="true" strokeweight=".5pt" strokecolor="#231f20">
                <v:path arrowok="t"/>
                <v:stroke dashstyle="solid"/>
                <w10:wrap type="topAndBottom"/>
              </v:shape>
            </w:pict>
          </mc:Fallback>
        </mc:AlternateContent>
      </w:r>
    </w:p>
    <w:p>
      <w:pPr>
        <w:spacing w:line="235" w:lineRule="exact" w:before="190"/>
        <w:ind w:left="157" w:right="0" w:firstLine="0"/>
        <w:jc w:val="left"/>
        <w:rPr>
          <w:sz w:val="19"/>
        </w:rPr>
      </w:pPr>
      <w:r>
        <w:rPr>
          <w:color w:val="231F20"/>
          <w:position w:val="6"/>
          <w:sz w:val="11"/>
        </w:rPr>
        <w:t>148</w:t>
      </w:r>
      <w:r>
        <w:rPr>
          <w:color w:val="231F20"/>
          <w:spacing w:val="79"/>
          <w:position w:val="6"/>
          <w:sz w:val="11"/>
        </w:rPr>
        <w:t> </w:t>
      </w:r>
      <w:r>
        <w:rPr>
          <w:color w:val="231F20"/>
          <w:sz w:val="19"/>
        </w:rPr>
        <w:t>Corte Giust. UE, C-186/20,</w:t>
      </w:r>
      <w:r>
        <w:rPr>
          <w:color w:val="231F20"/>
          <w:spacing w:val="-1"/>
          <w:sz w:val="19"/>
        </w:rPr>
        <w:t> </w:t>
      </w:r>
      <w:r>
        <w:rPr>
          <w:color w:val="231F20"/>
          <w:sz w:val="19"/>
        </w:rPr>
        <w:t>ult. cit., punti da 35 a </w:t>
      </w:r>
      <w:r>
        <w:rPr>
          <w:color w:val="231F20"/>
          <w:spacing w:val="-5"/>
          <w:sz w:val="19"/>
        </w:rPr>
        <w:t>37.</w:t>
      </w:r>
    </w:p>
    <w:p>
      <w:pPr>
        <w:spacing w:line="228" w:lineRule="exact" w:before="0"/>
        <w:ind w:left="157" w:right="0" w:firstLine="0"/>
        <w:jc w:val="left"/>
        <w:rPr>
          <w:sz w:val="19"/>
        </w:rPr>
      </w:pPr>
      <w:r>
        <w:rPr>
          <w:color w:val="231F20"/>
          <w:position w:val="6"/>
          <w:sz w:val="11"/>
        </w:rPr>
        <w:t>149</w:t>
      </w:r>
      <w:r>
        <w:rPr>
          <w:color w:val="231F20"/>
          <w:spacing w:val="79"/>
          <w:position w:val="6"/>
          <w:sz w:val="11"/>
        </w:rPr>
        <w:t> </w:t>
      </w:r>
      <w:r>
        <w:rPr>
          <w:color w:val="231F20"/>
          <w:sz w:val="19"/>
        </w:rPr>
        <w:t>Corte Giust. UE,</w:t>
      </w:r>
      <w:r>
        <w:rPr>
          <w:color w:val="231F20"/>
          <w:spacing w:val="-1"/>
          <w:sz w:val="19"/>
        </w:rPr>
        <w:t> </w:t>
      </w:r>
      <w:r>
        <w:rPr>
          <w:color w:val="231F20"/>
          <w:sz w:val="19"/>
        </w:rPr>
        <w:t>C-186/20, ult. cit., punto </w:t>
      </w:r>
      <w:r>
        <w:rPr>
          <w:color w:val="231F20"/>
          <w:spacing w:val="-5"/>
          <w:sz w:val="19"/>
        </w:rPr>
        <w:t>43.</w:t>
      </w:r>
    </w:p>
    <w:p>
      <w:pPr>
        <w:spacing w:line="225" w:lineRule="auto" w:before="4"/>
        <w:ind w:left="157" w:right="0" w:firstLine="0"/>
        <w:jc w:val="left"/>
        <w:rPr>
          <w:sz w:val="19"/>
        </w:rPr>
      </w:pPr>
      <w:r>
        <w:rPr>
          <w:color w:val="231F20"/>
          <w:position w:val="6"/>
          <w:sz w:val="11"/>
        </w:rPr>
        <w:t>150</w:t>
      </w:r>
      <w:r>
        <w:rPr>
          <w:color w:val="231F20"/>
          <w:spacing w:val="80"/>
          <w:position w:val="6"/>
          <w:sz w:val="11"/>
        </w:rPr>
        <w:t> </w:t>
      </w:r>
      <w:r>
        <w:rPr>
          <w:color w:val="231F20"/>
          <w:sz w:val="19"/>
        </w:rPr>
        <w:t>Direttiva</w:t>
      </w:r>
      <w:r>
        <w:rPr>
          <w:color w:val="231F20"/>
          <w:spacing w:val="26"/>
          <w:sz w:val="19"/>
        </w:rPr>
        <w:t> </w:t>
      </w:r>
      <w:r>
        <w:rPr>
          <w:color w:val="231F20"/>
          <w:sz w:val="19"/>
        </w:rPr>
        <w:t>(CEE)</w:t>
      </w:r>
      <w:r>
        <w:rPr>
          <w:color w:val="231F20"/>
          <w:spacing w:val="26"/>
          <w:sz w:val="19"/>
        </w:rPr>
        <w:t> </w:t>
      </w:r>
      <w:r>
        <w:rPr>
          <w:color w:val="231F20"/>
          <w:sz w:val="19"/>
        </w:rPr>
        <w:t>76/308</w:t>
      </w:r>
      <w:r>
        <w:rPr>
          <w:color w:val="231F20"/>
          <w:spacing w:val="26"/>
          <w:sz w:val="19"/>
        </w:rPr>
        <w:t> </w:t>
      </w:r>
      <w:r>
        <w:rPr>
          <w:color w:val="231F20"/>
          <w:sz w:val="19"/>
        </w:rPr>
        <w:t>del</w:t>
      </w:r>
      <w:r>
        <w:rPr>
          <w:color w:val="231F20"/>
          <w:spacing w:val="26"/>
          <w:sz w:val="19"/>
        </w:rPr>
        <w:t> </w:t>
      </w:r>
      <w:r>
        <w:rPr>
          <w:color w:val="231F20"/>
          <w:sz w:val="19"/>
        </w:rPr>
        <w:t>Consiglio</w:t>
      </w:r>
      <w:r>
        <w:rPr>
          <w:color w:val="231F20"/>
          <w:spacing w:val="26"/>
          <w:sz w:val="19"/>
        </w:rPr>
        <w:t> </w:t>
      </w:r>
      <w:r>
        <w:rPr>
          <w:color w:val="231F20"/>
          <w:sz w:val="19"/>
        </w:rPr>
        <w:t>del</w:t>
      </w:r>
      <w:r>
        <w:rPr>
          <w:color w:val="231F20"/>
          <w:spacing w:val="26"/>
          <w:sz w:val="19"/>
        </w:rPr>
        <w:t> </w:t>
      </w:r>
      <w:r>
        <w:rPr>
          <w:color w:val="231F20"/>
          <w:sz w:val="19"/>
        </w:rPr>
        <w:t>15</w:t>
      </w:r>
      <w:r>
        <w:rPr>
          <w:color w:val="231F20"/>
          <w:spacing w:val="26"/>
          <w:sz w:val="19"/>
        </w:rPr>
        <w:t> </w:t>
      </w:r>
      <w:r>
        <w:rPr>
          <w:color w:val="231F20"/>
          <w:sz w:val="19"/>
        </w:rPr>
        <w:t>marzo</w:t>
      </w:r>
      <w:r>
        <w:rPr>
          <w:color w:val="231F20"/>
          <w:spacing w:val="26"/>
          <w:sz w:val="19"/>
        </w:rPr>
        <w:t> </w:t>
      </w:r>
      <w:r>
        <w:rPr>
          <w:color w:val="231F20"/>
          <w:sz w:val="19"/>
        </w:rPr>
        <w:t>1976</w:t>
      </w:r>
      <w:r>
        <w:rPr>
          <w:color w:val="231F20"/>
          <w:spacing w:val="26"/>
          <w:sz w:val="19"/>
        </w:rPr>
        <w:t> </w:t>
      </w:r>
      <w:r>
        <w:rPr>
          <w:color w:val="231F20"/>
          <w:sz w:val="19"/>
        </w:rPr>
        <w:t>«sull’assistenza</w:t>
      </w:r>
      <w:r>
        <w:rPr>
          <w:color w:val="231F20"/>
          <w:spacing w:val="26"/>
          <w:sz w:val="19"/>
        </w:rPr>
        <w:t> </w:t>
      </w:r>
      <w:r>
        <w:rPr>
          <w:color w:val="231F20"/>
          <w:sz w:val="19"/>
        </w:rPr>
        <w:t>reciproca</w:t>
      </w:r>
      <w:r>
        <w:rPr>
          <w:color w:val="231F20"/>
          <w:spacing w:val="26"/>
          <w:sz w:val="19"/>
        </w:rPr>
        <w:t> </w:t>
      </w:r>
      <w:r>
        <w:rPr>
          <w:color w:val="231F20"/>
          <w:sz w:val="19"/>
        </w:rPr>
        <w:t>in materia di recupero dei crediti risultanti da taluni contributi, dazi, imposte ed altre misure».</w:t>
      </w:r>
    </w:p>
    <w:p>
      <w:pPr>
        <w:spacing w:line="226" w:lineRule="exact" w:before="0"/>
        <w:ind w:left="157" w:right="0" w:firstLine="0"/>
        <w:jc w:val="left"/>
        <w:rPr>
          <w:sz w:val="19"/>
        </w:rPr>
      </w:pPr>
      <w:r>
        <w:rPr>
          <w:color w:val="231F20"/>
          <w:position w:val="6"/>
          <w:sz w:val="11"/>
        </w:rPr>
        <w:t>151</w:t>
      </w:r>
      <w:r>
        <w:rPr>
          <w:color w:val="231F20"/>
          <w:spacing w:val="78"/>
          <w:position w:val="6"/>
          <w:sz w:val="11"/>
        </w:rPr>
        <w:t> </w:t>
      </w:r>
      <w:r>
        <w:rPr>
          <w:color w:val="231F20"/>
          <w:sz w:val="19"/>
        </w:rPr>
        <w:t>Direttiva (CE) 2008/55</w:t>
      </w:r>
      <w:r>
        <w:rPr>
          <w:color w:val="231F20"/>
          <w:spacing w:val="-1"/>
          <w:sz w:val="19"/>
        </w:rPr>
        <w:t> </w:t>
      </w:r>
      <w:r>
        <w:rPr>
          <w:color w:val="231F20"/>
          <w:sz w:val="19"/>
        </w:rPr>
        <w:t>del Consiglio</w:t>
      </w:r>
      <w:r>
        <w:rPr>
          <w:color w:val="231F20"/>
          <w:spacing w:val="-1"/>
          <w:sz w:val="19"/>
        </w:rPr>
        <w:t> </w:t>
      </w:r>
      <w:r>
        <w:rPr>
          <w:color w:val="231F20"/>
          <w:sz w:val="19"/>
        </w:rPr>
        <w:t>del 26</w:t>
      </w:r>
      <w:r>
        <w:rPr>
          <w:color w:val="231F20"/>
          <w:spacing w:val="-1"/>
          <w:sz w:val="19"/>
        </w:rPr>
        <w:t> </w:t>
      </w:r>
      <w:r>
        <w:rPr>
          <w:color w:val="231F20"/>
          <w:sz w:val="19"/>
        </w:rPr>
        <w:t>maggio 2008</w:t>
      </w:r>
      <w:r>
        <w:rPr>
          <w:color w:val="231F20"/>
          <w:spacing w:val="-1"/>
          <w:sz w:val="19"/>
        </w:rPr>
        <w:t> </w:t>
      </w:r>
      <w:r>
        <w:rPr>
          <w:color w:val="231F20"/>
          <w:sz w:val="19"/>
        </w:rPr>
        <w:t>di identico</w:t>
      </w:r>
      <w:r>
        <w:rPr>
          <w:color w:val="231F20"/>
          <w:spacing w:val="-1"/>
          <w:sz w:val="19"/>
        </w:rPr>
        <w:t> </w:t>
      </w:r>
      <w:r>
        <w:rPr>
          <w:color w:val="231F20"/>
          <w:sz w:val="19"/>
        </w:rPr>
        <w:t>oggetto e </w:t>
      </w:r>
      <w:r>
        <w:rPr>
          <w:color w:val="231F20"/>
          <w:spacing w:val="-2"/>
          <w:sz w:val="19"/>
        </w:rPr>
        <w:t>titolo.</w:t>
      </w:r>
    </w:p>
    <w:p>
      <w:pPr>
        <w:spacing w:line="225" w:lineRule="auto" w:before="4"/>
        <w:ind w:left="157" w:right="0" w:firstLine="0"/>
        <w:jc w:val="left"/>
        <w:rPr>
          <w:sz w:val="19"/>
        </w:rPr>
      </w:pPr>
      <w:r>
        <w:rPr>
          <w:color w:val="231F20"/>
          <w:position w:val="6"/>
          <w:sz w:val="11"/>
        </w:rPr>
        <w:t>152</w:t>
      </w:r>
      <w:r>
        <w:rPr>
          <w:color w:val="231F20"/>
          <w:spacing w:val="73"/>
          <w:position w:val="6"/>
          <w:sz w:val="11"/>
        </w:rPr>
        <w:t> </w:t>
      </w:r>
      <w:r>
        <w:rPr>
          <w:color w:val="231F20"/>
          <w:sz w:val="19"/>
        </w:rPr>
        <w:t>Direttiva</w:t>
      </w:r>
      <w:r>
        <w:rPr>
          <w:color w:val="231F20"/>
          <w:spacing w:val="-4"/>
          <w:sz w:val="19"/>
        </w:rPr>
        <w:t> </w:t>
      </w:r>
      <w:r>
        <w:rPr>
          <w:color w:val="231F20"/>
          <w:sz w:val="19"/>
        </w:rPr>
        <w:t>(UE)</w:t>
      </w:r>
      <w:r>
        <w:rPr>
          <w:color w:val="231F20"/>
          <w:spacing w:val="-4"/>
          <w:sz w:val="19"/>
        </w:rPr>
        <w:t> </w:t>
      </w:r>
      <w:r>
        <w:rPr>
          <w:color w:val="231F20"/>
          <w:sz w:val="19"/>
        </w:rPr>
        <w:t>2010/24</w:t>
      </w:r>
      <w:r>
        <w:rPr>
          <w:color w:val="231F20"/>
          <w:spacing w:val="-4"/>
          <w:sz w:val="19"/>
        </w:rPr>
        <w:t> </w:t>
      </w:r>
      <w:r>
        <w:rPr>
          <w:color w:val="231F20"/>
          <w:sz w:val="19"/>
        </w:rPr>
        <w:t>del</w:t>
      </w:r>
      <w:r>
        <w:rPr>
          <w:color w:val="231F20"/>
          <w:spacing w:val="-4"/>
          <w:sz w:val="19"/>
        </w:rPr>
        <w:t> </w:t>
      </w:r>
      <w:r>
        <w:rPr>
          <w:color w:val="231F20"/>
          <w:sz w:val="19"/>
        </w:rPr>
        <w:t>Consiglio</w:t>
      </w:r>
      <w:r>
        <w:rPr>
          <w:color w:val="231F20"/>
          <w:spacing w:val="-4"/>
          <w:sz w:val="19"/>
        </w:rPr>
        <w:t> </w:t>
      </w:r>
      <w:r>
        <w:rPr>
          <w:color w:val="231F20"/>
          <w:sz w:val="19"/>
        </w:rPr>
        <w:t>del</w:t>
      </w:r>
      <w:r>
        <w:rPr>
          <w:color w:val="231F20"/>
          <w:spacing w:val="-4"/>
          <w:sz w:val="19"/>
        </w:rPr>
        <w:t> </w:t>
      </w:r>
      <w:r>
        <w:rPr>
          <w:color w:val="231F20"/>
          <w:sz w:val="19"/>
        </w:rPr>
        <w:t>16</w:t>
      </w:r>
      <w:r>
        <w:rPr>
          <w:color w:val="231F20"/>
          <w:spacing w:val="-4"/>
          <w:sz w:val="19"/>
        </w:rPr>
        <w:t> </w:t>
      </w:r>
      <w:r>
        <w:rPr>
          <w:color w:val="231F20"/>
          <w:sz w:val="19"/>
        </w:rPr>
        <w:t>marzo</w:t>
      </w:r>
      <w:r>
        <w:rPr>
          <w:color w:val="231F20"/>
          <w:spacing w:val="-4"/>
          <w:sz w:val="19"/>
        </w:rPr>
        <w:t> </w:t>
      </w:r>
      <w:r>
        <w:rPr>
          <w:color w:val="231F20"/>
          <w:sz w:val="19"/>
        </w:rPr>
        <w:t>2010,</w:t>
      </w:r>
      <w:r>
        <w:rPr>
          <w:color w:val="231F20"/>
          <w:spacing w:val="-4"/>
          <w:sz w:val="19"/>
        </w:rPr>
        <w:t> </w:t>
      </w:r>
      <w:r>
        <w:rPr>
          <w:color w:val="231F20"/>
          <w:sz w:val="19"/>
        </w:rPr>
        <w:t>pure</w:t>
      </w:r>
      <w:r>
        <w:rPr>
          <w:color w:val="231F20"/>
          <w:spacing w:val="-4"/>
          <w:sz w:val="19"/>
        </w:rPr>
        <w:t> </w:t>
      </w:r>
      <w:r>
        <w:rPr>
          <w:color w:val="231F20"/>
          <w:sz w:val="19"/>
        </w:rPr>
        <w:t>di</w:t>
      </w:r>
      <w:r>
        <w:rPr>
          <w:color w:val="231F20"/>
          <w:spacing w:val="-4"/>
          <w:sz w:val="19"/>
        </w:rPr>
        <w:t> </w:t>
      </w:r>
      <w:r>
        <w:rPr>
          <w:color w:val="231F20"/>
          <w:sz w:val="19"/>
        </w:rPr>
        <w:t>analogo</w:t>
      </w:r>
      <w:r>
        <w:rPr>
          <w:color w:val="231F20"/>
          <w:spacing w:val="-4"/>
          <w:sz w:val="19"/>
        </w:rPr>
        <w:t> </w:t>
      </w:r>
      <w:r>
        <w:rPr>
          <w:color w:val="231F20"/>
          <w:sz w:val="19"/>
        </w:rPr>
        <w:t>oggetto</w:t>
      </w:r>
      <w:r>
        <w:rPr>
          <w:color w:val="231F20"/>
          <w:spacing w:val="-4"/>
          <w:sz w:val="19"/>
        </w:rPr>
        <w:t> </w:t>
      </w:r>
      <w:r>
        <w:rPr>
          <w:color w:val="231F20"/>
          <w:sz w:val="19"/>
        </w:rPr>
        <w:t>e</w:t>
      </w:r>
      <w:r>
        <w:rPr>
          <w:color w:val="231F20"/>
          <w:spacing w:val="-4"/>
          <w:sz w:val="19"/>
        </w:rPr>
        <w:t> </w:t>
      </w:r>
      <w:r>
        <w:rPr>
          <w:color w:val="231F20"/>
          <w:sz w:val="19"/>
        </w:rPr>
        <w:t>titolo (v. </w:t>
      </w:r>
      <w:r>
        <w:rPr>
          <w:i/>
          <w:color w:val="231F20"/>
          <w:sz w:val="19"/>
        </w:rPr>
        <w:t>supra</w:t>
      </w:r>
      <w:r>
        <w:rPr>
          <w:color w:val="231F20"/>
          <w:sz w:val="19"/>
        </w:rPr>
        <w:t>, nota 5).</w:t>
      </w:r>
    </w:p>
    <w:p>
      <w:pPr>
        <w:spacing w:after="0" w:line="225" w:lineRule="auto"/>
        <w:jc w:val="left"/>
        <w:rPr>
          <w:sz w:val="19"/>
        </w:rPr>
        <w:sectPr>
          <w:pgSz w:w="9640" w:h="13610"/>
          <w:pgMar w:header="0" w:footer="625" w:top="1260" w:bottom="820" w:left="1260" w:right="1240"/>
        </w:sectPr>
      </w:pPr>
    </w:p>
    <w:p>
      <w:pPr>
        <w:pStyle w:val="ListParagraph"/>
        <w:numPr>
          <w:ilvl w:val="1"/>
          <w:numId w:val="4"/>
        </w:numPr>
        <w:tabs>
          <w:tab w:pos="526" w:val="left" w:leader="none"/>
        </w:tabs>
        <w:spacing w:line="240" w:lineRule="auto" w:before="110" w:after="0"/>
        <w:ind w:left="526" w:right="0" w:hanging="426"/>
        <w:jc w:val="left"/>
        <w:rPr>
          <w:b/>
          <w:sz w:val="24"/>
        </w:rPr>
      </w:pPr>
      <w:r>
        <w:rPr>
          <w:b/>
          <w:color w:val="231F20"/>
          <w:sz w:val="24"/>
        </w:rPr>
        <w:t>La</w:t>
      </w:r>
      <w:r>
        <w:rPr>
          <w:b/>
          <w:color w:val="231F20"/>
          <w:spacing w:val="-1"/>
          <w:sz w:val="24"/>
        </w:rPr>
        <w:t> </w:t>
      </w:r>
      <w:r>
        <w:rPr>
          <w:b/>
          <w:color w:val="231F20"/>
          <w:sz w:val="24"/>
        </w:rPr>
        <w:t>sentenza del 26</w:t>
      </w:r>
      <w:r>
        <w:rPr>
          <w:b/>
          <w:color w:val="231F20"/>
          <w:spacing w:val="-1"/>
          <w:sz w:val="24"/>
        </w:rPr>
        <w:t> </w:t>
      </w:r>
      <w:r>
        <w:rPr>
          <w:b/>
          <w:color w:val="231F20"/>
          <w:sz w:val="24"/>
        </w:rPr>
        <w:t>aprile 2018, C-34/17, </w:t>
      </w:r>
      <w:r>
        <w:rPr>
          <w:b/>
          <w:color w:val="231F20"/>
          <w:spacing w:val="-2"/>
          <w:sz w:val="24"/>
        </w:rPr>
        <w:t>Donnellan</w:t>
      </w:r>
    </w:p>
    <w:p>
      <w:pPr>
        <w:pStyle w:val="BodyText"/>
        <w:spacing w:line="225" w:lineRule="auto" w:before="268"/>
        <w:ind w:left="100" w:right="174"/>
        <w:jc w:val="both"/>
      </w:pPr>
      <w:r>
        <w:rPr>
          <w:color w:val="231F20"/>
        </w:rPr>
        <w:t>La</w:t>
      </w:r>
      <w:r>
        <w:rPr>
          <w:color w:val="231F20"/>
          <w:spacing w:val="-11"/>
        </w:rPr>
        <w:t> </w:t>
      </w:r>
      <w:r>
        <w:rPr>
          <w:color w:val="231F20"/>
        </w:rPr>
        <w:t>singolare</w:t>
      </w:r>
      <w:r>
        <w:rPr>
          <w:color w:val="231F20"/>
          <w:spacing w:val="-11"/>
        </w:rPr>
        <w:t> </w:t>
      </w:r>
      <w:r>
        <w:rPr>
          <w:color w:val="231F20"/>
        </w:rPr>
        <w:t>vicenda</w:t>
      </w:r>
      <w:r>
        <w:rPr>
          <w:color w:val="231F20"/>
          <w:spacing w:val="-11"/>
        </w:rPr>
        <w:t> </w:t>
      </w:r>
      <w:r>
        <w:rPr>
          <w:color w:val="231F20"/>
        </w:rPr>
        <w:t>del</w:t>
      </w:r>
      <w:r>
        <w:rPr>
          <w:color w:val="231F20"/>
          <w:spacing w:val="-11"/>
        </w:rPr>
        <w:t> </w:t>
      </w:r>
      <w:r>
        <w:rPr>
          <w:color w:val="231F20"/>
        </w:rPr>
        <w:t>sig.</w:t>
      </w:r>
      <w:r>
        <w:rPr>
          <w:color w:val="231F20"/>
          <w:spacing w:val="-11"/>
        </w:rPr>
        <w:t> </w:t>
      </w:r>
      <w:r>
        <w:rPr>
          <w:i/>
          <w:color w:val="231F20"/>
        </w:rPr>
        <w:t>Donnellan153</w:t>
      </w:r>
      <w:r>
        <w:rPr>
          <w:i/>
          <w:color w:val="231F20"/>
          <w:spacing w:val="-11"/>
        </w:rPr>
        <w:t> </w:t>
      </w:r>
      <w:r>
        <w:rPr>
          <w:color w:val="231F20"/>
        </w:rPr>
        <w:t>ha</w:t>
      </w:r>
      <w:r>
        <w:rPr>
          <w:color w:val="231F20"/>
          <w:spacing w:val="-11"/>
        </w:rPr>
        <w:t> </w:t>
      </w:r>
      <w:r>
        <w:rPr>
          <w:color w:val="231F20"/>
        </w:rPr>
        <w:t>fornito</w:t>
      </w:r>
      <w:r>
        <w:rPr>
          <w:color w:val="231F20"/>
          <w:spacing w:val="-11"/>
        </w:rPr>
        <w:t> </w:t>
      </w:r>
      <w:r>
        <w:rPr>
          <w:color w:val="231F20"/>
        </w:rPr>
        <w:t>alla</w:t>
      </w:r>
      <w:r>
        <w:rPr>
          <w:color w:val="231F20"/>
          <w:spacing w:val="-11"/>
        </w:rPr>
        <w:t> </w:t>
      </w:r>
      <w:r>
        <w:rPr>
          <w:color w:val="231F20"/>
        </w:rPr>
        <w:t>Corte</w:t>
      </w:r>
      <w:r>
        <w:rPr>
          <w:color w:val="231F20"/>
          <w:spacing w:val="-11"/>
        </w:rPr>
        <w:t> </w:t>
      </w:r>
      <w:r>
        <w:rPr>
          <w:color w:val="231F20"/>
        </w:rPr>
        <w:t>di</w:t>
      </w:r>
      <w:r>
        <w:rPr>
          <w:color w:val="231F20"/>
          <w:spacing w:val="-11"/>
        </w:rPr>
        <w:t> </w:t>
      </w:r>
      <w:r>
        <w:rPr>
          <w:color w:val="231F20"/>
        </w:rPr>
        <w:t>giustizia l’occasione di interpretare varie disposizioni della direttiva (UE) </w:t>
      </w:r>
      <w:r>
        <w:rPr>
          <w:color w:val="231F20"/>
        </w:rPr>
        <w:t>2010/24 alla luce dell’art. 47 della Carta dei diritti fondamentali, che garantisce ad ogni persona alla quale si applica il diritto dell’Unione il «diritto ad un ri- corso</w:t>
      </w:r>
      <w:r>
        <w:rPr>
          <w:color w:val="231F20"/>
          <w:spacing w:val="-3"/>
        </w:rPr>
        <w:t> </w:t>
      </w:r>
      <w:r>
        <w:rPr>
          <w:color w:val="231F20"/>
        </w:rPr>
        <w:t>effettivo</w:t>
      </w:r>
      <w:r>
        <w:rPr>
          <w:color w:val="231F20"/>
          <w:spacing w:val="-3"/>
        </w:rPr>
        <w:t> </w:t>
      </w:r>
      <w:r>
        <w:rPr>
          <w:color w:val="231F20"/>
        </w:rPr>
        <w:t>dinanzi</w:t>
      </w:r>
      <w:r>
        <w:rPr>
          <w:color w:val="231F20"/>
          <w:spacing w:val="-3"/>
        </w:rPr>
        <w:t> </w:t>
      </w:r>
      <w:r>
        <w:rPr>
          <w:color w:val="231F20"/>
        </w:rPr>
        <w:t>ad</w:t>
      </w:r>
      <w:r>
        <w:rPr>
          <w:color w:val="231F20"/>
          <w:spacing w:val="-3"/>
        </w:rPr>
        <w:t> </w:t>
      </w:r>
      <w:r>
        <w:rPr>
          <w:color w:val="231F20"/>
        </w:rPr>
        <w:t>un</w:t>
      </w:r>
      <w:r>
        <w:rPr>
          <w:color w:val="231F20"/>
          <w:spacing w:val="-3"/>
        </w:rPr>
        <w:t> </w:t>
      </w:r>
      <w:r>
        <w:rPr>
          <w:color w:val="231F20"/>
        </w:rPr>
        <w:t>giudice».</w:t>
      </w:r>
      <w:r>
        <w:rPr>
          <w:color w:val="231F20"/>
          <w:spacing w:val="-3"/>
        </w:rPr>
        <w:t> </w:t>
      </w:r>
      <w:r>
        <w:rPr>
          <w:color w:val="231F20"/>
        </w:rPr>
        <w:t>Il</w:t>
      </w:r>
      <w:r>
        <w:rPr>
          <w:color w:val="231F20"/>
          <w:spacing w:val="-3"/>
        </w:rPr>
        <w:t> </w:t>
      </w:r>
      <w:r>
        <w:rPr>
          <w:color w:val="231F20"/>
        </w:rPr>
        <w:t>sig.</w:t>
      </w:r>
      <w:r>
        <w:rPr>
          <w:color w:val="231F20"/>
          <w:spacing w:val="-3"/>
        </w:rPr>
        <w:t> </w:t>
      </w:r>
      <w:r>
        <w:rPr>
          <w:i/>
          <w:color w:val="231F20"/>
        </w:rPr>
        <w:t>Donnellan</w:t>
      </w:r>
      <w:r>
        <w:rPr>
          <w:i/>
          <w:color w:val="231F20"/>
          <w:spacing w:val="-3"/>
        </w:rPr>
        <w:t> </w:t>
      </w:r>
      <w:r>
        <w:rPr>
          <w:color w:val="231F20"/>
        </w:rPr>
        <w:t>era</w:t>
      </w:r>
      <w:r>
        <w:rPr>
          <w:color w:val="231F20"/>
          <w:spacing w:val="-3"/>
        </w:rPr>
        <w:t> </w:t>
      </w:r>
      <w:r>
        <w:rPr>
          <w:color w:val="231F20"/>
        </w:rPr>
        <w:t>un</w:t>
      </w:r>
      <w:r>
        <w:rPr>
          <w:color w:val="231F20"/>
          <w:spacing w:val="-3"/>
        </w:rPr>
        <w:t> </w:t>
      </w:r>
      <w:r>
        <w:rPr>
          <w:color w:val="231F20"/>
        </w:rPr>
        <w:t>conducente irlandese</w:t>
      </w:r>
      <w:r>
        <w:rPr>
          <w:color w:val="231F20"/>
          <w:spacing w:val="-2"/>
        </w:rPr>
        <w:t> </w:t>
      </w:r>
      <w:r>
        <w:rPr>
          <w:color w:val="231F20"/>
        </w:rPr>
        <w:t>di</w:t>
      </w:r>
      <w:r>
        <w:rPr>
          <w:color w:val="231F20"/>
          <w:spacing w:val="-2"/>
        </w:rPr>
        <w:t> </w:t>
      </w:r>
      <w:r>
        <w:rPr>
          <w:color w:val="231F20"/>
        </w:rPr>
        <w:t>veicoli</w:t>
      </w:r>
      <w:r>
        <w:rPr>
          <w:color w:val="231F20"/>
          <w:spacing w:val="-2"/>
        </w:rPr>
        <w:t> </w:t>
      </w:r>
      <w:r>
        <w:rPr>
          <w:color w:val="231F20"/>
        </w:rPr>
        <w:t>pesanti,</w:t>
      </w:r>
      <w:r>
        <w:rPr>
          <w:color w:val="231F20"/>
          <w:spacing w:val="-2"/>
        </w:rPr>
        <w:t> </w:t>
      </w:r>
      <w:r>
        <w:rPr>
          <w:color w:val="231F20"/>
        </w:rPr>
        <w:t>in</w:t>
      </w:r>
      <w:r>
        <w:rPr>
          <w:color w:val="231F20"/>
          <w:spacing w:val="-2"/>
        </w:rPr>
        <w:t> </w:t>
      </w:r>
      <w:r>
        <w:rPr>
          <w:color w:val="231F20"/>
        </w:rPr>
        <w:t>un</w:t>
      </w:r>
      <w:r>
        <w:rPr>
          <w:color w:val="231F20"/>
          <w:spacing w:val="-2"/>
        </w:rPr>
        <w:t> </w:t>
      </w:r>
      <w:r>
        <w:rPr>
          <w:color w:val="231F20"/>
        </w:rPr>
        <w:t>primo</w:t>
      </w:r>
      <w:r>
        <w:rPr>
          <w:color w:val="231F20"/>
          <w:spacing w:val="-2"/>
        </w:rPr>
        <w:t> </w:t>
      </w:r>
      <w:r>
        <w:rPr>
          <w:color w:val="231F20"/>
        </w:rPr>
        <w:t>tempo</w:t>
      </w:r>
      <w:r>
        <w:rPr>
          <w:color w:val="231F20"/>
          <w:spacing w:val="-2"/>
        </w:rPr>
        <w:t> </w:t>
      </w:r>
      <w:r>
        <w:rPr>
          <w:color w:val="231F20"/>
        </w:rPr>
        <w:t>arrestato</w:t>
      </w:r>
      <w:r>
        <w:rPr>
          <w:color w:val="231F20"/>
          <w:spacing w:val="-2"/>
        </w:rPr>
        <w:t> </w:t>
      </w:r>
      <w:r>
        <w:rPr>
          <w:color w:val="231F20"/>
        </w:rPr>
        <w:t>e</w:t>
      </w:r>
      <w:r>
        <w:rPr>
          <w:color w:val="231F20"/>
          <w:spacing w:val="-2"/>
        </w:rPr>
        <w:t> </w:t>
      </w:r>
      <w:r>
        <w:rPr>
          <w:color w:val="231F20"/>
        </w:rPr>
        <w:t>condannato</w:t>
      </w:r>
      <w:r>
        <w:rPr>
          <w:color w:val="231F20"/>
          <w:spacing w:val="-2"/>
        </w:rPr>
        <w:t> </w:t>
      </w:r>
      <w:r>
        <w:rPr>
          <w:color w:val="231F20"/>
        </w:rPr>
        <w:t>per contrabbando di sigarette da un tribunale penale greco e successivamente </w:t>
      </w:r>
      <w:r>
        <w:rPr>
          <w:color w:val="231F20"/>
          <w:spacing w:val="-2"/>
        </w:rPr>
        <w:t>assolto</w:t>
      </w:r>
      <w:r>
        <w:rPr>
          <w:color w:val="231F20"/>
          <w:spacing w:val="-7"/>
        </w:rPr>
        <w:t> </w:t>
      </w:r>
      <w:r>
        <w:rPr>
          <w:color w:val="231F20"/>
          <w:spacing w:val="-2"/>
        </w:rPr>
        <w:t>in</w:t>
      </w:r>
      <w:r>
        <w:rPr>
          <w:color w:val="231F20"/>
          <w:spacing w:val="-7"/>
        </w:rPr>
        <w:t> </w:t>
      </w:r>
      <w:r>
        <w:rPr>
          <w:color w:val="231F20"/>
          <w:spacing w:val="-2"/>
        </w:rPr>
        <w:t>appello</w:t>
      </w:r>
      <w:r>
        <w:rPr>
          <w:color w:val="231F20"/>
          <w:spacing w:val="-7"/>
        </w:rPr>
        <w:t> </w:t>
      </w:r>
      <w:r>
        <w:rPr>
          <w:color w:val="231F20"/>
          <w:spacing w:val="-2"/>
        </w:rPr>
        <w:t>e</w:t>
      </w:r>
      <w:r>
        <w:rPr>
          <w:color w:val="231F20"/>
          <w:spacing w:val="-7"/>
        </w:rPr>
        <w:t> </w:t>
      </w:r>
      <w:r>
        <w:rPr>
          <w:color w:val="231F20"/>
          <w:spacing w:val="-2"/>
        </w:rPr>
        <w:t>immediatamente</w:t>
      </w:r>
      <w:r>
        <w:rPr>
          <w:color w:val="231F20"/>
          <w:spacing w:val="-7"/>
        </w:rPr>
        <w:t> </w:t>
      </w:r>
      <w:r>
        <w:rPr>
          <w:color w:val="231F20"/>
          <w:spacing w:val="-2"/>
        </w:rPr>
        <w:t>rilasciato.</w:t>
      </w:r>
      <w:r>
        <w:rPr>
          <w:color w:val="231F20"/>
          <w:spacing w:val="-7"/>
        </w:rPr>
        <w:t> </w:t>
      </w:r>
      <w:r>
        <w:rPr>
          <w:color w:val="231F20"/>
          <w:spacing w:val="-2"/>
        </w:rPr>
        <w:t>Sette</w:t>
      </w:r>
      <w:r>
        <w:rPr>
          <w:color w:val="231F20"/>
          <w:spacing w:val="-7"/>
        </w:rPr>
        <w:t> </w:t>
      </w:r>
      <w:r>
        <w:rPr>
          <w:color w:val="231F20"/>
          <w:spacing w:val="-2"/>
        </w:rPr>
        <w:t>anni</w:t>
      </w:r>
      <w:r>
        <w:rPr>
          <w:color w:val="231F20"/>
          <w:spacing w:val="-7"/>
        </w:rPr>
        <w:t> </w:t>
      </w:r>
      <w:r>
        <w:rPr>
          <w:color w:val="231F20"/>
          <w:spacing w:val="-2"/>
        </w:rPr>
        <w:t>dopo</w:t>
      </w:r>
      <w:r>
        <w:rPr>
          <w:color w:val="231F20"/>
          <w:spacing w:val="-7"/>
        </w:rPr>
        <w:t> </w:t>
      </w:r>
      <w:r>
        <w:rPr>
          <w:color w:val="231F20"/>
          <w:spacing w:val="-2"/>
        </w:rPr>
        <w:t>tali</w:t>
      </w:r>
      <w:r>
        <w:rPr>
          <w:color w:val="231F20"/>
          <w:spacing w:val="-7"/>
        </w:rPr>
        <w:t> </w:t>
      </w:r>
      <w:r>
        <w:rPr>
          <w:color w:val="231F20"/>
          <w:spacing w:val="-2"/>
        </w:rPr>
        <w:t>sentenze </w:t>
      </w:r>
      <w:r>
        <w:rPr>
          <w:color w:val="231F20"/>
        </w:rPr>
        <w:t>penali</w:t>
      </w:r>
      <w:r>
        <w:rPr>
          <w:color w:val="231F20"/>
          <w:spacing w:val="-10"/>
        </w:rPr>
        <w:t> </w:t>
      </w:r>
      <w:r>
        <w:rPr>
          <w:color w:val="231F20"/>
        </w:rPr>
        <w:t>l’amministrazione</w:t>
      </w:r>
      <w:r>
        <w:rPr>
          <w:color w:val="231F20"/>
          <w:spacing w:val="-10"/>
        </w:rPr>
        <w:t> </w:t>
      </w:r>
      <w:r>
        <w:rPr>
          <w:color w:val="231F20"/>
        </w:rPr>
        <w:t>doganale</w:t>
      </w:r>
      <w:r>
        <w:rPr>
          <w:color w:val="231F20"/>
          <w:spacing w:val="-10"/>
        </w:rPr>
        <w:t> </w:t>
      </w:r>
      <w:r>
        <w:rPr>
          <w:color w:val="231F20"/>
        </w:rPr>
        <w:t>della</w:t>
      </w:r>
      <w:r>
        <w:rPr>
          <w:color w:val="231F20"/>
          <w:spacing w:val="-10"/>
        </w:rPr>
        <w:t> </w:t>
      </w:r>
      <w:r>
        <w:rPr>
          <w:color w:val="231F20"/>
        </w:rPr>
        <w:t>Grecia</w:t>
      </w:r>
      <w:r>
        <w:rPr>
          <w:color w:val="231F20"/>
          <w:spacing w:val="-10"/>
        </w:rPr>
        <w:t> </w:t>
      </w:r>
      <w:r>
        <w:rPr>
          <w:color w:val="231F20"/>
        </w:rPr>
        <w:t>aveva</w:t>
      </w:r>
      <w:r>
        <w:rPr>
          <w:color w:val="231F20"/>
          <w:spacing w:val="-10"/>
        </w:rPr>
        <w:t> </w:t>
      </w:r>
      <w:r>
        <w:rPr>
          <w:color w:val="231F20"/>
        </w:rPr>
        <w:t>emesso</w:t>
      </w:r>
      <w:r>
        <w:rPr>
          <w:color w:val="231F20"/>
          <w:spacing w:val="-10"/>
        </w:rPr>
        <w:t> </w:t>
      </w:r>
      <w:r>
        <w:rPr>
          <w:color w:val="231F20"/>
        </w:rPr>
        <w:t>una</w:t>
      </w:r>
      <w:r>
        <w:rPr>
          <w:color w:val="231F20"/>
          <w:spacing w:val="-10"/>
        </w:rPr>
        <w:t> </w:t>
      </w:r>
      <w:r>
        <w:rPr>
          <w:color w:val="231F20"/>
        </w:rPr>
        <w:t>decisione con la quale irrogava allo stesso sig. </w:t>
      </w:r>
      <w:r>
        <w:rPr>
          <w:i/>
          <w:color w:val="231F20"/>
        </w:rPr>
        <w:t>Donnellan </w:t>
      </w:r>
      <w:r>
        <w:rPr>
          <w:color w:val="231F20"/>
        </w:rPr>
        <w:t>una sanzione pecuniaria</w:t>
      </w:r>
      <w:r>
        <w:rPr>
          <w:color w:val="231F20"/>
          <w:spacing w:val="40"/>
        </w:rPr>
        <w:t> </w:t>
      </w:r>
      <w:r>
        <w:rPr>
          <w:color w:val="231F20"/>
        </w:rPr>
        <w:t>per la medesima infrazione di contrabbando di sigarette, dell’ammontare, comprensivo di interessi e spese, di oltre un milione e mezzo di euro. Le autorità</w:t>
      </w:r>
      <w:r>
        <w:rPr>
          <w:color w:val="231F20"/>
          <w:spacing w:val="-15"/>
        </w:rPr>
        <w:t> </w:t>
      </w:r>
      <w:r>
        <w:rPr>
          <w:color w:val="231F20"/>
        </w:rPr>
        <w:t>greche</w:t>
      </w:r>
      <w:r>
        <w:rPr>
          <w:color w:val="231F20"/>
          <w:spacing w:val="-15"/>
        </w:rPr>
        <w:t> </w:t>
      </w:r>
      <w:r>
        <w:rPr>
          <w:color w:val="231F20"/>
        </w:rPr>
        <w:t>chiedevano</w:t>
      </w:r>
      <w:r>
        <w:rPr>
          <w:color w:val="231F20"/>
          <w:spacing w:val="-15"/>
        </w:rPr>
        <w:t> </w:t>
      </w:r>
      <w:r>
        <w:rPr>
          <w:color w:val="231F20"/>
        </w:rPr>
        <w:t>successivamente</w:t>
      </w:r>
      <w:r>
        <w:rPr>
          <w:color w:val="231F20"/>
          <w:spacing w:val="-15"/>
        </w:rPr>
        <w:t> </w:t>
      </w:r>
      <w:r>
        <w:rPr>
          <w:color w:val="231F20"/>
        </w:rPr>
        <w:t>all’amministrazione</w:t>
      </w:r>
      <w:r>
        <w:rPr>
          <w:color w:val="231F20"/>
          <w:spacing w:val="-15"/>
        </w:rPr>
        <w:t> </w:t>
      </w:r>
      <w:r>
        <w:rPr>
          <w:color w:val="231F20"/>
        </w:rPr>
        <w:t>finanziaria dell’Irlanda di procedere al recupero del credito corrispondente sulla base delle disposizioni della suddetta direttiva (UE) 2010/24. Il sig. </w:t>
      </w:r>
      <w:r>
        <w:rPr>
          <w:i/>
          <w:color w:val="231F20"/>
        </w:rPr>
        <w:t>Donnellan</w:t>
      </w:r>
      <w:r>
        <w:rPr>
          <w:i/>
          <w:color w:val="231F20"/>
        </w:rPr>
        <w:t> </w:t>
      </w:r>
      <w:r>
        <w:rPr>
          <w:color w:val="231F20"/>
        </w:rPr>
        <w:t>impugnava</w:t>
      </w:r>
      <w:r>
        <w:rPr>
          <w:color w:val="231F20"/>
          <w:spacing w:val="40"/>
        </w:rPr>
        <w:t> </w:t>
      </w:r>
      <w:r>
        <w:rPr>
          <w:color w:val="231F20"/>
        </w:rPr>
        <w:t>immediatamente</w:t>
      </w:r>
      <w:r>
        <w:rPr>
          <w:color w:val="231F20"/>
          <w:spacing w:val="-2"/>
        </w:rPr>
        <w:t> </w:t>
      </w:r>
      <w:r>
        <w:rPr>
          <w:color w:val="231F20"/>
        </w:rPr>
        <w:t>dinanzi</w:t>
      </w:r>
      <w:r>
        <w:rPr>
          <w:color w:val="231F20"/>
          <w:spacing w:val="-2"/>
        </w:rPr>
        <w:t> </w:t>
      </w:r>
      <w:r>
        <w:rPr>
          <w:color w:val="231F20"/>
        </w:rPr>
        <w:t>alla</w:t>
      </w:r>
      <w:r>
        <w:rPr>
          <w:color w:val="231F20"/>
          <w:spacing w:val="-2"/>
        </w:rPr>
        <w:t> </w:t>
      </w:r>
      <w:r>
        <w:rPr>
          <w:i/>
          <w:color w:val="231F20"/>
        </w:rPr>
        <w:t>High</w:t>
      </w:r>
      <w:r>
        <w:rPr>
          <w:i/>
          <w:color w:val="231F20"/>
          <w:spacing w:val="-2"/>
        </w:rPr>
        <w:t> </w:t>
      </w:r>
      <w:r>
        <w:rPr>
          <w:i/>
          <w:color w:val="231F20"/>
        </w:rPr>
        <w:t>Court</w:t>
      </w:r>
      <w:r>
        <w:rPr>
          <w:i/>
          <w:color w:val="231F20"/>
          <w:spacing w:val="-2"/>
        </w:rPr>
        <w:t> </w:t>
      </w:r>
      <w:r>
        <w:rPr>
          <w:color w:val="231F20"/>
        </w:rPr>
        <w:t>irlandese</w:t>
      </w:r>
      <w:r>
        <w:rPr>
          <w:color w:val="231F20"/>
          <w:spacing w:val="-2"/>
        </w:rPr>
        <w:t> </w:t>
      </w:r>
      <w:r>
        <w:rPr>
          <w:color w:val="231F20"/>
        </w:rPr>
        <w:t>la</w:t>
      </w:r>
      <w:r>
        <w:rPr>
          <w:color w:val="231F20"/>
          <w:spacing w:val="-2"/>
        </w:rPr>
        <w:t> </w:t>
      </w:r>
      <w:r>
        <w:rPr>
          <w:color w:val="231F20"/>
        </w:rPr>
        <w:t>richiesta di pagamento dell’ammenda notificatagli dall’amministrazione finanziaria irlandese per conto dell’amministrazione doganale della Grecia, adducen- do a motivo del proprio ricorso</w:t>
      </w:r>
      <w:r>
        <w:rPr>
          <w:color w:val="231F20"/>
          <w:spacing w:val="40"/>
        </w:rPr>
        <w:t> </w:t>
      </w:r>
      <w:r>
        <w:rPr>
          <w:color w:val="231F20"/>
        </w:rPr>
        <w:t>la semplice ragione che il provvedimento sanzionatorio</w:t>
      </w:r>
      <w:r>
        <w:rPr>
          <w:color w:val="231F20"/>
          <w:spacing w:val="-1"/>
        </w:rPr>
        <w:t> </w:t>
      </w:r>
      <w:r>
        <w:rPr>
          <w:color w:val="231F20"/>
        </w:rPr>
        <w:t>non</w:t>
      </w:r>
      <w:r>
        <w:rPr>
          <w:color w:val="231F20"/>
          <w:spacing w:val="-1"/>
        </w:rPr>
        <w:t> </w:t>
      </w:r>
      <w:r>
        <w:rPr>
          <w:color w:val="231F20"/>
        </w:rPr>
        <w:t>gli</w:t>
      </w:r>
      <w:r>
        <w:rPr>
          <w:color w:val="231F20"/>
          <w:spacing w:val="-1"/>
        </w:rPr>
        <w:t> </w:t>
      </w:r>
      <w:r>
        <w:rPr>
          <w:color w:val="231F20"/>
        </w:rPr>
        <w:t>era</w:t>
      </w:r>
      <w:r>
        <w:rPr>
          <w:color w:val="231F20"/>
          <w:spacing w:val="-1"/>
        </w:rPr>
        <w:t> </w:t>
      </w:r>
      <w:r>
        <w:rPr>
          <w:color w:val="231F20"/>
        </w:rPr>
        <w:t>mai</w:t>
      </w:r>
      <w:r>
        <w:rPr>
          <w:color w:val="231F20"/>
          <w:spacing w:val="-1"/>
        </w:rPr>
        <w:t> </w:t>
      </w:r>
      <w:r>
        <w:rPr>
          <w:color w:val="231F20"/>
        </w:rPr>
        <w:t>stato</w:t>
      </w:r>
      <w:r>
        <w:rPr>
          <w:color w:val="231F20"/>
          <w:spacing w:val="-1"/>
        </w:rPr>
        <w:t> </w:t>
      </w:r>
      <w:r>
        <w:rPr>
          <w:color w:val="231F20"/>
        </w:rPr>
        <w:t>notificato</w:t>
      </w:r>
      <w:r>
        <w:rPr>
          <w:color w:val="231F20"/>
          <w:spacing w:val="-1"/>
        </w:rPr>
        <w:t> </w:t>
      </w:r>
      <w:r>
        <w:rPr>
          <w:color w:val="231F20"/>
        </w:rPr>
        <w:t>dall’amministrazione</w:t>
      </w:r>
      <w:r>
        <w:rPr>
          <w:color w:val="231F20"/>
          <w:spacing w:val="-1"/>
        </w:rPr>
        <w:t> </w:t>
      </w:r>
      <w:r>
        <w:rPr>
          <w:color w:val="231F20"/>
        </w:rPr>
        <w:t>greca</w:t>
      </w:r>
      <w:r>
        <w:rPr>
          <w:color w:val="231F20"/>
          <w:spacing w:val="-1"/>
        </w:rPr>
        <w:t> </w:t>
      </w:r>
      <w:r>
        <w:rPr>
          <w:color w:val="231F20"/>
        </w:rPr>
        <w:t>e quindi</w:t>
      </w:r>
      <w:r>
        <w:rPr>
          <w:color w:val="231F20"/>
          <w:spacing w:val="-8"/>
        </w:rPr>
        <w:t> </w:t>
      </w:r>
      <w:r>
        <w:rPr>
          <w:color w:val="231F20"/>
        </w:rPr>
        <w:t>egli</w:t>
      </w:r>
      <w:r>
        <w:rPr>
          <w:color w:val="231F20"/>
          <w:spacing w:val="-8"/>
        </w:rPr>
        <w:t> </w:t>
      </w:r>
      <w:r>
        <w:rPr>
          <w:color w:val="231F20"/>
        </w:rPr>
        <w:t>non</w:t>
      </w:r>
      <w:r>
        <w:rPr>
          <w:color w:val="231F20"/>
          <w:spacing w:val="-8"/>
        </w:rPr>
        <w:t> </w:t>
      </w:r>
      <w:r>
        <w:rPr>
          <w:color w:val="231F20"/>
        </w:rPr>
        <w:t>aveva</w:t>
      </w:r>
      <w:r>
        <w:rPr>
          <w:color w:val="231F20"/>
          <w:spacing w:val="-8"/>
        </w:rPr>
        <w:t> </w:t>
      </w:r>
      <w:r>
        <w:rPr>
          <w:color w:val="231F20"/>
        </w:rPr>
        <w:t>mai</w:t>
      </w:r>
      <w:r>
        <w:rPr>
          <w:color w:val="231F20"/>
          <w:spacing w:val="-8"/>
        </w:rPr>
        <w:t> </w:t>
      </w:r>
      <w:r>
        <w:rPr>
          <w:color w:val="231F20"/>
        </w:rPr>
        <w:t>avuto</w:t>
      </w:r>
      <w:r>
        <w:rPr>
          <w:color w:val="231F20"/>
          <w:spacing w:val="-8"/>
        </w:rPr>
        <w:t> </w:t>
      </w:r>
      <w:r>
        <w:rPr>
          <w:color w:val="231F20"/>
        </w:rPr>
        <w:t>la</w:t>
      </w:r>
      <w:r>
        <w:rPr>
          <w:color w:val="231F20"/>
          <w:spacing w:val="-8"/>
        </w:rPr>
        <w:t> </w:t>
      </w:r>
      <w:r>
        <w:rPr>
          <w:color w:val="231F20"/>
        </w:rPr>
        <w:t>possibilità</w:t>
      </w:r>
      <w:r>
        <w:rPr>
          <w:color w:val="231F20"/>
          <w:spacing w:val="-8"/>
        </w:rPr>
        <w:t> </w:t>
      </w:r>
      <w:r>
        <w:rPr>
          <w:color w:val="231F20"/>
        </w:rPr>
        <w:t>di</w:t>
      </w:r>
      <w:r>
        <w:rPr>
          <w:color w:val="231F20"/>
          <w:spacing w:val="-8"/>
        </w:rPr>
        <w:t> </w:t>
      </w:r>
      <w:r>
        <w:rPr>
          <w:color w:val="231F20"/>
        </w:rPr>
        <w:t>contestarlo</w:t>
      </w:r>
      <w:r>
        <w:rPr>
          <w:color w:val="231F20"/>
          <w:spacing w:val="-8"/>
        </w:rPr>
        <w:t> </w:t>
      </w:r>
      <w:r>
        <w:rPr>
          <w:color w:val="231F20"/>
        </w:rPr>
        <w:t>dinanzi</w:t>
      </w:r>
      <w:r>
        <w:rPr>
          <w:color w:val="231F20"/>
          <w:spacing w:val="-8"/>
        </w:rPr>
        <w:t> </w:t>
      </w:r>
      <w:r>
        <w:rPr>
          <w:color w:val="231F20"/>
        </w:rPr>
        <w:t>ad</w:t>
      </w:r>
      <w:r>
        <w:rPr>
          <w:color w:val="231F20"/>
          <w:spacing w:val="-8"/>
        </w:rPr>
        <w:t> </w:t>
      </w:r>
      <w:r>
        <w:rPr>
          <w:color w:val="231F20"/>
        </w:rPr>
        <w:t>una giurisdizione del suddetto Stato membro richiedente.</w:t>
      </w:r>
    </w:p>
    <w:p>
      <w:pPr>
        <w:pStyle w:val="BodyText"/>
        <w:spacing w:line="225" w:lineRule="auto" w:before="28"/>
        <w:ind w:left="100" w:right="174" w:firstLine="340"/>
        <w:jc w:val="both"/>
      </w:pPr>
      <w:r>
        <w:rPr>
          <w:color w:val="231F20"/>
        </w:rPr>
        <w:t>Nella</w:t>
      </w:r>
      <w:r>
        <w:rPr>
          <w:color w:val="231F20"/>
          <w:spacing w:val="-10"/>
        </w:rPr>
        <w:t> </w:t>
      </w:r>
      <w:r>
        <w:rPr>
          <w:color w:val="231F20"/>
        </w:rPr>
        <w:t>propria</w:t>
      </w:r>
      <w:r>
        <w:rPr>
          <w:color w:val="231F20"/>
          <w:spacing w:val="-10"/>
        </w:rPr>
        <w:t> </w:t>
      </w:r>
      <w:r>
        <w:rPr>
          <w:color w:val="231F20"/>
        </w:rPr>
        <w:t>sentenza</w:t>
      </w:r>
      <w:r>
        <w:rPr>
          <w:color w:val="231F20"/>
          <w:spacing w:val="-10"/>
        </w:rPr>
        <w:t> </w:t>
      </w:r>
      <w:r>
        <w:rPr>
          <w:color w:val="231F20"/>
        </w:rPr>
        <w:t>la</w:t>
      </w:r>
      <w:r>
        <w:rPr>
          <w:color w:val="231F20"/>
          <w:spacing w:val="-10"/>
        </w:rPr>
        <w:t> </w:t>
      </w:r>
      <w:r>
        <w:rPr>
          <w:color w:val="231F20"/>
        </w:rPr>
        <w:t>Corte</w:t>
      </w:r>
      <w:r>
        <w:rPr>
          <w:color w:val="231F20"/>
          <w:spacing w:val="-10"/>
        </w:rPr>
        <w:t> </w:t>
      </w:r>
      <w:r>
        <w:rPr>
          <w:color w:val="231F20"/>
        </w:rPr>
        <w:t>di</w:t>
      </w:r>
      <w:r>
        <w:rPr>
          <w:color w:val="231F20"/>
          <w:spacing w:val="-10"/>
        </w:rPr>
        <w:t> </w:t>
      </w:r>
      <w:r>
        <w:rPr>
          <w:color w:val="231F20"/>
        </w:rPr>
        <w:t>giustizia</w:t>
      </w:r>
      <w:r>
        <w:rPr>
          <w:color w:val="231F20"/>
          <w:spacing w:val="-10"/>
        </w:rPr>
        <w:t> </w:t>
      </w:r>
      <w:r>
        <w:rPr>
          <w:color w:val="231F20"/>
        </w:rPr>
        <w:t>ha</w:t>
      </w:r>
      <w:r>
        <w:rPr>
          <w:color w:val="231F20"/>
          <w:spacing w:val="-10"/>
        </w:rPr>
        <w:t> </w:t>
      </w:r>
      <w:r>
        <w:rPr>
          <w:color w:val="231F20"/>
        </w:rPr>
        <w:t>in</w:t>
      </w:r>
      <w:r>
        <w:rPr>
          <w:color w:val="231F20"/>
          <w:spacing w:val="-10"/>
        </w:rPr>
        <w:t> </w:t>
      </w:r>
      <w:r>
        <w:rPr>
          <w:color w:val="231F20"/>
        </w:rPr>
        <w:t>primo</w:t>
      </w:r>
      <w:r>
        <w:rPr>
          <w:color w:val="231F20"/>
          <w:spacing w:val="-10"/>
        </w:rPr>
        <w:t> </w:t>
      </w:r>
      <w:r>
        <w:rPr>
          <w:color w:val="231F20"/>
        </w:rPr>
        <w:t>luogo</w:t>
      </w:r>
      <w:r>
        <w:rPr>
          <w:color w:val="231F20"/>
          <w:spacing w:val="-10"/>
        </w:rPr>
        <w:t> </w:t>
      </w:r>
      <w:r>
        <w:rPr>
          <w:color w:val="231F20"/>
        </w:rPr>
        <w:t>ricordato le principali norme della direttiva che regolano, in circostanze normali, la procedura</w:t>
      </w:r>
      <w:r>
        <w:rPr>
          <w:color w:val="231F20"/>
          <w:spacing w:val="-9"/>
        </w:rPr>
        <w:t> </w:t>
      </w:r>
      <w:r>
        <w:rPr>
          <w:color w:val="231F20"/>
        </w:rPr>
        <w:t>di</w:t>
      </w:r>
      <w:r>
        <w:rPr>
          <w:color w:val="231F20"/>
          <w:spacing w:val="-9"/>
        </w:rPr>
        <w:t> </w:t>
      </w:r>
      <w:r>
        <w:rPr>
          <w:color w:val="231F20"/>
        </w:rPr>
        <w:t>cooperazione</w:t>
      </w:r>
      <w:r>
        <w:rPr>
          <w:color w:val="231F20"/>
          <w:spacing w:val="-9"/>
        </w:rPr>
        <w:t> </w:t>
      </w:r>
      <w:r>
        <w:rPr>
          <w:color w:val="231F20"/>
        </w:rPr>
        <w:t>amministrativa</w:t>
      </w:r>
      <w:r>
        <w:rPr>
          <w:color w:val="231F20"/>
          <w:spacing w:val="-9"/>
        </w:rPr>
        <w:t> </w:t>
      </w:r>
      <w:r>
        <w:rPr>
          <w:color w:val="231F20"/>
        </w:rPr>
        <w:t>in</w:t>
      </w:r>
      <w:r>
        <w:rPr>
          <w:color w:val="231F20"/>
          <w:spacing w:val="-9"/>
        </w:rPr>
        <w:t> </w:t>
      </w:r>
      <w:r>
        <w:rPr>
          <w:color w:val="231F20"/>
        </w:rPr>
        <w:t>materia</w:t>
      </w:r>
      <w:r>
        <w:rPr>
          <w:color w:val="231F20"/>
          <w:spacing w:val="-9"/>
        </w:rPr>
        <w:t> </w:t>
      </w:r>
      <w:r>
        <w:rPr>
          <w:color w:val="231F20"/>
        </w:rPr>
        <w:t>di</w:t>
      </w:r>
      <w:r>
        <w:rPr>
          <w:color w:val="231F20"/>
          <w:spacing w:val="-9"/>
        </w:rPr>
        <w:t> </w:t>
      </w:r>
      <w:r>
        <w:rPr>
          <w:color w:val="231F20"/>
        </w:rPr>
        <w:t>recupero</w:t>
      </w:r>
      <w:r>
        <w:rPr>
          <w:color w:val="231F20"/>
          <w:spacing w:val="-9"/>
        </w:rPr>
        <w:t> </w:t>
      </w:r>
      <w:r>
        <w:rPr>
          <w:color w:val="231F20"/>
        </w:rPr>
        <w:t>di</w:t>
      </w:r>
      <w:r>
        <w:rPr>
          <w:color w:val="231F20"/>
          <w:spacing w:val="-9"/>
        </w:rPr>
        <w:t> </w:t>
      </w:r>
      <w:r>
        <w:rPr>
          <w:color w:val="231F20"/>
        </w:rPr>
        <w:t>crediti tributari</w:t>
      </w:r>
      <w:r>
        <w:rPr>
          <w:color w:val="231F20"/>
          <w:spacing w:val="-10"/>
        </w:rPr>
        <w:t> </w:t>
      </w:r>
      <w:r>
        <w:rPr>
          <w:color w:val="231F20"/>
        </w:rPr>
        <w:t>da</w:t>
      </w:r>
      <w:r>
        <w:rPr>
          <w:color w:val="231F20"/>
          <w:spacing w:val="-10"/>
        </w:rPr>
        <w:t> </w:t>
      </w:r>
      <w:r>
        <w:rPr>
          <w:color w:val="231F20"/>
        </w:rPr>
        <w:t>uno</w:t>
      </w:r>
      <w:r>
        <w:rPr>
          <w:color w:val="231F20"/>
          <w:spacing w:val="-10"/>
        </w:rPr>
        <w:t> </w:t>
      </w:r>
      <w:r>
        <w:rPr>
          <w:color w:val="231F20"/>
        </w:rPr>
        <w:t>Stato</w:t>
      </w:r>
      <w:r>
        <w:rPr>
          <w:color w:val="231F20"/>
          <w:spacing w:val="-10"/>
        </w:rPr>
        <w:t> </w:t>
      </w:r>
      <w:r>
        <w:rPr>
          <w:color w:val="231F20"/>
        </w:rPr>
        <w:t>membro</w:t>
      </w:r>
      <w:r>
        <w:rPr>
          <w:color w:val="231F20"/>
          <w:spacing w:val="-10"/>
        </w:rPr>
        <w:t> </w:t>
      </w:r>
      <w:r>
        <w:rPr>
          <w:color w:val="231F20"/>
        </w:rPr>
        <w:t>all’altro</w:t>
      </w:r>
      <w:r>
        <w:rPr>
          <w:color w:val="231F20"/>
          <w:spacing w:val="-10"/>
        </w:rPr>
        <w:t> </w:t>
      </w:r>
      <w:r>
        <w:rPr>
          <w:color w:val="231F20"/>
        </w:rPr>
        <w:t>dell’Unione.</w:t>
      </w:r>
      <w:r>
        <w:rPr>
          <w:color w:val="231F20"/>
          <w:spacing w:val="-10"/>
        </w:rPr>
        <w:t> </w:t>
      </w:r>
      <w:r>
        <w:rPr>
          <w:color w:val="231F20"/>
        </w:rPr>
        <w:t>Sulla</w:t>
      </w:r>
      <w:r>
        <w:rPr>
          <w:color w:val="231F20"/>
          <w:spacing w:val="-10"/>
        </w:rPr>
        <w:t> </w:t>
      </w:r>
      <w:r>
        <w:rPr>
          <w:color w:val="231F20"/>
        </w:rPr>
        <w:t>base</w:t>
      </w:r>
      <w:r>
        <w:rPr>
          <w:color w:val="231F20"/>
          <w:spacing w:val="-10"/>
        </w:rPr>
        <w:t> </w:t>
      </w:r>
      <w:r>
        <w:rPr>
          <w:color w:val="231F20"/>
        </w:rPr>
        <w:t>dell’art.</w:t>
      </w:r>
      <w:r>
        <w:rPr>
          <w:color w:val="231F20"/>
          <w:spacing w:val="-10"/>
        </w:rPr>
        <w:t> </w:t>
      </w:r>
      <w:r>
        <w:rPr>
          <w:color w:val="231F20"/>
        </w:rPr>
        <w:t>12, par.</w:t>
      </w:r>
      <w:r>
        <w:rPr>
          <w:color w:val="231F20"/>
          <w:spacing w:val="17"/>
        </w:rPr>
        <w:t> </w:t>
      </w:r>
      <w:r>
        <w:rPr>
          <w:color w:val="231F20"/>
        </w:rPr>
        <w:t>1,</w:t>
      </w:r>
      <w:r>
        <w:rPr>
          <w:color w:val="231F20"/>
          <w:spacing w:val="17"/>
        </w:rPr>
        <w:t> </w:t>
      </w:r>
      <w:r>
        <w:rPr>
          <w:color w:val="231F20"/>
        </w:rPr>
        <w:t>della</w:t>
      </w:r>
      <w:r>
        <w:rPr>
          <w:color w:val="231F20"/>
          <w:spacing w:val="17"/>
        </w:rPr>
        <w:t> </w:t>
      </w:r>
      <w:r>
        <w:rPr>
          <w:color w:val="231F20"/>
        </w:rPr>
        <w:t>direttiva</w:t>
      </w:r>
      <w:r>
        <w:rPr>
          <w:color w:val="231F20"/>
          <w:spacing w:val="17"/>
        </w:rPr>
        <w:t> </w:t>
      </w:r>
      <w:r>
        <w:rPr>
          <w:color w:val="231F20"/>
        </w:rPr>
        <w:t>l’autorità</w:t>
      </w:r>
      <w:r>
        <w:rPr>
          <w:color w:val="231F20"/>
          <w:spacing w:val="17"/>
        </w:rPr>
        <w:t> </w:t>
      </w:r>
      <w:r>
        <w:rPr>
          <w:color w:val="231F20"/>
        </w:rPr>
        <w:t>richiedente</w:t>
      </w:r>
      <w:r>
        <w:rPr>
          <w:color w:val="231F20"/>
          <w:spacing w:val="17"/>
        </w:rPr>
        <w:t> </w:t>
      </w:r>
      <w:r>
        <w:rPr>
          <w:color w:val="231F20"/>
        </w:rPr>
        <w:t>trasmette</w:t>
      </w:r>
      <w:r>
        <w:rPr>
          <w:color w:val="231F20"/>
          <w:spacing w:val="17"/>
        </w:rPr>
        <w:t> </w:t>
      </w:r>
      <w:r>
        <w:rPr>
          <w:color w:val="231F20"/>
        </w:rPr>
        <w:t>all’autorità</w:t>
      </w:r>
      <w:r>
        <w:rPr>
          <w:color w:val="231F20"/>
          <w:spacing w:val="17"/>
        </w:rPr>
        <w:t> </w:t>
      </w:r>
      <w:r>
        <w:rPr>
          <w:color w:val="231F20"/>
        </w:rPr>
        <w:t>adita</w:t>
      </w:r>
      <w:r>
        <w:rPr>
          <w:color w:val="231F20"/>
          <w:spacing w:val="18"/>
        </w:rPr>
        <w:t> </w:t>
      </w:r>
      <w:r>
        <w:rPr>
          <w:color w:val="231F20"/>
          <w:spacing w:val="-5"/>
        </w:rPr>
        <w:t>un</w:t>
      </w:r>
    </w:p>
    <w:p>
      <w:pPr>
        <w:pStyle w:val="BodyText"/>
        <w:spacing w:line="225" w:lineRule="auto" w:before="7"/>
        <w:ind w:left="100" w:right="174"/>
        <w:jc w:val="both"/>
      </w:pPr>
      <w:r>
        <w:rPr>
          <w:color w:val="231F20"/>
        </w:rPr>
        <w:t>«titolo uniforme» contenente i dati dell’atto amministrativo originario </w:t>
      </w:r>
      <w:r>
        <w:rPr>
          <w:color w:val="231F20"/>
        </w:rPr>
        <w:t>di recupero del credito tributario («titolo iniziale») e tale «titolo uniforme» non</w:t>
      </w:r>
      <w:r>
        <w:rPr>
          <w:color w:val="231F20"/>
          <w:spacing w:val="-13"/>
        </w:rPr>
        <w:t> </w:t>
      </w:r>
      <w:r>
        <w:rPr>
          <w:color w:val="231F20"/>
        </w:rPr>
        <w:t>può</w:t>
      </w:r>
      <w:r>
        <w:rPr>
          <w:color w:val="231F20"/>
          <w:spacing w:val="-13"/>
        </w:rPr>
        <w:t> </w:t>
      </w:r>
      <w:r>
        <w:rPr>
          <w:color w:val="231F20"/>
        </w:rPr>
        <w:t>essere</w:t>
      </w:r>
      <w:r>
        <w:rPr>
          <w:color w:val="231F20"/>
          <w:spacing w:val="-13"/>
        </w:rPr>
        <w:t> </w:t>
      </w:r>
      <w:r>
        <w:rPr>
          <w:color w:val="231F20"/>
        </w:rPr>
        <w:t>oggetto</w:t>
      </w:r>
      <w:r>
        <w:rPr>
          <w:color w:val="231F20"/>
          <w:spacing w:val="-13"/>
        </w:rPr>
        <w:t> </w:t>
      </w:r>
      <w:r>
        <w:rPr>
          <w:color w:val="231F20"/>
        </w:rPr>
        <w:t>di</w:t>
      </w:r>
      <w:r>
        <w:rPr>
          <w:color w:val="231F20"/>
          <w:spacing w:val="-13"/>
        </w:rPr>
        <w:t> </w:t>
      </w:r>
      <w:r>
        <w:rPr>
          <w:color w:val="231F20"/>
        </w:rPr>
        <w:t>alcun</w:t>
      </w:r>
      <w:r>
        <w:rPr>
          <w:color w:val="231F20"/>
          <w:spacing w:val="-13"/>
        </w:rPr>
        <w:t> </w:t>
      </w:r>
      <w:r>
        <w:rPr>
          <w:color w:val="231F20"/>
        </w:rPr>
        <w:t>atto</w:t>
      </w:r>
      <w:r>
        <w:rPr>
          <w:color w:val="231F20"/>
          <w:spacing w:val="-13"/>
        </w:rPr>
        <w:t> </w:t>
      </w:r>
      <w:r>
        <w:rPr>
          <w:color w:val="231F20"/>
        </w:rPr>
        <w:t>di</w:t>
      </w:r>
      <w:r>
        <w:rPr>
          <w:color w:val="231F20"/>
          <w:spacing w:val="-13"/>
        </w:rPr>
        <w:t> </w:t>
      </w:r>
      <w:r>
        <w:rPr>
          <w:color w:val="231F20"/>
        </w:rPr>
        <w:t>riconoscimento</w:t>
      </w:r>
      <w:r>
        <w:rPr>
          <w:color w:val="231F20"/>
          <w:spacing w:val="-13"/>
        </w:rPr>
        <w:t> </w:t>
      </w:r>
      <w:r>
        <w:rPr>
          <w:color w:val="231F20"/>
        </w:rPr>
        <w:t>da</w:t>
      </w:r>
      <w:r>
        <w:rPr>
          <w:color w:val="231F20"/>
          <w:spacing w:val="-13"/>
        </w:rPr>
        <w:t> </w:t>
      </w:r>
      <w:r>
        <w:rPr>
          <w:color w:val="231F20"/>
        </w:rPr>
        <w:t>parte</w:t>
      </w:r>
      <w:r>
        <w:rPr>
          <w:color w:val="231F20"/>
          <w:spacing w:val="-13"/>
        </w:rPr>
        <w:t> </w:t>
      </w:r>
      <w:r>
        <w:rPr>
          <w:color w:val="231F20"/>
        </w:rPr>
        <w:t>dell’autori- tà</w:t>
      </w:r>
      <w:r>
        <w:rPr>
          <w:color w:val="231F20"/>
          <w:spacing w:val="-1"/>
        </w:rPr>
        <w:t> </w:t>
      </w:r>
      <w:r>
        <w:rPr>
          <w:color w:val="231F20"/>
        </w:rPr>
        <w:t>adita</w:t>
      </w:r>
      <w:r>
        <w:rPr>
          <w:color w:val="231F20"/>
          <w:spacing w:val="-1"/>
        </w:rPr>
        <w:t> </w:t>
      </w:r>
      <w:r>
        <w:rPr>
          <w:color w:val="231F20"/>
        </w:rPr>
        <w:t>(nella</w:t>
      </w:r>
      <w:r>
        <w:rPr>
          <w:color w:val="231F20"/>
          <w:spacing w:val="-1"/>
        </w:rPr>
        <w:t> </w:t>
      </w:r>
      <w:r>
        <w:rPr>
          <w:color w:val="231F20"/>
        </w:rPr>
        <w:t>fattispecie:</w:t>
      </w:r>
      <w:r>
        <w:rPr>
          <w:color w:val="231F20"/>
          <w:spacing w:val="-1"/>
        </w:rPr>
        <w:t> </w:t>
      </w:r>
      <w:r>
        <w:rPr>
          <w:color w:val="231F20"/>
        </w:rPr>
        <w:t>l’amministrazione</w:t>
      </w:r>
      <w:r>
        <w:rPr>
          <w:color w:val="231F20"/>
          <w:spacing w:val="-1"/>
        </w:rPr>
        <w:t> </w:t>
      </w:r>
      <w:r>
        <w:rPr>
          <w:color w:val="231F20"/>
        </w:rPr>
        <w:t>finanziaria</w:t>
      </w:r>
      <w:r>
        <w:rPr>
          <w:color w:val="231F20"/>
          <w:spacing w:val="-1"/>
        </w:rPr>
        <w:t> </w:t>
      </w:r>
      <w:r>
        <w:rPr>
          <w:color w:val="231F20"/>
        </w:rPr>
        <w:t>irlandese).</w:t>
      </w:r>
      <w:r>
        <w:rPr>
          <w:color w:val="231F20"/>
          <w:spacing w:val="-1"/>
        </w:rPr>
        <w:t> </w:t>
      </w:r>
      <w:r>
        <w:rPr>
          <w:color w:val="231F20"/>
        </w:rPr>
        <w:t>In</w:t>
      </w:r>
      <w:r>
        <w:rPr>
          <w:color w:val="231F20"/>
          <w:spacing w:val="-1"/>
        </w:rPr>
        <w:t> </w:t>
      </w:r>
      <w:r>
        <w:rPr>
          <w:color w:val="231F20"/>
        </w:rPr>
        <w:t>forza dell’art.</w:t>
      </w:r>
      <w:r>
        <w:rPr>
          <w:color w:val="231F20"/>
          <w:spacing w:val="-6"/>
        </w:rPr>
        <w:t> </w:t>
      </w:r>
      <w:r>
        <w:rPr>
          <w:color w:val="231F20"/>
        </w:rPr>
        <w:t>14</w:t>
      </w:r>
      <w:r>
        <w:rPr>
          <w:color w:val="231F20"/>
          <w:spacing w:val="-6"/>
        </w:rPr>
        <w:t> </w:t>
      </w:r>
      <w:r>
        <w:rPr>
          <w:color w:val="231F20"/>
        </w:rPr>
        <w:t>della</w:t>
      </w:r>
      <w:r>
        <w:rPr>
          <w:color w:val="231F20"/>
          <w:spacing w:val="-6"/>
        </w:rPr>
        <w:t> </w:t>
      </w:r>
      <w:r>
        <w:rPr>
          <w:color w:val="231F20"/>
        </w:rPr>
        <w:t>direttiva</w:t>
      </w:r>
      <w:r>
        <w:rPr>
          <w:color w:val="231F20"/>
          <w:spacing w:val="-6"/>
        </w:rPr>
        <w:t> </w:t>
      </w:r>
      <w:r>
        <w:rPr>
          <w:color w:val="231F20"/>
        </w:rPr>
        <w:t>stessa,</w:t>
      </w:r>
      <w:r>
        <w:rPr>
          <w:color w:val="231F20"/>
          <w:spacing w:val="-6"/>
        </w:rPr>
        <w:t> </w:t>
      </w:r>
      <w:r>
        <w:rPr>
          <w:color w:val="231F20"/>
        </w:rPr>
        <w:t>qualsiasi</w:t>
      </w:r>
      <w:r>
        <w:rPr>
          <w:color w:val="231F20"/>
          <w:spacing w:val="-6"/>
        </w:rPr>
        <w:t> </w:t>
      </w:r>
      <w:r>
        <w:rPr>
          <w:color w:val="231F20"/>
        </w:rPr>
        <w:t>contestazione</w:t>
      </w:r>
      <w:r>
        <w:rPr>
          <w:color w:val="231F20"/>
          <w:spacing w:val="-6"/>
        </w:rPr>
        <w:t> </w:t>
      </w:r>
      <w:r>
        <w:rPr>
          <w:color w:val="231F20"/>
        </w:rPr>
        <w:t>del</w:t>
      </w:r>
      <w:r>
        <w:rPr>
          <w:color w:val="231F20"/>
          <w:spacing w:val="-6"/>
        </w:rPr>
        <w:t> </w:t>
      </w:r>
      <w:r>
        <w:rPr>
          <w:color w:val="231F20"/>
        </w:rPr>
        <w:t>«titolo</w:t>
      </w:r>
      <w:r>
        <w:rPr>
          <w:color w:val="231F20"/>
          <w:spacing w:val="-6"/>
        </w:rPr>
        <w:t> </w:t>
      </w:r>
      <w:r>
        <w:rPr>
          <w:color w:val="231F20"/>
        </w:rPr>
        <w:t>iniziale» e</w:t>
      </w:r>
      <w:r>
        <w:rPr>
          <w:color w:val="231F20"/>
          <w:spacing w:val="14"/>
        </w:rPr>
        <w:t> </w:t>
      </w:r>
      <w:r>
        <w:rPr>
          <w:color w:val="231F20"/>
        </w:rPr>
        <w:t>del</w:t>
      </w:r>
      <w:r>
        <w:rPr>
          <w:color w:val="231F20"/>
          <w:spacing w:val="16"/>
        </w:rPr>
        <w:t> </w:t>
      </w:r>
      <w:r>
        <w:rPr>
          <w:color w:val="231F20"/>
        </w:rPr>
        <w:t>«titolo</w:t>
      </w:r>
      <w:r>
        <w:rPr>
          <w:color w:val="231F20"/>
          <w:spacing w:val="16"/>
        </w:rPr>
        <w:t> </w:t>
      </w:r>
      <w:r>
        <w:rPr>
          <w:color w:val="231F20"/>
        </w:rPr>
        <w:t>uniforme»</w:t>
      </w:r>
      <w:r>
        <w:rPr>
          <w:color w:val="231F20"/>
          <w:spacing w:val="16"/>
        </w:rPr>
        <w:t> </w:t>
      </w:r>
      <w:r>
        <w:rPr>
          <w:color w:val="231F20"/>
        </w:rPr>
        <w:t>dev’essere</w:t>
      </w:r>
      <w:r>
        <w:rPr>
          <w:color w:val="231F20"/>
          <w:spacing w:val="16"/>
        </w:rPr>
        <w:t> </w:t>
      </w:r>
      <w:r>
        <w:rPr>
          <w:color w:val="231F20"/>
        </w:rPr>
        <w:t>infatti</w:t>
      </w:r>
      <w:r>
        <w:rPr>
          <w:color w:val="231F20"/>
          <w:spacing w:val="16"/>
        </w:rPr>
        <w:t> </w:t>
      </w:r>
      <w:r>
        <w:rPr>
          <w:color w:val="231F20"/>
        </w:rPr>
        <w:t>portata</w:t>
      </w:r>
      <w:r>
        <w:rPr>
          <w:color w:val="231F20"/>
          <w:spacing w:val="16"/>
        </w:rPr>
        <w:t> </w:t>
      </w:r>
      <w:r>
        <w:rPr>
          <w:color w:val="231F20"/>
        </w:rPr>
        <w:t>dal</w:t>
      </w:r>
      <w:r>
        <w:rPr>
          <w:color w:val="231F20"/>
          <w:spacing w:val="16"/>
        </w:rPr>
        <w:t> </w:t>
      </w:r>
      <w:r>
        <w:rPr>
          <w:color w:val="231F20"/>
        </w:rPr>
        <w:t>contribuente</w:t>
      </w:r>
      <w:r>
        <w:rPr>
          <w:color w:val="231F20"/>
          <w:spacing w:val="17"/>
        </w:rPr>
        <w:t> </w:t>
      </w:r>
      <w:r>
        <w:rPr>
          <w:color w:val="231F20"/>
          <w:spacing w:val="-2"/>
        </w:rPr>
        <w:t>esclusi-</w:t>
      </w:r>
    </w:p>
    <w:p>
      <w:pPr>
        <w:pStyle w:val="BodyText"/>
        <w:spacing w:before="8"/>
        <w:rPr>
          <w:sz w:val="6"/>
        </w:rPr>
      </w:pPr>
      <w:r>
        <w:rPr/>
        <mc:AlternateContent>
          <mc:Choice Requires="wps">
            <w:drawing>
              <wp:anchor distT="0" distB="0" distL="0" distR="0" allowOverlap="1" layoutInCell="1" locked="0" behindDoc="1" simplePos="0" relativeHeight="487656448">
                <wp:simplePos x="0" y="0"/>
                <wp:positionH relativeFrom="page">
                  <wp:posOffset>864000</wp:posOffset>
                </wp:positionH>
                <wp:positionV relativeFrom="paragraph">
                  <wp:posOffset>69304</wp:posOffset>
                </wp:positionV>
                <wp:extent cx="792480" cy="1270"/>
                <wp:effectExtent l="0" t="0" r="0" b="0"/>
                <wp:wrapTopAndBottom/>
                <wp:docPr id="217" name="Graphic 217"/>
                <wp:cNvGraphicFramePr>
                  <a:graphicFrameLocks/>
                </wp:cNvGraphicFramePr>
                <a:graphic>
                  <a:graphicData uri="http://schemas.microsoft.com/office/word/2010/wordprocessingShape">
                    <wps:wsp>
                      <wps:cNvPr id="217" name="Graphic 217"/>
                      <wps:cNvSpPr/>
                      <wps:spPr>
                        <a:xfrm>
                          <a:off x="0" y="0"/>
                          <a:ext cx="792480" cy="1270"/>
                        </a:xfrm>
                        <a:custGeom>
                          <a:avLst/>
                          <a:gdLst/>
                          <a:ahLst/>
                          <a:cxnLst/>
                          <a:rect l="l" t="t" r="r" b="b"/>
                          <a:pathLst>
                            <a:path w="792480" h="0">
                              <a:moveTo>
                                <a:pt x="0" y="0"/>
                              </a:moveTo>
                              <a:lnTo>
                                <a:pt x="791997"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shape style="position:absolute;margin-left:68.031502pt;margin-top:5.45706pt;width:62.4pt;height:.1pt;mso-position-horizontal-relative:page;mso-position-vertical-relative:paragraph;z-index:-15660032;mso-wrap-distance-left:0;mso-wrap-distance-right:0" id="docshape180" coordorigin="1361,109" coordsize="1248,0" path="m1361,109l2608,109e" filled="false" stroked="true" strokeweight=".5pt" strokecolor="#231f20">
                <v:path arrowok="t"/>
                <v:stroke dashstyle="solid"/>
                <w10:wrap type="topAndBottom"/>
              </v:shape>
            </w:pict>
          </mc:Fallback>
        </mc:AlternateContent>
      </w:r>
    </w:p>
    <w:p>
      <w:pPr>
        <w:spacing w:line="225" w:lineRule="auto" w:before="201"/>
        <w:ind w:left="100" w:right="175" w:firstLine="0"/>
        <w:jc w:val="both"/>
        <w:rPr>
          <w:sz w:val="19"/>
        </w:rPr>
      </w:pPr>
      <w:r>
        <w:rPr>
          <w:color w:val="231F20"/>
          <w:spacing w:val="-2"/>
          <w:position w:val="6"/>
          <w:sz w:val="11"/>
        </w:rPr>
        <w:t>153</w:t>
      </w:r>
      <w:r>
        <w:rPr>
          <w:color w:val="231F20"/>
          <w:spacing w:val="66"/>
          <w:position w:val="6"/>
          <w:sz w:val="11"/>
        </w:rPr>
        <w:t> </w:t>
      </w:r>
      <w:r>
        <w:rPr>
          <w:color w:val="231F20"/>
          <w:spacing w:val="-2"/>
          <w:sz w:val="19"/>
        </w:rPr>
        <w:t>Corte</w:t>
      </w:r>
      <w:r>
        <w:rPr>
          <w:color w:val="231F20"/>
          <w:spacing w:val="-10"/>
          <w:sz w:val="19"/>
        </w:rPr>
        <w:t> </w:t>
      </w:r>
      <w:r>
        <w:rPr>
          <w:color w:val="231F20"/>
          <w:spacing w:val="-2"/>
          <w:sz w:val="19"/>
        </w:rPr>
        <w:t>Giust.</w:t>
      </w:r>
      <w:r>
        <w:rPr>
          <w:color w:val="231F20"/>
          <w:spacing w:val="-10"/>
          <w:sz w:val="19"/>
        </w:rPr>
        <w:t> </w:t>
      </w:r>
      <w:r>
        <w:rPr>
          <w:color w:val="231F20"/>
          <w:spacing w:val="-2"/>
          <w:sz w:val="19"/>
        </w:rPr>
        <w:t>UE,</w:t>
      </w:r>
      <w:r>
        <w:rPr>
          <w:color w:val="231F20"/>
          <w:spacing w:val="-10"/>
          <w:sz w:val="19"/>
        </w:rPr>
        <w:t> </w:t>
      </w:r>
      <w:r>
        <w:rPr>
          <w:color w:val="231F20"/>
          <w:spacing w:val="-2"/>
          <w:sz w:val="19"/>
        </w:rPr>
        <w:t>sent.</w:t>
      </w:r>
      <w:r>
        <w:rPr>
          <w:color w:val="231F20"/>
          <w:spacing w:val="-10"/>
          <w:sz w:val="19"/>
        </w:rPr>
        <w:t> </w:t>
      </w:r>
      <w:r>
        <w:rPr>
          <w:color w:val="231F20"/>
          <w:spacing w:val="-2"/>
          <w:sz w:val="19"/>
        </w:rPr>
        <w:t>del</w:t>
      </w:r>
      <w:r>
        <w:rPr>
          <w:color w:val="231F20"/>
          <w:spacing w:val="-10"/>
          <w:sz w:val="19"/>
        </w:rPr>
        <w:t> </w:t>
      </w:r>
      <w:r>
        <w:rPr>
          <w:color w:val="231F20"/>
          <w:spacing w:val="-2"/>
          <w:sz w:val="19"/>
        </w:rPr>
        <w:t>26</w:t>
      </w:r>
      <w:r>
        <w:rPr>
          <w:color w:val="231F20"/>
          <w:spacing w:val="-9"/>
          <w:sz w:val="19"/>
        </w:rPr>
        <w:t> </w:t>
      </w:r>
      <w:r>
        <w:rPr>
          <w:color w:val="231F20"/>
          <w:spacing w:val="-2"/>
          <w:sz w:val="19"/>
        </w:rPr>
        <w:t>aprile</w:t>
      </w:r>
      <w:r>
        <w:rPr>
          <w:color w:val="231F20"/>
          <w:spacing w:val="-10"/>
          <w:sz w:val="19"/>
        </w:rPr>
        <w:t> </w:t>
      </w:r>
      <w:r>
        <w:rPr>
          <w:color w:val="231F20"/>
          <w:spacing w:val="-2"/>
          <w:sz w:val="19"/>
        </w:rPr>
        <w:t>2018,</w:t>
      </w:r>
      <w:r>
        <w:rPr>
          <w:color w:val="231F20"/>
          <w:spacing w:val="-10"/>
          <w:sz w:val="19"/>
        </w:rPr>
        <w:t> </w:t>
      </w:r>
      <w:r>
        <w:rPr>
          <w:color w:val="231F20"/>
          <w:spacing w:val="-2"/>
          <w:sz w:val="19"/>
        </w:rPr>
        <w:t>C-34/17,</w:t>
      </w:r>
      <w:r>
        <w:rPr>
          <w:color w:val="231F20"/>
          <w:spacing w:val="-10"/>
          <w:sz w:val="19"/>
        </w:rPr>
        <w:t> </w:t>
      </w:r>
      <w:r>
        <w:rPr>
          <w:i/>
          <w:color w:val="231F20"/>
          <w:spacing w:val="-2"/>
          <w:sz w:val="19"/>
        </w:rPr>
        <w:t>Donnellan</w:t>
      </w:r>
      <w:r>
        <w:rPr>
          <w:i/>
          <w:color w:val="231F20"/>
          <w:spacing w:val="-10"/>
          <w:sz w:val="19"/>
        </w:rPr>
        <w:t> </w:t>
      </w:r>
      <w:r>
        <w:rPr>
          <w:i/>
          <w:color w:val="231F20"/>
          <w:spacing w:val="-2"/>
          <w:sz w:val="19"/>
        </w:rPr>
        <w:t>c.</w:t>
      </w:r>
      <w:r>
        <w:rPr>
          <w:i/>
          <w:color w:val="231F20"/>
          <w:spacing w:val="-10"/>
          <w:sz w:val="19"/>
        </w:rPr>
        <w:t> </w:t>
      </w:r>
      <w:r>
        <w:rPr>
          <w:i/>
          <w:color w:val="231F20"/>
          <w:spacing w:val="-2"/>
          <w:sz w:val="19"/>
        </w:rPr>
        <w:t>The</w:t>
      </w:r>
      <w:r>
        <w:rPr>
          <w:i/>
          <w:color w:val="231F20"/>
          <w:spacing w:val="-10"/>
          <w:sz w:val="19"/>
        </w:rPr>
        <w:t> </w:t>
      </w:r>
      <w:r>
        <w:rPr>
          <w:i/>
          <w:color w:val="231F20"/>
          <w:spacing w:val="-2"/>
          <w:sz w:val="19"/>
        </w:rPr>
        <w:t>Revenue</w:t>
      </w:r>
      <w:r>
        <w:rPr>
          <w:i/>
          <w:color w:val="231F20"/>
          <w:spacing w:val="-10"/>
          <w:sz w:val="19"/>
        </w:rPr>
        <w:t> </w:t>
      </w:r>
      <w:r>
        <w:rPr>
          <w:i/>
          <w:color w:val="231F20"/>
          <w:spacing w:val="-2"/>
          <w:sz w:val="19"/>
        </w:rPr>
        <w:t>Commissioners.</w:t>
      </w:r>
      <w:r>
        <w:rPr>
          <w:i/>
          <w:color w:val="231F20"/>
          <w:spacing w:val="-2"/>
          <w:sz w:val="19"/>
        </w:rPr>
        <w:t> </w:t>
      </w:r>
      <w:r>
        <w:rPr>
          <w:color w:val="231F20"/>
          <w:sz w:val="19"/>
        </w:rPr>
        <w:t>Commentata da I. Detroyer, </w:t>
      </w:r>
      <w:r>
        <w:rPr>
          <w:i/>
          <w:color w:val="231F20"/>
          <w:sz w:val="19"/>
        </w:rPr>
        <w:t>The tax debtor’s right of defence in case of cross border collection of</w:t>
      </w:r>
      <w:r>
        <w:rPr>
          <w:i/>
          <w:color w:val="231F20"/>
          <w:sz w:val="19"/>
        </w:rPr>
        <w:t> taxes</w:t>
      </w:r>
      <w:r>
        <w:rPr>
          <w:color w:val="231F20"/>
          <w:sz w:val="19"/>
        </w:rPr>
        <w:t>, in </w:t>
      </w:r>
      <w:r>
        <w:rPr>
          <w:i/>
          <w:color w:val="231F20"/>
          <w:sz w:val="19"/>
        </w:rPr>
        <w:t>EC Tax Rev., </w:t>
      </w:r>
      <w:r>
        <w:rPr>
          <w:color w:val="231F20"/>
          <w:sz w:val="19"/>
        </w:rPr>
        <w:t>2019, 2, p. 18-31.</w:t>
      </w:r>
    </w:p>
    <w:p>
      <w:pPr>
        <w:spacing w:after="0" w:line="225" w:lineRule="auto"/>
        <w:jc w:val="both"/>
        <w:rPr>
          <w:sz w:val="19"/>
        </w:rPr>
        <w:sectPr>
          <w:pgSz w:w="9640" w:h="13610"/>
          <w:pgMar w:header="0" w:footer="625" w:top="1260" w:bottom="820" w:left="1260" w:right="1240"/>
        </w:sectPr>
      </w:pPr>
    </w:p>
    <w:p>
      <w:pPr>
        <w:pStyle w:val="BodyText"/>
        <w:spacing w:line="225" w:lineRule="auto" w:before="117"/>
        <w:ind w:left="157" w:right="117"/>
        <w:jc w:val="both"/>
      </w:pPr>
      <w:r>
        <w:rPr/>
        <mc:AlternateContent>
          <mc:Choice Requires="wps">
            <w:drawing>
              <wp:anchor distT="0" distB="0" distL="0" distR="0" allowOverlap="1" layoutInCell="1" locked="0" behindDoc="0" simplePos="0" relativeHeight="15798272">
                <wp:simplePos x="0" y="0"/>
                <wp:positionH relativeFrom="page">
                  <wp:posOffset>5608609</wp:posOffset>
                </wp:positionH>
                <wp:positionV relativeFrom="page">
                  <wp:posOffset>2376001</wp:posOffset>
                </wp:positionV>
                <wp:extent cx="511809" cy="2412365"/>
                <wp:effectExtent l="0" t="0" r="0" b="0"/>
                <wp:wrapNone/>
                <wp:docPr id="218" name="Group 218"/>
                <wp:cNvGraphicFramePr>
                  <a:graphicFrameLocks/>
                </wp:cNvGraphicFramePr>
                <a:graphic>
                  <a:graphicData uri="http://schemas.microsoft.com/office/word/2010/wordprocessingGroup">
                    <wpg:wgp>
                      <wpg:cNvPr id="218" name="Group 218"/>
                      <wpg:cNvGrpSpPr/>
                      <wpg:grpSpPr>
                        <a:xfrm>
                          <a:off x="0" y="0"/>
                          <a:ext cx="511809" cy="2412365"/>
                          <a:chExt cx="511809" cy="2412365"/>
                        </a:xfrm>
                      </wpg:grpSpPr>
                      <wps:wsp>
                        <wps:cNvPr id="219" name="Graphic 219"/>
                        <wps:cNvSpPr/>
                        <wps:spPr>
                          <a:xfrm>
                            <a:off x="7393" y="3"/>
                            <a:ext cx="504190" cy="360045"/>
                          </a:xfrm>
                          <a:custGeom>
                            <a:avLst/>
                            <a:gdLst/>
                            <a:ahLst/>
                            <a:cxnLst/>
                            <a:rect l="l" t="t" r="r" b="b"/>
                            <a:pathLst>
                              <a:path w="504190" h="360045">
                                <a:moveTo>
                                  <a:pt x="503999" y="0"/>
                                </a:moveTo>
                                <a:lnTo>
                                  <a:pt x="0" y="0"/>
                                </a:lnTo>
                                <a:lnTo>
                                  <a:pt x="0" y="359994"/>
                                </a:lnTo>
                                <a:lnTo>
                                  <a:pt x="503999" y="359994"/>
                                </a:lnTo>
                                <a:lnTo>
                                  <a:pt x="503999" y="0"/>
                                </a:lnTo>
                                <a:close/>
                              </a:path>
                            </a:pathLst>
                          </a:custGeom>
                          <a:solidFill>
                            <a:srgbClr val="939598"/>
                          </a:solidFill>
                        </wps:spPr>
                        <wps:bodyPr wrap="square" lIns="0" tIns="0" rIns="0" bIns="0" rtlCol="0">
                          <a:prstTxWarp prst="textNoShape">
                            <a:avLst/>
                          </a:prstTxWarp>
                          <a:noAutofit/>
                        </wps:bodyPr>
                      </wps:wsp>
                      <wps:wsp>
                        <wps:cNvPr id="220" name="Graphic 220"/>
                        <wps:cNvSpPr/>
                        <wps:spPr>
                          <a:xfrm>
                            <a:off x="6350" y="0"/>
                            <a:ext cx="1270" cy="2412365"/>
                          </a:xfrm>
                          <a:custGeom>
                            <a:avLst/>
                            <a:gdLst/>
                            <a:ahLst/>
                            <a:cxnLst/>
                            <a:rect l="l" t="t" r="r" b="b"/>
                            <a:pathLst>
                              <a:path w="0" h="2412365">
                                <a:moveTo>
                                  <a:pt x="0" y="0"/>
                                </a:moveTo>
                                <a:lnTo>
                                  <a:pt x="0" y="2411996"/>
                                </a:lnTo>
                              </a:path>
                            </a:pathLst>
                          </a:custGeom>
                          <a:ln w="12700">
                            <a:solidFill>
                              <a:srgbClr val="939598"/>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441.622803pt;margin-top:187.0867pt;width:40.3pt;height:189.95pt;mso-position-horizontal-relative:page;mso-position-vertical-relative:page;z-index:15798272" id="docshapegroup181" coordorigin="8832,3742" coordsize="806,3799">
                <v:rect style="position:absolute;left:8844;top:3741;width:794;height:567" id="docshape182" filled="true" fillcolor="#939598" stroked="false">
                  <v:fill type="solid"/>
                </v:rect>
                <v:line style="position:absolute" from="8842,3742" to="8842,7540" stroked="true" strokeweight="1pt" strokecolor="#939598">
                  <v:stroke dashstyle="solid"/>
                </v:line>
                <w10:wrap type="none"/>
              </v:group>
            </w:pict>
          </mc:Fallback>
        </mc:AlternateContent>
      </w:r>
      <w:r>
        <w:rPr/>
        <mc:AlternateContent>
          <mc:Choice Requires="wps">
            <w:drawing>
              <wp:anchor distT="0" distB="0" distL="0" distR="0" allowOverlap="1" layoutInCell="1" locked="0" behindDoc="0" simplePos="0" relativeHeight="15798784">
                <wp:simplePos x="0" y="0"/>
                <wp:positionH relativeFrom="page">
                  <wp:posOffset>5635147</wp:posOffset>
                </wp:positionH>
                <wp:positionV relativeFrom="page">
                  <wp:posOffset>2795300</wp:posOffset>
                </wp:positionV>
                <wp:extent cx="299720" cy="1995805"/>
                <wp:effectExtent l="0" t="0" r="0" b="0"/>
                <wp:wrapNone/>
                <wp:docPr id="221" name="Textbox 221"/>
                <wp:cNvGraphicFramePr>
                  <a:graphicFrameLocks/>
                </wp:cNvGraphicFramePr>
                <a:graphic>
                  <a:graphicData uri="http://schemas.microsoft.com/office/word/2010/wordprocessingShape">
                    <wps:wsp>
                      <wps:cNvPr id="221" name="Textbox 221"/>
                      <wps:cNvSpPr txBox="1"/>
                      <wps:spPr>
                        <a:xfrm>
                          <a:off x="0" y="0"/>
                          <a:ext cx="299720" cy="1995805"/>
                        </a:xfrm>
                        <a:prstGeom prst="rect">
                          <a:avLst/>
                        </a:prstGeom>
                      </wps:spPr>
                      <wps:txbx>
                        <w:txbxContent>
                          <w:p>
                            <w:pPr>
                              <w:spacing w:before="20"/>
                              <w:ind w:left="20" w:right="0" w:firstLine="0"/>
                              <w:jc w:val="left"/>
                              <w:rPr>
                                <w:rFonts w:ascii="Minion Pro"/>
                                <w:sz w:val="32"/>
                              </w:rPr>
                            </w:pPr>
                            <w:r>
                              <w:rPr>
                                <w:rFonts w:ascii="Minion Pro"/>
                                <w:color w:val="231F20"/>
                                <w:sz w:val="32"/>
                              </w:rPr>
                              <w:t>Commented</w:t>
                            </w:r>
                            <w:r>
                              <w:rPr>
                                <w:rFonts w:ascii="Minion Pro"/>
                                <w:color w:val="231F20"/>
                                <w:spacing w:val="-10"/>
                                <w:sz w:val="32"/>
                              </w:rPr>
                              <w:t> </w:t>
                            </w:r>
                            <w:r>
                              <w:rPr>
                                <w:rFonts w:ascii="Minion Pro"/>
                                <w:color w:val="231F20"/>
                                <w:spacing w:val="-2"/>
                                <w:sz w:val="32"/>
                              </w:rPr>
                              <w:t>documents</w:t>
                            </w:r>
                          </w:p>
                        </w:txbxContent>
                      </wps:txbx>
                      <wps:bodyPr wrap="square" lIns="0" tIns="0" rIns="0" bIns="0" rtlCol="0" vert="vert">
                        <a:noAutofit/>
                      </wps:bodyPr>
                    </wps:wsp>
                  </a:graphicData>
                </a:graphic>
              </wp:anchor>
            </w:drawing>
          </mc:Choice>
          <mc:Fallback>
            <w:pict>
              <v:shape style="position:absolute;margin-left:443.712402pt;margin-top:220.102402pt;width:23.6pt;height:157.15pt;mso-position-horizontal-relative:page;mso-position-vertical-relative:page;z-index:15798784" type="#_x0000_t202" id="docshape183" filled="false" stroked="false">
                <v:textbox inset="0,0,0,0" style="layout-flow:vertical">
                  <w:txbxContent>
                    <w:p>
                      <w:pPr>
                        <w:spacing w:before="20"/>
                        <w:ind w:left="20" w:right="0" w:firstLine="0"/>
                        <w:jc w:val="left"/>
                        <w:rPr>
                          <w:rFonts w:ascii="Minion Pro"/>
                          <w:sz w:val="32"/>
                        </w:rPr>
                      </w:pPr>
                      <w:r>
                        <w:rPr>
                          <w:rFonts w:ascii="Minion Pro"/>
                          <w:color w:val="231F20"/>
                          <w:sz w:val="32"/>
                        </w:rPr>
                        <w:t>Commented</w:t>
                      </w:r>
                      <w:r>
                        <w:rPr>
                          <w:rFonts w:ascii="Minion Pro"/>
                          <w:color w:val="231F20"/>
                          <w:spacing w:val="-10"/>
                          <w:sz w:val="32"/>
                        </w:rPr>
                        <w:t> </w:t>
                      </w:r>
                      <w:r>
                        <w:rPr>
                          <w:rFonts w:ascii="Minion Pro"/>
                          <w:color w:val="231F20"/>
                          <w:spacing w:val="-2"/>
                          <w:sz w:val="32"/>
                        </w:rPr>
                        <w:t>documents</w:t>
                      </w:r>
                    </w:p>
                  </w:txbxContent>
                </v:textbox>
                <w10:wrap type="none"/>
              </v:shape>
            </w:pict>
          </mc:Fallback>
        </mc:AlternateContent>
      </w:r>
      <w:r>
        <w:rPr>
          <w:color w:val="231F20"/>
        </w:rPr>
        <w:t>vamente</w:t>
      </w:r>
      <w:r>
        <w:rPr>
          <w:color w:val="231F20"/>
          <w:spacing w:val="-5"/>
        </w:rPr>
        <w:t> </w:t>
      </w:r>
      <w:r>
        <w:rPr>
          <w:color w:val="231F20"/>
        </w:rPr>
        <w:t>dinanzi</w:t>
      </w:r>
      <w:r>
        <w:rPr>
          <w:color w:val="231F20"/>
          <w:spacing w:val="-5"/>
        </w:rPr>
        <w:t> </w:t>
      </w:r>
      <w:r>
        <w:rPr>
          <w:color w:val="231F20"/>
        </w:rPr>
        <w:t>alle</w:t>
      </w:r>
      <w:r>
        <w:rPr>
          <w:color w:val="231F20"/>
          <w:spacing w:val="-5"/>
        </w:rPr>
        <w:t> </w:t>
      </w:r>
      <w:r>
        <w:rPr>
          <w:color w:val="231F20"/>
        </w:rPr>
        <w:t>giurisdizioni</w:t>
      </w:r>
      <w:r>
        <w:rPr>
          <w:color w:val="231F20"/>
          <w:spacing w:val="-5"/>
        </w:rPr>
        <w:t> </w:t>
      </w:r>
      <w:r>
        <w:rPr>
          <w:color w:val="231F20"/>
        </w:rPr>
        <w:t>tributarie</w:t>
      </w:r>
      <w:r>
        <w:rPr>
          <w:color w:val="231F20"/>
          <w:spacing w:val="-5"/>
        </w:rPr>
        <w:t> </w:t>
      </w:r>
      <w:r>
        <w:rPr>
          <w:color w:val="231F20"/>
        </w:rPr>
        <w:t>dello</w:t>
      </w:r>
      <w:r>
        <w:rPr>
          <w:color w:val="231F20"/>
          <w:spacing w:val="-5"/>
        </w:rPr>
        <w:t> </w:t>
      </w:r>
      <w:r>
        <w:rPr>
          <w:color w:val="231F20"/>
        </w:rPr>
        <w:t>Stato</w:t>
      </w:r>
      <w:r>
        <w:rPr>
          <w:color w:val="231F20"/>
          <w:spacing w:val="-5"/>
        </w:rPr>
        <w:t> </w:t>
      </w:r>
      <w:r>
        <w:rPr>
          <w:color w:val="231F20"/>
        </w:rPr>
        <w:t>membro</w:t>
      </w:r>
      <w:r>
        <w:rPr>
          <w:color w:val="231F20"/>
          <w:spacing w:val="-5"/>
        </w:rPr>
        <w:t> </w:t>
      </w:r>
      <w:r>
        <w:rPr>
          <w:color w:val="231F20"/>
        </w:rPr>
        <w:t>adito.</w:t>
      </w:r>
      <w:r>
        <w:rPr>
          <w:color w:val="231F20"/>
          <w:spacing w:val="-5"/>
        </w:rPr>
        <w:t> </w:t>
      </w:r>
      <w:r>
        <w:rPr>
          <w:color w:val="231F20"/>
        </w:rPr>
        <w:t>Ne consegue che, sempre in circostanze normali, il ricorso del contribuente presentato</w:t>
      </w:r>
      <w:r>
        <w:rPr>
          <w:color w:val="231F20"/>
          <w:spacing w:val="-5"/>
        </w:rPr>
        <w:t> </w:t>
      </w:r>
      <w:r>
        <w:rPr>
          <w:color w:val="231F20"/>
        </w:rPr>
        <w:t>dinanzi</w:t>
      </w:r>
      <w:r>
        <w:rPr>
          <w:color w:val="231F20"/>
          <w:spacing w:val="-5"/>
        </w:rPr>
        <w:t> </w:t>
      </w:r>
      <w:r>
        <w:rPr>
          <w:color w:val="231F20"/>
        </w:rPr>
        <w:t>una</w:t>
      </w:r>
      <w:r>
        <w:rPr>
          <w:color w:val="231F20"/>
          <w:spacing w:val="-5"/>
        </w:rPr>
        <w:t> </w:t>
      </w:r>
      <w:r>
        <w:rPr>
          <w:color w:val="231F20"/>
        </w:rPr>
        <w:t>giurisdizione</w:t>
      </w:r>
      <w:r>
        <w:rPr>
          <w:color w:val="231F20"/>
          <w:spacing w:val="-5"/>
        </w:rPr>
        <w:t> </w:t>
      </w:r>
      <w:r>
        <w:rPr>
          <w:color w:val="231F20"/>
        </w:rPr>
        <w:t>dello</w:t>
      </w:r>
      <w:r>
        <w:rPr>
          <w:color w:val="231F20"/>
          <w:spacing w:val="-5"/>
        </w:rPr>
        <w:t> </w:t>
      </w:r>
      <w:r>
        <w:rPr>
          <w:color w:val="231F20"/>
        </w:rPr>
        <w:t>Stato</w:t>
      </w:r>
      <w:r>
        <w:rPr>
          <w:color w:val="231F20"/>
          <w:spacing w:val="-5"/>
        </w:rPr>
        <w:t> </w:t>
      </w:r>
      <w:r>
        <w:rPr>
          <w:color w:val="231F20"/>
        </w:rPr>
        <w:t>membro</w:t>
      </w:r>
      <w:r>
        <w:rPr>
          <w:color w:val="231F20"/>
          <w:spacing w:val="-5"/>
        </w:rPr>
        <w:t> </w:t>
      </w:r>
      <w:r>
        <w:rPr>
          <w:color w:val="231F20"/>
        </w:rPr>
        <w:t>adito</w:t>
      </w:r>
      <w:r>
        <w:rPr>
          <w:color w:val="231F20"/>
          <w:spacing w:val="-5"/>
        </w:rPr>
        <w:t> </w:t>
      </w:r>
      <w:r>
        <w:rPr>
          <w:color w:val="231F20"/>
        </w:rPr>
        <w:t>(nella</w:t>
      </w:r>
      <w:r>
        <w:rPr>
          <w:color w:val="231F20"/>
          <w:spacing w:val="-5"/>
        </w:rPr>
        <w:t> </w:t>
      </w:r>
      <w:r>
        <w:rPr>
          <w:color w:val="231F20"/>
        </w:rPr>
        <w:t>fatti- specie:</w:t>
      </w:r>
      <w:r>
        <w:rPr>
          <w:color w:val="231F20"/>
          <w:spacing w:val="-15"/>
        </w:rPr>
        <w:t> </w:t>
      </w:r>
      <w:r>
        <w:rPr>
          <w:color w:val="231F20"/>
        </w:rPr>
        <w:t>l’Irlanda)</w:t>
      </w:r>
      <w:r>
        <w:rPr>
          <w:color w:val="231F20"/>
          <w:spacing w:val="-15"/>
        </w:rPr>
        <w:t> </w:t>
      </w:r>
      <w:r>
        <w:rPr>
          <w:color w:val="231F20"/>
        </w:rPr>
        <w:t>non</w:t>
      </w:r>
      <w:r>
        <w:rPr>
          <w:color w:val="231F20"/>
          <w:spacing w:val="-15"/>
        </w:rPr>
        <w:t> </w:t>
      </w:r>
      <w:r>
        <w:rPr>
          <w:color w:val="231F20"/>
        </w:rPr>
        <w:t>può</w:t>
      </w:r>
      <w:r>
        <w:rPr>
          <w:color w:val="231F20"/>
          <w:spacing w:val="-15"/>
        </w:rPr>
        <w:t> </w:t>
      </w:r>
      <w:r>
        <w:rPr>
          <w:color w:val="231F20"/>
        </w:rPr>
        <w:t>comportare</w:t>
      </w:r>
      <w:r>
        <w:rPr>
          <w:color w:val="231F20"/>
          <w:spacing w:val="-15"/>
        </w:rPr>
        <w:t> </w:t>
      </w:r>
      <w:r>
        <w:rPr>
          <w:color w:val="231F20"/>
        </w:rPr>
        <w:t>un</w:t>
      </w:r>
      <w:r>
        <w:rPr>
          <w:color w:val="231F20"/>
          <w:spacing w:val="-15"/>
        </w:rPr>
        <w:t> </w:t>
      </w:r>
      <w:r>
        <w:rPr>
          <w:color w:val="231F20"/>
        </w:rPr>
        <w:t>esame</w:t>
      </w:r>
      <w:r>
        <w:rPr>
          <w:color w:val="231F20"/>
          <w:spacing w:val="-15"/>
        </w:rPr>
        <w:t> </w:t>
      </w:r>
      <w:r>
        <w:rPr>
          <w:color w:val="231F20"/>
        </w:rPr>
        <w:t>della</w:t>
      </w:r>
      <w:r>
        <w:rPr>
          <w:color w:val="231F20"/>
          <w:spacing w:val="-15"/>
        </w:rPr>
        <w:t> </w:t>
      </w:r>
      <w:r>
        <w:rPr>
          <w:color w:val="231F20"/>
        </w:rPr>
        <w:t>legittimità</w:t>
      </w:r>
      <w:r>
        <w:rPr>
          <w:color w:val="231F20"/>
          <w:spacing w:val="-15"/>
        </w:rPr>
        <w:t> </w:t>
      </w:r>
      <w:r>
        <w:rPr>
          <w:color w:val="231F20"/>
        </w:rPr>
        <w:t>del</w:t>
      </w:r>
      <w:r>
        <w:rPr>
          <w:color w:val="231F20"/>
          <w:spacing w:val="-15"/>
        </w:rPr>
        <w:t> </w:t>
      </w:r>
      <w:r>
        <w:rPr>
          <w:color w:val="231F20"/>
        </w:rPr>
        <w:t>credito tributario sorto nello Stato membro richiedente (la Grecia)</w:t>
      </w:r>
      <w:r>
        <w:rPr>
          <w:color w:val="231F20"/>
          <w:position w:val="8"/>
          <w:sz w:val="14"/>
        </w:rPr>
        <w:t>154</w:t>
      </w:r>
      <w:r>
        <w:rPr>
          <w:color w:val="231F20"/>
        </w:rPr>
        <w:t>. La Corte</w:t>
      </w:r>
      <w:r>
        <w:rPr>
          <w:color w:val="231F20"/>
          <w:spacing w:val="80"/>
        </w:rPr>
        <w:t> </w:t>
      </w:r>
      <w:r>
        <w:rPr>
          <w:color w:val="231F20"/>
        </w:rPr>
        <w:t>di</w:t>
      </w:r>
      <w:r>
        <w:rPr>
          <w:color w:val="231F20"/>
          <w:spacing w:val="9"/>
        </w:rPr>
        <w:t> </w:t>
      </w:r>
      <w:r>
        <w:rPr>
          <w:color w:val="231F20"/>
        </w:rPr>
        <w:t>giustizia</w:t>
      </w:r>
      <w:r>
        <w:rPr>
          <w:color w:val="231F20"/>
          <w:spacing w:val="12"/>
        </w:rPr>
        <w:t> </w:t>
      </w:r>
      <w:r>
        <w:rPr>
          <w:color w:val="231F20"/>
        </w:rPr>
        <w:t>ha</w:t>
      </w:r>
      <w:r>
        <w:rPr>
          <w:color w:val="231F20"/>
          <w:spacing w:val="12"/>
        </w:rPr>
        <w:t> </w:t>
      </w:r>
      <w:r>
        <w:rPr>
          <w:color w:val="231F20"/>
        </w:rPr>
        <w:t>tuttavia</w:t>
      </w:r>
      <w:r>
        <w:rPr>
          <w:color w:val="231F20"/>
          <w:spacing w:val="11"/>
        </w:rPr>
        <w:t> </w:t>
      </w:r>
      <w:r>
        <w:rPr>
          <w:color w:val="231F20"/>
        </w:rPr>
        <w:t>riconosciuto</w:t>
      </w:r>
      <w:r>
        <w:rPr>
          <w:color w:val="231F20"/>
          <w:spacing w:val="12"/>
        </w:rPr>
        <w:t> </w:t>
      </w:r>
      <w:r>
        <w:rPr>
          <w:color w:val="231F20"/>
        </w:rPr>
        <w:t>all’autorità</w:t>
      </w:r>
      <w:r>
        <w:rPr>
          <w:color w:val="231F20"/>
          <w:spacing w:val="12"/>
        </w:rPr>
        <w:t> </w:t>
      </w:r>
      <w:r>
        <w:rPr>
          <w:color w:val="231F20"/>
        </w:rPr>
        <w:t>adita</w:t>
      </w:r>
      <w:r>
        <w:rPr>
          <w:color w:val="231F20"/>
          <w:spacing w:val="11"/>
        </w:rPr>
        <w:t> </w:t>
      </w:r>
      <w:r>
        <w:rPr>
          <w:color w:val="231F20"/>
        </w:rPr>
        <w:t>la</w:t>
      </w:r>
      <w:r>
        <w:rPr>
          <w:color w:val="231F20"/>
          <w:spacing w:val="12"/>
        </w:rPr>
        <w:t> </w:t>
      </w:r>
      <w:r>
        <w:rPr>
          <w:color w:val="231F20"/>
        </w:rPr>
        <w:t>facoltà</w:t>
      </w:r>
      <w:r>
        <w:rPr>
          <w:color w:val="231F20"/>
          <w:spacing w:val="12"/>
        </w:rPr>
        <w:t> </w:t>
      </w:r>
      <w:r>
        <w:rPr>
          <w:color w:val="231F20"/>
        </w:rPr>
        <w:t>di</w:t>
      </w:r>
      <w:r>
        <w:rPr>
          <w:color w:val="231F20"/>
          <w:spacing w:val="12"/>
        </w:rPr>
        <w:t> </w:t>
      </w:r>
      <w:r>
        <w:rPr>
          <w:color w:val="231F20"/>
          <w:spacing w:val="-2"/>
        </w:rPr>
        <w:t>rifiutare</w:t>
      </w:r>
    </w:p>
    <w:p>
      <w:pPr>
        <w:pStyle w:val="BodyText"/>
        <w:spacing w:line="225" w:lineRule="auto" w:before="8"/>
        <w:ind w:left="157" w:right="118"/>
        <w:jc w:val="both"/>
      </w:pPr>
      <w:r>
        <w:rPr>
          <w:color w:val="231F20"/>
        </w:rPr>
        <w:t>«in</w:t>
      </w:r>
      <w:r>
        <w:rPr>
          <w:color w:val="231F20"/>
          <w:spacing w:val="-9"/>
        </w:rPr>
        <w:t> </w:t>
      </w:r>
      <w:r>
        <w:rPr>
          <w:color w:val="231F20"/>
        </w:rPr>
        <w:t>via</w:t>
      </w:r>
      <w:r>
        <w:rPr>
          <w:color w:val="231F20"/>
          <w:spacing w:val="-9"/>
        </w:rPr>
        <w:t> </w:t>
      </w:r>
      <w:r>
        <w:rPr>
          <w:color w:val="231F20"/>
        </w:rPr>
        <w:t>eccezionale»</w:t>
      </w:r>
      <w:r>
        <w:rPr>
          <w:color w:val="231F20"/>
          <w:spacing w:val="-9"/>
        </w:rPr>
        <w:t> </w:t>
      </w:r>
      <w:r>
        <w:rPr>
          <w:color w:val="231F20"/>
        </w:rPr>
        <w:t>l’assistenza</w:t>
      </w:r>
      <w:r>
        <w:rPr>
          <w:color w:val="231F20"/>
          <w:spacing w:val="-9"/>
        </w:rPr>
        <w:t> </w:t>
      </w:r>
      <w:r>
        <w:rPr>
          <w:color w:val="231F20"/>
        </w:rPr>
        <w:t>all’autorità</w:t>
      </w:r>
      <w:r>
        <w:rPr>
          <w:color w:val="231F20"/>
          <w:spacing w:val="-9"/>
        </w:rPr>
        <w:t> </w:t>
      </w:r>
      <w:r>
        <w:rPr>
          <w:color w:val="231F20"/>
        </w:rPr>
        <w:t>richiedente</w:t>
      </w:r>
      <w:r>
        <w:rPr>
          <w:color w:val="231F20"/>
          <w:spacing w:val="-9"/>
        </w:rPr>
        <w:t> </w:t>
      </w:r>
      <w:r>
        <w:rPr>
          <w:color w:val="231F20"/>
        </w:rPr>
        <w:t>per</w:t>
      </w:r>
      <w:r>
        <w:rPr>
          <w:color w:val="231F20"/>
          <w:spacing w:val="-9"/>
        </w:rPr>
        <w:t> </w:t>
      </w:r>
      <w:r>
        <w:rPr>
          <w:color w:val="231F20"/>
        </w:rPr>
        <w:t>l’esecuzione</w:t>
      </w:r>
      <w:r>
        <w:rPr>
          <w:color w:val="231F20"/>
          <w:spacing w:val="-9"/>
        </w:rPr>
        <w:t> </w:t>
      </w:r>
      <w:r>
        <w:rPr>
          <w:color w:val="231F20"/>
        </w:rPr>
        <w:t>del- la domanda di recupero del proprio credito tributario, qualora risulti che tale</w:t>
      </w:r>
      <w:r>
        <w:rPr>
          <w:color w:val="231F20"/>
          <w:spacing w:val="-6"/>
        </w:rPr>
        <w:t> </w:t>
      </w:r>
      <w:r>
        <w:rPr>
          <w:color w:val="231F20"/>
        </w:rPr>
        <w:t>esecuzione</w:t>
      </w:r>
      <w:r>
        <w:rPr>
          <w:color w:val="231F20"/>
          <w:spacing w:val="-6"/>
        </w:rPr>
        <w:t> </w:t>
      </w:r>
      <w:r>
        <w:rPr>
          <w:color w:val="231F20"/>
        </w:rPr>
        <w:t>possa</w:t>
      </w:r>
      <w:r>
        <w:rPr>
          <w:color w:val="231F20"/>
          <w:spacing w:val="-6"/>
        </w:rPr>
        <w:t> </w:t>
      </w:r>
      <w:r>
        <w:rPr>
          <w:color w:val="231F20"/>
        </w:rPr>
        <w:t>essere</w:t>
      </w:r>
      <w:r>
        <w:rPr>
          <w:color w:val="231F20"/>
          <w:spacing w:val="-6"/>
        </w:rPr>
        <w:t> </w:t>
      </w:r>
      <w:r>
        <w:rPr>
          <w:color w:val="231F20"/>
        </w:rPr>
        <w:t>lesiva</w:t>
      </w:r>
      <w:r>
        <w:rPr>
          <w:color w:val="231F20"/>
          <w:spacing w:val="-6"/>
        </w:rPr>
        <w:t> </w:t>
      </w:r>
      <w:r>
        <w:rPr>
          <w:color w:val="231F20"/>
        </w:rPr>
        <w:t>dell’ordine</w:t>
      </w:r>
      <w:r>
        <w:rPr>
          <w:color w:val="231F20"/>
          <w:spacing w:val="-6"/>
        </w:rPr>
        <w:t> </w:t>
      </w:r>
      <w:r>
        <w:rPr>
          <w:color w:val="231F20"/>
        </w:rPr>
        <w:t>pubblico</w:t>
      </w:r>
      <w:r>
        <w:rPr>
          <w:color w:val="231F20"/>
          <w:spacing w:val="-6"/>
        </w:rPr>
        <w:t> </w:t>
      </w:r>
      <w:r>
        <w:rPr>
          <w:color w:val="231F20"/>
        </w:rPr>
        <w:t>dello</w:t>
      </w:r>
      <w:r>
        <w:rPr>
          <w:color w:val="231F20"/>
          <w:spacing w:val="-6"/>
        </w:rPr>
        <w:t> </w:t>
      </w:r>
      <w:r>
        <w:rPr>
          <w:color w:val="231F20"/>
        </w:rPr>
        <w:t>Stato</w:t>
      </w:r>
      <w:r>
        <w:rPr>
          <w:color w:val="231F20"/>
          <w:spacing w:val="-6"/>
        </w:rPr>
        <w:t> </w:t>
      </w:r>
      <w:r>
        <w:rPr>
          <w:color w:val="231F20"/>
        </w:rPr>
        <w:t>membro dell’autorità adita. Spetta alla Corte di giustizia controllare i limiti entro i quali un’autorità adita può rifiutare di prestare la propria assistenza all’au- torità richiedente, tenendo presente che secondo una costante giurispru- denza</w:t>
      </w:r>
      <w:r>
        <w:rPr>
          <w:color w:val="231F20"/>
          <w:spacing w:val="-14"/>
        </w:rPr>
        <w:t> </w:t>
      </w:r>
      <w:r>
        <w:rPr>
          <w:color w:val="231F20"/>
        </w:rPr>
        <w:t>di</w:t>
      </w:r>
      <w:r>
        <w:rPr>
          <w:color w:val="231F20"/>
          <w:spacing w:val="-14"/>
        </w:rPr>
        <w:t> </w:t>
      </w:r>
      <w:r>
        <w:rPr>
          <w:color w:val="231F20"/>
        </w:rPr>
        <w:t>portata</w:t>
      </w:r>
      <w:r>
        <w:rPr>
          <w:color w:val="231F20"/>
          <w:spacing w:val="-14"/>
        </w:rPr>
        <w:t> </w:t>
      </w:r>
      <w:r>
        <w:rPr>
          <w:color w:val="231F20"/>
        </w:rPr>
        <w:t>generale,</w:t>
      </w:r>
      <w:r>
        <w:rPr>
          <w:color w:val="231F20"/>
          <w:spacing w:val="-14"/>
        </w:rPr>
        <w:t> </w:t>
      </w:r>
      <w:r>
        <w:rPr>
          <w:color w:val="231F20"/>
        </w:rPr>
        <w:t>«le</w:t>
      </w:r>
      <w:r>
        <w:rPr>
          <w:color w:val="231F20"/>
          <w:spacing w:val="-14"/>
        </w:rPr>
        <w:t> </w:t>
      </w:r>
      <w:r>
        <w:rPr>
          <w:color w:val="231F20"/>
        </w:rPr>
        <w:t>limitazioni</w:t>
      </w:r>
      <w:r>
        <w:rPr>
          <w:color w:val="231F20"/>
          <w:spacing w:val="-14"/>
        </w:rPr>
        <w:t> </w:t>
      </w:r>
      <w:r>
        <w:rPr>
          <w:color w:val="231F20"/>
        </w:rPr>
        <w:t>all’applicazione</w:t>
      </w:r>
      <w:r>
        <w:rPr>
          <w:color w:val="231F20"/>
          <w:spacing w:val="-14"/>
        </w:rPr>
        <w:t> </w:t>
      </w:r>
      <w:r>
        <w:rPr>
          <w:color w:val="231F20"/>
        </w:rPr>
        <w:t>del</w:t>
      </w:r>
      <w:r>
        <w:rPr>
          <w:color w:val="231F20"/>
          <w:spacing w:val="-14"/>
        </w:rPr>
        <w:t> </w:t>
      </w:r>
      <w:r>
        <w:rPr>
          <w:color w:val="231F20"/>
        </w:rPr>
        <w:t>principio</w:t>
      </w:r>
      <w:r>
        <w:rPr>
          <w:color w:val="231F20"/>
          <w:spacing w:val="-14"/>
        </w:rPr>
        <w:t> </w:t>
      </w:r>
      <w:r>
        <w:rPr>
          <w:color w:val="231F20"/>
        </w:rPr>
        <w:t>della fiducia</w:t>
      </w:r>
      <w:r>
        <w:rPr>
          <w:color w:val="231F20"/>
          <w:spacing w:val="-9"/>
        </w:rPr>
        <w:t> </w:t>
      </w:r>
      <w:r>
        <w:rPr>
          <w:color w:val="231F20"/>
        </w:rPr>
        <w:t>reciproca</w:t>
      </w:r>
      <w:r>
        <w:rPr>
          <w:color w:val="231F20"/>
          <w:spacing w:val="-9"/>
        </w:rPr>
        <w:t> </w:t>
      </w:r>
      <w:r>
        <w:rPr>
          <w:color w:val="231F20"/>
        </w:rPr>
        <w:t>(fra</w:t>
      </w:r>
      <w:r>
        <w:rPr>
          <w:color w:val="231F20"/>
          <w:spacing w:val="-9"/>
        </w:rPr>
        <w:t> </w:t>
      </w:r>
      <w:r>
        <w:rPr>
          <w:color w:val="231F20"/>
        </w:rPr>
        <w:t>gli</w:t>
      </w:r>
      <w:r>
        <w:rPr>
          <w:color w:val="231F20"/>
          <w:spacing w:val="-9"/>
        </w:rPr>
        <w:t> </w:t>
      </w:r>
      <w:r>
        <w:rPr>
          <w:color w:val="231F20"/>
        </w:rPr>
        <w:t>Stati</w:t>
      </w:r>
      <w:r>
        <w:rPr>
          <w:color w:val="231F20"/>
          <w:spacing w:val="-9"/>
        </w:rPr>
        <w:t> </w:t>
      </w:r>
      <w:r>
        <w:rPr>
          <w:color w:val="231F20"/>
        </w:rPr>
        <w:t>membri)</w:t>
      </w:r>
      <w:r>
        <w:rPr>
          <w:color w:val="231F20"/>
          <w:spacing w:val="-9"/>
        </w:rPr>
        <w:t> </w:t>
      </w:r>
      <w:r>
        <w:rPr>
          <w:color w:val="231F20"/>
        </w:rPr>
        <w:t>sono</w:t>
      </w:r>
      <w:r>
        <w:rPr>
          <w:color w:val="231F20"/>
          <w:spacing w:val="-9"/>
        </w:rPr>
        <w:t> </w:t>
      </w:r>
      <w:r>
        <w:rPr>
          <w:color w:val="231F20"/>
        </w:rPr>
        <w:t>soggette</w:t>
      </w:r>
      <w:r>
        <w:rPr>
          <w:color w:val="231F20"/>
          <w:spacing w:val="-9"/>
        </w:rPr>
        <w:t> </w:t>
      </w:r>
      <w:r>
        <w:rPr>
          <w:color w:val="231F20"/>
        </w:rPr>
        <w:t>ad</w:t>
      </w:r>
      <w:r>
        <w:rPr>
          <w:color w:val="231F20"/>
          <w:spacing w:val="-9"/>
        </w:rPr>
        <w:t> </w:t>
      </w:r>
      <w:r>
        <w:rPr>
          <w:color w:val="231F20"/>
        </w:rPr>
        <w:t>un’interpretazione </w:t>
      </w:r>
      <w:r>
        <w:rPr>
          <w:color w:val="231F20"/>
          <w:spacing w:val="-2"/>
        </w:rPr>
        <w:t>restrittiva»</w:t>
      </w:r>
      <w:r>
        <w:rPr>
          <w:color w:val="231F20"/>
          <w:spacing w:val="-2"/>
          <w:position w:val="8"/>
          <w:sz w:val="14"/>
        </w:rPr>
        <w:t>155</w:t>
      </w:r>
      <w:r>
        <w:rPr>
          <w:color w:val="231F20"/>
          <w:spacing w:val="-2"/>
        </w:rPr>
        <w:t>.</w:t>
      </w:r>
    </w:p>
    <w:p>
      <w:pPr>
        <w:pStyle w:val="BodyText"/>
        <w:spacing w:before="42"/>
      </w:pPr>
    </w:p>
    <w:p>
      <w:pPr>
        <w:pStyle w:val="ListParagraph"/>
        <w:numPr>
          <w:ilvl w:val="2"/>
          <w:numId w:val="4"/>
        </w:numPr>
        <w:tabs>
          <w:tab w:pos="757" w:val="left" w:leader="none"/>
        </w:tabs>
        <w:spacing w:line="230" w:lineRule="auto" w:before="0" w:after="0"/>
        <w:ind w:left="157" w:right="365" w:firstLine="0"/>
        <w:jc w:val="left"/>
        <w:rPr>
          <w:i/>
          <w:sz w:val="24"/>
        </w:rPr>
      </w:pPr>
      <w:r>
        <w:rPr>
          <w:i/>
          <w:color w:val="231F20"/>
          <w:sz w:val="24"/>
        </w:rPr>
        <w:t>Liceità</w:t>
      </w:r>
      <w:r>
        <w:rPr>
          <w:i/>
          <w:color w:val="231F20"/>
          <w:spacing w:val="-6"/>
          <w:sz w:val="24"/>
        </w:rPr>
        <w:t> </w:t>
      </w:r>
      <w:r>
        <w:rPr>
          <w:i/>
          <w:color w:val="231F20"/>
          <w:sz w:val="24"/>
        </w:rPr>
        <w:t>del</w:t>
      </w:r>
      <w:r>
        <w:rPr>
          <w:i/>
          <w:color w:val="231F20"/>
          <w:spacing w:val="-6"/>
          <w:sz w:val="24"/>
        </w:rPr>
        <w:t> </w:t>
      </w:r>
      <w:r>
        <w:rPr>
          <w:i/>
          <w:color w:val="231F20"/>
          <w:sz w:val="24"/>
        </w:rPr>
        <w:t>rifiuto</w:t>
      </w:r>
      <w:r>
        <w:rPr>
          <w:i/>
          <w:color w:val="231F20"/>
          <w:spacing w:val="-6"/>
          <w:sz w:val="24"/>
        </w:rPr>
        <w:t> </w:t>
      </w:r>
      <w:r>
        <w:rPr>
          <w:i/>
          <w:color w:val="231F20"/>
          <w:sz w:val="24"/>
        </w:rPr>
        <w:t>di</w:t>
      </w:r>
      <w:r>
        <w:rPr>
          <w:i/>
          <w:color w:val="231F20"/>
          <w:spacing w:val="-6"/>
          <w:sz w:val="24"/>
        </w:rPr>
        <w:t> </w:t>
      </w:r>
      <w:r>
        <w:rPr>
          <w:i/>
          <w:color w:val="231F20"/>
          <w:sz w:val="24"/>
        </w:rPr>
        <w:t>eseguire</w:t>
      </w:r>
      <w:r>
        <w:rPr>
          <w:i/>
          <w:color w:val="231F20"/>
          <w:spacing w:val="-6"/>
          <w:sz w:val="24"/>
        </w:rPr>
        <w:t> </w:t>
      </w:r>
      <w:r>
        <w:rPr>
          <w:i/>
          <w:color w:val="231F20"/>
          <w:sz w:val="24"/>
        </w:rPr>
        <w:t>una</w:t>
      </w:r>
      <w:r>
        <w:rPr>
          <w:i/>
          <w:color w:val="231F20"/>
          <w:spacing w:val="-6"/>
          <w:sz w:val="24"/>
        </w:rPr>
        <w:t> </w:t>
      </w:r>
      <w:r>
        <w:rPr>
          <w:i/>
          <w:color w:val="231F20"/>
          <w:sz w:val="24"/>
        </w:rPr>
        <w:t>domanda</w:t>
      </w:r>
      <w:r>
        <w:rPr>
          <w:i/>
          <w:color w:val="231F20"/>
          <w:spacing w:val="-6"/>
          <w:sz w:val="24"/>
        </w:rPr>
        <w:t> </w:t>
      </w:r>
      <w:r>
        <w:rPr>
          <w:i/>
          <w:color w:val="231F20"/>
          <w:sz w:val="24"/>
        </w:rPr>
        <w:t>di</w:t>
      </w:r>
      <w:r>
        <w:rPr>
          <w:i/>
          <w:color w:val="231F20"/>
          <w:spacing w:val="-6"/>
          <w:sz w:val="24"/>
        </w:rPr>
        <w:t> </w:t>
      </w:r>
      <w:r>
        <w:rPr>
          <w:i/>
          <w:color w:val="231F20"/>
          <w:sz w:val="24"/>
        </w:rPr>
        <w:t>recupero</w:t>
      </w:r>
      <w:r>
        <w:rPr>
          <w:i/>
          <w:color w:val="231F20"/>
          <w:spacing w:val="-6"/>
          <w:sz w:val="24"/>
        </w:rPr>
        <w:t> </w:t>
      </w:r>
      <w:r>
        <w:rPr>
          <w:i/>
          <w:color w:val="231F20"/>
          <w:sz w:val="24"/>
        </w:rPr>
        <w:t>di</w:t>
      </w:r>
      <w:r>
        <w:rPr>
          <w:i/>
          <w:color w:val="231F20"/>
          <w:spacing w:val="-6"/>
          <w:sz w:val="24"/>
        </w:rPr>
        <w:t> </w:t>
      </w:r>
      <w:r>
        <w:rPr>
          <w:i/>
          <w:color w:val="231F20"/>
          <w:sz w:val="24"/>
        </w:rPr>
        <w:t>un</w:t>
      </w:r>
      <w:r>
        <w:rPr>
          <w:i/>
          <w:color w:val="231F20"/>
          <w:spacing w:val="-6"/>
          <w:sz w:val="24"/>
        </w:rPr>
        <w:t> </w:t>
      </w:r>
      <w:r>
        <w:rPr>
          <w:i/>
          <w:color w:val="231F20"/>
          <w:sz w:val="24"/>
        </w:rPr>
        <w:t>credito</w:t>
      </w:r>
      <w:r>
        <w:rPr>
          <w:i/>
          <w:color w:val="231F20"/>
          <w:sz w:val="24"/>
        </w:rPr>
        <w:t> tributario di un’altra amministrazione se questa non ha notificato</w:t>
      </w:r>
    </w:p>
    <w:p>
      <w:pPr>
        <w:spacing w:line="290" w:lineRule="exact" w:before="0"/>
        <w:ind w:left="157" w:right="0" w:firstLine="0"/>
        <w:jc w:val="both"/>
        <w:rPr>
          <w:i/>
          <w:sz w:val="24"/>
        </w:rPr>
      </w:pPr>
      <w:r>
        <w:rPr>
          <w:i/>
          <w:color w:val="231F20"/>
          <w:sz w:val="24"/>
        </w:rPr>
        <w:t>al</w:t>
      </w:r>
      <w:r>
        <w:rPr>
          <w:i/>
          <w:color w:val="231F20"/>
          <w:spacing w:val="-1"/>
          <w:sz w:val="24"/>
        </w:rPr>
        <w:t> </w:t>
      </w:r>
      <w:r>
        <w:rPr>
          <w:i/>
          <w:color w:val="231F20"/>
          <w:sz w:val="24"/>
        </w:rPr>
        <w:t>contribuente</w:t>
      </w:r>
      <w:r>
        <w:rPr>
          <w:i/>
          <w:color w:val="231F20"/>
          <w:spacing w:val="-1"/>
          <w:sz w:val="24"/>
        </w:rPr>
        <w:t> </w:t>
      </w:r>
      <w:r>
        <w:rPr>
          <w:i/>
          <w:color w:val="231F20"/>
          <w:sz w:val="24"/>
        </w:rPr>
        <w:t>l’atto</w:t>
      </w:r>
      <w:r>
        <w:rPr>
          <w:i/>
          <w:color w:val="231F20"/>
          <w:spacing w:val="-1"/>
          <w:sz w:val="24"/>
        </w:rPr>
        <w:t> </w:t>
      </w:r>
      <w:r>
        <w:rPr>
          <w:i/>
          <w:color w:val="231F20"/>
          <w:sz w:val="24"/>
        </w:rPr>
        <w:t>costitutivo</w:t>
      </w:r>
      <w:r>
        <w:rPr>
          <w:i/>
          <w:color w:val="231F20"/>
          <w:spacing w:val="-1"/>
          <w:sz w:val="24"/>
        </w:rPr>
        <w:t> </w:t>
      </w:r>
      <w:r>
        <w:rPr>
          <w:i/>
          <w:color w:val="231F20"/>
          <w:sz w:val="24"/>
        </w:rPr>
        <w:t>dello</w:t>
      </w:r>
      <w:r>
        <w:rPr>
          <w:i/>
          <w:color w:val="231F20"/>
          <w:spacing w:val="-1"/>
          <w:sz w:val="24"/>
        </w:rPr>
        <w:t> </w:t>
      </w:r>
      <w:r>
        <w:rPr>
          <w:i/>
          <w:color w:val="231F20"/>
          <w:spacing w:val="-2"/>
          <w:sz w:val="24"/>
        </w:rPr>
        <w:t>stesso</w:t>
      </w:r>
    </w:p>
    <w:p>
      <w:pPr>
        <w:pStyle w:val="BodyText"/>
        <w:spacing w:line="225" w:lineRule="auto" w:before="170"/>
        <w:ind w:left="157" w:right="117"/>
        <w:jc w:val="both"/>
      </w:pPr>
      <w:r>
        <w:rPr>
          <w:color w:val="231F20"/>
        </w:rPr>
        <w:t>Il dato del tutto anomalo nella vicenda del sig. </w:t>
      </w:r>
      <w:r>
        <w:rPr>
          <w:i/>
          <w:color w:val="231F20"/>
        </w:rPr>
        <w:t>Donnellan </w:t>
      </w:r>
      <w:r>
        <w:rPr>
          <w:color w:val="231F20"/>
        </w:rPr>
        <w:t>consisteva nel fatto che l’amministrazione greca non gli aveva mai notificato l’atto am- ministrativo con il quale la stessa aveva irrogato la sanzione tributaria di cui poi aveva chiesto il recupero all’amministrazione irlandese. Di conse- guenza il sig. </w:t>
      </w:r>
      <w:r>
        <w:rPr>
          <w:i/>
          <w:color w:val="231F20"/>
        </w:rPr>
        <w:t>Donnellan</w:t>
      </w:r>
      <w:r>
        <w:rPr>
          <w:color w:val="231F20"/>
        </w:rPr>
        <w:t>, non avendo avuto conoscenza, né del </w:t>
      </w:r>
      <w:r>
        <w:rPr>
          <w:color w:val="231F20"/>
        </w:rPr>
        <w:t>contenuto, né</w:t>
      </w:r>
      <w:r>
        <w:rPr>
          <w:color w:val="231F20"/>
          <w:spacing w:val="-7"/>
        </w:rPr>
        <w:t> </w:t>
      </w:r>
      <w:r>
        <w:rPr>
          <w:color w:val="231F20"/>
        </w:rPr>
        <w:t>dei</w:t>
      </w:r>
      <w:r>
        <w:rPr>
          <w:color w:val="231F20"/>
          <w:spacing w:val="-7"/>
        </w:rPr>
        <w:t> </w:t>
      </w:r>
      <w:r>
        <w:rPr>
          <w:color w:val="231F20"/>
        </w:rPr>
        <w:t>motivi</w:t>
      </w:r>
      <w:r>
        <w:rPr>
          <w:color w:val="231F20"/>
          <w:spacing w:val="-7"/>
        </w:rPr>
        <w:t> </w:t>
      </w:r>
      <w:r>
        <w:rPr>
          <w:color w:val="231F20"/>
        </w:rPr>
        <w:t>della</w:t>
      </w:r>
      <w:r>
        <w:rPr>
          <w:color w:val="231F20"/>
          <w:spacing w:val="-7"/>
        </w:rPr>
        <w:t> </w:t>
      </w:r>
      <w:r>
        <w:rPr>
          <w:color w:val="231F20"/>
        </w:rPr>
        <w:t>decisione</w:t>
      </w:r>
      <w:r>
        <w:rPr>
          <w:color w:val="231F20"/>
          <w:spacing w:val="-7"/>
        </w:rPr>
        <w:t> </w:t>
      </w:r>
      <w:r>
        <w:rPr>
          <w:color w:val="231F20"/>
        </w:rPr>
        <w:t>con</w:t>
      </w:r>
      <w:r>
        <w:rPr>
          <w:color w:val="231F20"/>
          <w:spacing w:val="-7"/>
        </w:rPr>
        <w:t> </w:t>
      </w:r>
      <w:r>
        <w:rPr>
          <w:color w:val="231F20"/>
        </w:rPr>
        <w:t>la</w:t>
      </w:r>
      <w:r>
        <w:rPr>
          <w:color w:val="231F20"/>
          <w:spacing w:val="-7"/>
        </w:rPr>
        <w:t> </w:t>
      </w:r>
      <w:r>
        <w:rPr>
          <w:color w:val="231F20"/>
        </w:rPr>
        <w:t>quale</w:t>
      </w:r>
      <w:r>
        <w:rPr>
          <w:color w:val="231F20"/>
          <w:spacing w:val="-7"/>
        </w:rPr>
        <w:t> </w:t>
      </w:r>
      <w:r>
        <w:rPr>
          <w:color w:val="231F20"/>
        </w:rPr>
        <w:t>l’amministrazione</w:t>
      </w:r>
      <w:r>
        <w:rPr>
          <w:color w:val="231F20"/>
          <w:spacing w:val="-7"/>
        </w:rPr>
        <w:t> </w:t>
      </w:r>
      <w:r>
        <w:rPr>
          <w:color w:val="231F20"/>
        </w:rPr>
        <w:t>greca</w:t>
      </w:r>
      <w:r>
        <w:rPr>
          <w:color w:val="231F20"/>
          <w:spacing w:val="-7"/>
        </w:rPr>
        <w:t> </w:t>
      </w:r>
      <w:r>
        <w:rPr>
          <w:color w:val="231F20"/>
        </w:rPr>
        <w:t>gli</w:t>
      </w:r>
      <w:r>
        <w:rPr>
          <w:color w:val="231F20"/>
          <w:spacing w:val="-7"/>
        </w:rPr>
        <w:t> </w:t>
      </w:r>
      <w:r>
        <w:rPr>
          <w:color w:val="231F20"/>
        </w:rPr>
        <w:t>aveva irrogato</w:t>
      </w:r>
      <w:r>
        <w:rPr>
          <w:color w:val="231F20"/>
          <w:spacing w:val="-6"/>
        </w:rPr>
        <w:t> </w:t>
      </w:r>
      <w:r>
        <w:rPr>
          <w:color w:val="231F20"/>
        </w:rPr>
        <w:t>la</w:t>
      </w:r>
      <w:r>
        <w:rPr>
          <w:color w:val="231F20"/>
          <w:spacing w:val="-6"/>
        </w:rPr>
        <w:t> </w:t>
      </w:r>
      <w:r>
        <w:rPr>
          <w:color w:val="231F20"/>
        </w:rPr>
        <w:t>sanzione,</w:t>
      </w:r>
      <w:r>
        <w:rPr>
          <w:color w:val="231F20"/>
          <w:spacing w:val="-6"/>
        </w:rPr>
        <w:t> </w:t>
      </w:r>
      <w:r>
        <w:rPr>
          <w:color w:val="231F20"/>
        </w:rPr>
        <w:t>non</w:t>
      </w:r>
      <w:r>
        <w:rPr>
          <w:color w:val="231F20"/>
          <w:spacing w:val="-6"/>
        </w:rPr>
        <w:t> </w:t>
      </w:r>
      <w:r>
        <w:rPr>
          <w:color w:val="231F20"/>
        </w:rPr>
        <w:t>aveva</w:t>
      </w:r>
      <w:r>
        <w:rPr>
          <w:color w:val="231F20"/>
          <w:spacing w:val="-6"/>
        </w:rPr>
        <w:t> </w:t>
      </w:r>
      <w:r>
        <w:rPr>
          <w:color w:val="231F20"/>
        </w:rPr>
        <w:t>avuto</w:t>
      </w:r>
      <w:r>
        <w:rPr>
          <w:color w:val="231F20"/>
          <w:spacing w:val="-6"/>
        </w:rPr>
        <w:t> </w:t>
      </w:r>
      <w:r>
        <w:rPr>
          <w:color w:val="231F20"/>
        </w:rPr>
        <w:t>la</w:t>
      </w:r>
      <w:r>
        <w:rPr>
          <w:color w:val="231F20"/>
          <w:spacing w:val="-6"/>
        </w:rPr>
        <w:t> </w:t>
      </w:r>
      <w:r>
        <w:rPr>
          <w:color w:val="231F20"/>
        </w:rPr>
        <w:t>possibilità</w:t>
      </w:r>
      <w:r>
        <w:rPr>
          <w:color w:val="231F20"/>
          <w:spacing w:val="-6"/>
        </w:rPr>
        <w:t> </w:t>
      </w:r>
      <w:r>
        <w:rPr>
          <w:color w:val="231F20"/>
        </w:rPr>
        <w:t>di</w:t>
      </w:r>
      <w:r>
        <w:rPr>
          <w:color w:val="231F20"/>
          <w:spacing w:val="-6"/>
        </w:rPr>
        <w:t> </w:t>
      </w:r>
      <w:r>
        <w:rPr>
          <w:color w:val="231F20"/>
        </w:rPr>
        <w:t>contestare</w:t>
      </w:r>
      <w:r>
        <w:rPr>
          <w:color w:val="231F20"/>
          <w:spacing w:val="-6"/>
        </w:rPr>
        <w:t> </w:t>
      </w:r>
      <w:r>
        <w:rPr>
          <w:color w:val="231F20"/>
        </w:rPr>
        <w:t>detta</w:t>
      </w:r>
      <w:r>
        <w:rPr>
          <w:color w:val="231F20"/>
          <w:spacing w:val="-6"/>
        </w:rPr>
        <w:t> </w:t>
      </w:r>
      <w:r>
        <w:rPr>
          <w:color w:val="231F20"/>
        </w:rPr>
        <w:t>deci- sione dinanzi al giudice competente dello Stato membro richiedente, vale a dire della Grecia. Di fronte ad una tale anomala situazione</w:t>
      </w:r>
      <w:r>
        <w:rPr>
          <w:color w:val="231F20"/>
          <w:position w:val="8"/>
          <w:sz w:val="14"/>
        </w:rPr>
        <w:t>156</w:t>
      </w:r>
      <w:r>
        <w:rPr>
          <w:color w:val="231F20"/>
        </w:rPr>
        <w:t>, la Corte</w:t>
      </w:r>
      <w:r>
        <w:rPr>
          <w:color w:val="231F20"/>
          <w:spacing w:val="40"/>
        </w:rPr>
        <w:t> </w:t>
      </w:r>
      <w:r>
        <w:rPr>
          <w:color w:val="231F20"/>
        </w:rPr>
        <w:t>di giustizia ha elaborato un’originale soluzione fondata in primo luogo su un’interpretazione</w:t>
      </w:r>
      <w:r>
        <w:rPr>
          <w:color w:val="231F20"/>
          <w:spacing w:val="15"/>
        </w:rPr>
        <w:t> </w:t>
      </w:r>
      <w:r>
        <w:rPr>
          <w:i/>
          <w:color w:val="231F20"/>
        </w:rPr>
        <w:t>a</w:t>
      </w:r>
      <w:r>
        <w:rPr>
          <w:i/>
          <w:color w:val="231F20"/>
          <w:spacing w:val="15"/>
        </w:rPr>
        <w:t> </w:t>
      </w:r>
      <w:r>
        <w:rPr>
          <w:i/>
          <w:color w:val="231F20"/>
        </w:rPr>
        <w:t>fortiori</w:t>
      </w:r>
      <w:r>
        <w:rPr>
          <w:i/>
          <w:color w:val="231F20"/>
          <w:spacing w:val="15"/>
        </w:rPr>
        <w:t> </w:t>
      </w:r>
      <w:r>
        <w:rPr>
          <w:color w:val="231F20"/>
        </w:rPr>
        <w:t>dell’art.</w:t>
      </w:r>
      <w:r>
        <w:rPr>
          <w:color w:val="231F20"/>
          <w:spacing w:val="15"/>
        </w:rPr>
        <w:t> </w:t>
      </w:r>
      <w:r>
        <w:rPr>
          <w:color w:val="231F20"/>
        </w:rPr>
        <w:t>11,</w:t>
      </w:r>
      <w:r>
        <w:rPr>
          <w:color w:val="231F20"/>
          <w:spacing w:val="15"/>
        </w:rPr>
        <w:t> </w:t>
      </w:r>
      <w:r>
        <w:rPr>
          <w:color w:val="231F20"/>
        </w:rPr>
        <w:t>direttiva</w:t>
      </w:r>
      <w:r>
        <w:rPr>
          <w:color w:val="231F20"/>
          <w:spacing w:val="15"/>
        </w:rPr>
        <w:t> </w:t>
      </w:r>
      <w:r>
        <w:rPr>
          <w:color w:val="231F20"/>
        </w:rPr>
        <w:t>(UE)</w:t>
      </w:r>
      <w:r>
        <w:rPr>
          <w:color w:val="231F20"/>
          <w:spacing w:val="15"/>
        </w:rPr>
        <w:t> </w:t>
      </w:r>
      <w:r>
        <w:rPr>
          <w:color w:val="231F20"/>
        </w:rPr>
        <w:t>2010/24</w:t>
      </w:r>
      <w:r>
        <w:rPr>
          <w:color w:val="231F20"/>
          <w:position w:val="8"/>
          <w:sz w:val="14"/>
        </w:rPr>
        <w:t>157</w:t>
      </w:r>
      <w:r>
        <w:rPr>
          <w:color w:val="231F20"/>
        </w:rPr>
        <w:t>:</w:t>
      </w:r>
      <w:r>
        <w:rPr>
          <w:color w:val="231F20"/>
          <w:spacing w:val="15"/>
        </w:rPr>
        <w:t> </w:t>
      </w:r>
      <w:r>
        <w:rPr>
          <w:color w:val="231F20"/>
        </w:rPr>
        <w:t>se</w:t>
      </w:r>
      <w:r>
        <w:rPr>
          <w:color w:val="231F20"/>
          <w:spacing w:val="15"/>
        </w:rPr>
        <w:t> </w:t>
      </w:r>
      <w:r>
        <w:rPr>
          <w:color w:val="231F20"/>
          <w:spacing w:val="-5"/>
        </w:rPr>
        <w:t>in-</w:t>
      </w:r>
    </w:p>
    <w:p>
      <w:pPr>
        <w:pStyle w:val="BodyText"/>
        <w:spacing w:before="9"/>
        <w:rPr>
          <w:sz w:val="10"/>
        </w:rPr>
      </w:pPr>
      <w:r>
        <w:rPr/>
        <mc:AlternateContent>
          <mc:Choice Requires="wps">
            <w:drawing>
              <wp:anchor distT="0" distB="0" distL="0" distR="0" allowOverlap="1" layoutInCell="1" locked="0" behindDoc="1" simplePos="0" relativeHeight="487656960">
                <wp:simplePos x="0" y="0"/>
                <wp:positionH relativeFrom="page">
                  <wp:posOffset>899999</wp:posOffset>
                </wp:positionH>
                <wp:positionV relativeFrom="paragraph">
                  <wp:posOffset>102151</wp:posOffset>
                </wp:positionV>
                <wp:extent cx="792480" cy="1270"/>
                <wp:effectExtent l="0" t="0" r="0" b="0"/>
                <wp:wrapTopAndBottom/>
                <wp:docPr id="222" name="Graphic 222"/>
                <wp:cNvGraphicFramePr>
                  <a:graphicFrameLocks/>
                </wp:cNvGraphicFramePr>
                <a:graphic>
                  <a:graphicData uri="http://schemas.microsoft.com/office/word/2010/wordprocessingShape">
                    <wps:wsp>
                      <wps:cNvPr id="222" name="Graphic 222"/>
                      <wps:cNvSpPr/>
                      <wps:spPr>
                        <a:xfrm>
                          <a:off x="0" y="0"/>
                          <a:ext cx="792480" cy="1270"/>
                        </a:xfrm>
                        <a:custGeom>
                          <a:avLst/>
                          <a:gdLst/>
                          <a:ahLst/>
                          <a:cxnLst/>
                          <a:rect l="l" t="t" r="r" b="b"/>
                          <a:pathLst>
                            <a:path w="792480" h="0">
                              <a:moveTo>
                                <a:pt x="0" y="0"/>
                              </a:moveTo>
                              <a:lnTo>
                                <a:pt x="791997"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shape style="position:absolute;margin-left:70.866096pt;margin-top:8.043392pt;width:62.4pt;height:.1pt;mso-position-horizontal-relative:page;mso-position-vertical-relative:paragraph;z-index:-15659520;mso-wrap-distance-left:0;mso-wrap-distance-right:0" id="docshape184" coordorigin="1417,161" coordsize="1248,0" path="m1417,161l2665,161e" filled="false" stroked="true" strokeweight=".5pt" strokecolor="#231f20">
                <v:path arrowok="t"/>
                <v:stroke dashstyle="solid"/>
                <w10:wrap type="topAndBottom"/>
              </v:shape>
            </w:pict>
          </mc:Fallback>
        </mc:AlternateContent>
      </w:r>
    </w:p>
    <w:p>
      <w:pPr>
        <w:spacing w:line="235" w:lineRule="exact" w:before="190"/>
        <w:ind w:left="157" w:right="0" w:firstLine="0"/>
        <w:jc w:val="both"/>
        <w:rPr>
          <w:sz w:val="19"/>
        </w:rPr>
      </w:pPr>
      <w:r>
        <w:rPr>
          <w:color w:val="231F20"/>
          <w:position w:val="6"/>
          <w:sz w:val="11"/>
        </w:rPr>
        <w:t>154</w:t>
      </w:r>
      <w:r>
        <w:rPr>
          <w:color w:val="231F20"/>
          <w:spacing w:val="79"/>
          <w:position w:val="6"/>
          <w:sz w:val="11"/>
        </w:rPr>
        <w:t> </w:t>
      </w:r>
      <w:r>
        <w:rPr>
          <w:color w:val="231F20"/>
          <w:sz w:val="19"/>
        </w:rPr>
        <w:t>Corte Giust. UE, C-34/17,</w:t>
      </w:r>
      <w:r>
        <w:rPr>
          <w:color w:val="231F20"/>
          <w:spacing w:val="-1"/>
          <w:sz w:val="19"/>
        </w:rPr>
        <w:t> </w:t>
      </w:r>
      <w:r>
        <w:rPr>
          <w:color w:val="231F20"/>
          <w:sz w:val="19"/>
        </w:rPr>
        <w:t>ult. cit., punti da 42 a </w:t>
      </w:r>
      <w:r>
        <w:rPr>
          <w:color w:val="231F20"/>
          <w:spacing w:val="-5"/>
          <w:sz w:val="19"/>
        </w:rPr>
        <w:t>46.</w:t>
      </w:r>
    </w:p>
    <w:p>
      <w:pPr>
        <w:spacing w:line="228" w:lineRule="exact" w:before="0"/>
        <w:ind w:left="157" w:right="0" w:firstLine="0"/>
        <w:jc w:val="both"/>
        <w:rPr>
          <w:sz w:val="19"/>
        </w:rPr>
      </w:pPr>
      <w:r>
        <w:rPr>
          <w:color w:val="231F20"/>
          <w:position w:val="6"/>
          <w:sz w:val="11"/>
        </w:rPr>
        <w:t>155</w:t>
      </w:r>
      <w:r>
        <w:rPr>
          <w:color w:val="231F20"/>
          <w:spacing w:val="79"/>
          <w:position w:val="6"/>
          <w:sz w:val="11"/>
        </w:rPr>
        <w:t> </w:t>
      </w:r>
      <w:r>
        <w:rPr>
          <w:color w:val="231F20"/>
          <w:sz w:val="19"/>
        </w:rPr>
        <w:t>Corte Giust. UE, C-34/17,</w:t>
      </w:r>
      <w:r>
        <w:rPr>
          <w:color w:val="231F20"/>
          <w:spacing w:val="-1"/>
          <w:sz w:val="19"/>
        </w:rPr>
        <w:t> </w:t>
      </w:r>
      <w:r>
        <w:rPr>
          <w:color w:val="231F20"/>
          <w:sz w:val="19"/>
        </w:rPr>
        <w:t>ult. cit., punti da 47 a </w:t>
      </w:r>
      <w:r>
        <w:rPr>
          <w:color w:val="231F20"/>
          <w:spacing w:val="-5"/>
          <w:sz w:val="19"/>
        </w:rPr>
        <w:t>50.</w:t>
      </w:r>
    </w:p>
    <w:p>
      <w:pPr>
        <w:spacing w:line="225" w:lineRule="auto" w:before="4"/>
        <w:ind w:left="157" w:right="118" w:firstLine="0"/>
        <w:jc w:val="both"/>
        <w:rPr>
          <w:sz w:val="19"/>
        </w:rPr>
      </w:pPr>
      <w:r>
        <w:rPr>
          <w:color w:val="231F20"/>
          <w:position w:val="6"/>
          <w:sz w:val="11"/>
        </w:rPr>
        <w:t>156</w:t>
      </w:r>
      <w:r>
        <w:rPr>
          <w:color w:val="231F20"/>
          <w:spacing w:val="74"/>
          <w:position w:val="6"/>
          <w:sz w:val="11"/>
        </w:rPr>
        <w:t> </w:t>
      </w:r>
      <w:r>
        <w:rPr>
          <w:color w:val="231F20"/>
          <w:sz w:val="19"/>
        </w:rPr>
        <w:t>«…una</w:t>
      </w:r>
      <w:r>
        <w:rPr>
          <w:color w:val="231F20"/>
          <w:spacing w:val="-3"/>
          <w:sz w:val="19"/>
        </w:rPr>
        <w:t> </w:t>
      </w:r>
      <w:r>
        <w:rPr>
          <w:color w:val="231F20"/>
          <w:sz w:val="19"/>
        </w:rPr>
        <w:t>situazione</w:t>
      </w:r>
      <w:r>
        <w:rPr>
          <w:color w:val="231F20"/>
          <w:spacing w:val="-4"/>
          <w:sz w:val="19"/>
        </w:rPr>
        <w:t> </w:t>
      </w:r>
      <w:r>
        <w:rPr>
          <w:color w:val="231F20"/>
          <w:sz w:val="19"/>
        </w:rPr>
        <w:t>eccezionale</w:t>
      </w:r>
      <w:r>
        <w:rPr>
          <w:color w:val="231F20"/>
          <w:spacing w:val="-4"/>
          <w:sz w:val="19"/>
        </w:rPr>
        <w:t> </w:t>
      </w:r>
      <w:r>
        <w:rPr>
          <w:color w:val="231F20"/>
          <w:sz w:val="19"/>
        </w:rPr>
        <w:t>come</w:t>
      </w:r>
      <w:r>
        <w:rPr>
          <w:color w:val="231F20"/>
          <w:spacing w:val="-4"/>
          <w:sz w:val="19"/>
        </w:rPr>
        <w:t> </w:t>
      </w:r>
      <w:r>
        <w:rPr>
          <w:color w:val="231F20"/>
          <w:sz w:val="19"/>
        </w:rPr>
        <w:t>quella</w:t>
      </w:r>
      <w:r>
        <w:rPr>
          <w:color w:val="231F20"/>
          <w:spacing w:val="-4"/>
          <w:sz w:val="19"/>
        </w:rPr>
        <w:t> </w:t>
      </w:r>
      <w:r>
        <w:rPr>
          <w:color w:val="231F20"/>
          <w:sz w:val="19"/>
        </w:rPr>
        <w:t>oggetto</w:t>
      </w:r>
      <w:r>
        <w:rPr>
          <w:color w:val="231F20"/>
          <w:spacing w:val="-4"/>
          <w:sz w:val="19"/>
        </w:rPr>
        <w:t> </w:t>
      </w:r>
      <w:r>
        <w:rPr>
          <w:color w:val="231F20"/>
          <w:sz w:val="19"/>
        </w:rPr>
        <w:t>del</w:t>
      </w:r>
      <w:r>
        <w:rPr>
          <w:color w:val="231F20"/>
          <w:spacing w:val="-3"/>
          <w:sz w:val="19"/>
        </w:rPr>
        <w:t> </w:t>
      </w:r>
      <w:r>
        <w:rPr>
          <w:color w:val="231F20"/>
          <w:sz w:val="19"/>
        </w:rPr>
        <w:t>procedimento</w:t>
      </w:r>
      <w:r>
        <w:rPr>
          <w:color w:val="231F20"/>
          <w:spacing w:val="-3"/>
          <w:sz w:val="19"/>
        </w:rPr>
        <w:t> </w:t>
      </w:r>
      <w:r>
        <w:rPr>
          <w:color w:val="231F20"/>
          <w:sz w:val="19"/>
        </w:rPr>
        <w:t>principale</w:t>
      </w:r>
      <w:r>
        <w:rPr>
          <w:i/>
          <w:color w:val="231F20"/>
          <w:sz w:val="19"/>
        </w:rPr>
        <w:t>…</w:t>
      </w:r>
      <w:r>
        <w:rPr>
          <w:color w:val="231F20"/>
          <w:sz w:val="19"/>
        </w:rPr>
        <w:t>»,</w:t>
      </w:r>
      <w:r>
        <w:rPr>
          <w:color w:val="231F20"/>
          <w:spacing w:val="-4"/>
          <w:sz w:val="19"/>
        </w:rPr>
        <w:t> </w:t>
      </w:r>
      <w:r>
        <w:rPr>
          <w:color w:val="231F20"/>
          <w:sz w:val="19"/>
        </w:rPr>
        <w:t>Corte Giust. UE, ult. cit.</w:t>
      </w:r>
      <w:r>
        <w:rPr>
          <w:i/>
          <w:color w:val="231F20"/>
          <w:sz w:val="19"/>
        </w:rPr>
        <w:t>, </w:t>
      </w:r>
      <w:r>
        <w:rPr>
          <w:color w:val="231F20"/>
          <w:sz w:val="19"/>
        </w:rPr>
        <w:t>punto 61.</w:t>
      </w:r>
    </w:p>
    <w:p>
      <w:pPr>
        <w:spacing w:line="225" w:lineRule="auto" w:before="2"/>
        <w:ind w:left="157" w:right="117" w:firstLine="0"/>
        <w:jc w:val="both"/>
        <w:rPr>
          <w:sz w:val="19"/>
        </w:rPr>
      </w:pPr>
      <w:r>
        <w:rPr>
          <w:color w:val="231F20"/>
          <w:position w:val="6"/>
          <w:sz w:val="11"/>
        </w:rPr>
        <w:t>157</w:t>
      </w:r>
      <w:r>
        <w:rPr>
          <w:color w:val="231F20"/>
          <w:spacing w:val="68"/>
          <w:position w:val="6"/>
          <w:sz w:val="11"/>
        </w:rPr>
        <w:t> </w:t>
      </w:r>
      <w:r>
        <w:rPr>
          <w:color w:val="231F20"/>
          <w:sz w:val="19"/>
        </w:rPr>
        <w:t>L’art.</w:t>
      </w:r>
      <w:r>
        <w:rPr>
          <w:color w:val="231F20"/>
          <w:spacing w:val="-7"/>
          <w:sz w:val="19"/>
        </w:rPr>
        <w:t> </w:t>
      </w:r>
      <w:r>
        <w:rPr>
          <w:color w:val="231F20"/>
          <w:sz w:val="19"/>
        </w:rPr>
        <w:t>11,</w:t>
      </w:r>
      <w:r>
        <w:rPr>
          <w:color w:val="231F20"/>
          <w:spacing w:val="-7"/>
          <w:sz w:val="19"/>
        </w:rPr>
        <w:t> </w:t>
      </w:r>
      <w:r>
        <w:rPr>
          <w:color w:val="231F20"/>
          <w:sz w:val="19"/>
        </w:rPr>
        <w:t>direttiva</w:t>
      </w:r>
      <w:r>
        <w:rPr>
          <w:color w:val="231F20"/>
          <w:spacing w:val="-7"/>
          <w:sz w:val="19"/>
        </w:rPr>
        <w:t> </w:t>
      </w:r>
      <w:r>
        <w:rPr>
          <w:color w:val="231F20"/>
          <w:sz w:val="19"/>
        </w:rPr>
        <w:t>(UE)</w:t>
      </w:r>
      <w:r>
        <w:rPr>
          <w:color w:val="231F20"/>
          <w:spacing w:val="-7"/>
          <w:sz w:val="19"/>
        </w:rPr>
        <w:t> </w:t>
      </w:r>
      <w:r>
        <w:rPr>
          <w:color w:val="231F20"/>
          <w:sz w:val="19"/>
        </w:rPr>
        <w:t>2010/24,</w:t>
      </w:r>
      <w:r>
        <w:rPr>
          <w:color w:val="231F20"/>
          <w:spacing w:val="-7"/>
          <w:sz w:val="19"/>
        </w:rPr>
        <w:t> </w:t>
      </w:r>
      <w:r>
        <w:rPr>
          <w:color w:val="231F20"/>
          <w:sz w:val="19"/>
        </w:rPr>
        <w:t>dal</w:t>
      </w:r>
      <w:r>
        <w:rPr>
          <w:color w:val="231F20"/>
          <w:spacing w:val="-7"/>
          <w:sz w:val="19"/>
        </w:rPr>
        <w:t> </w:t>
      </w:r>
      <w:r>
        <w:rPr>
          <w:color w:val="231F20"/>
          <w:sz w:val="19"/>
        </w:rPr>
        <w:t>titolo</w:t>
      </w:r>
      <w:r>
        <w:rPr>
          <w:color w:val="231F20"/>
          <w:spacing w:val="-7"/>
          <w:sz w:val="19"/>
        </w:rPr>
        <w:t> </w:t>
      </w:r>
      <w:r>
        <w:rPr>
          <w:color w:val="231F20"/>
          <w:sz w:val="19"/>
        </w:rPr>
        <w:t>molto</w:t>
      </w:r>
      <w:r>
        <w:rPr>
          <w:color w:val="231F20"/>
          <w:spacing w:val="-7"/>
          <w:sz w:val="19"/>
        </w:rPr>
        <w:t> </w:t>
      </w:r>
      <w:r>
        <w:rPr>
          <w:color w:val="231F20"/>
          <w:sz w:val="19"/>
        </w:rPr>
        <w:t>eloquente</w:t>
      </w:r>
      <w:r>
        <w:rPr>
          <w:color w:val="231F20"/>
          <w:spacing w:val="-7"/>
          <w:sz w:val="19"/>
        </w:rPr>
        <w:t> </w:t>
      </w:r>
      <w:r>
        <w:rPr>
          <w:color w:val="231F20"/>
          <w:sz w:val="19"/>
        </w:rPr>
        <w:t>«Condizioni</w:t>
      </w:r>
      <w:r>
        <w:rPr>
          <w:color w:val="231F20"/>
          <w:spacing w:val="-7"/>
          <w:sz w:val="19"/>
        </w:rPr>
        <w:t> </w:t>
      </w:r>
      <w:r>
        <w:rPr>
          <w:color w:val="231F20"/>
          <w:sz w:val="19"/>
        </w:rPr>
        <w:t>che</w:t>
      </w:r>
      <w:r>
        <w:rPr>
          <w:color w:val="231F20"/>
          <w:spacing w:val="-7"/>
          <w:sz w:val="19"/>
        </w:rPr>
        <w:t> </w:t>
      </w:r>
      <w:r>
        <w:rPr>
          <w:color w:val="231F20"/>
          <w:sz w:val="19"/>
        </w:rPr>
        <w:t>disciplinano la</w:t>
      </w:r>
      <w:r>
        <w:rPr>
          <w:color w:val="231F20"/>
          <w:spacing w:val="-3"/>
          <w:sz w:val="19"/>
        </w:rPr>
        <w:t> </w:t>
      </w:r>
      <w:r>
        <w:rPr>
          <w:color w:val="231F20"/>
          <w:sz w:val="19"/>
        </w:rPr>
        <w:t>domanda</w:t>
      </w:r>
      <w:r>
        <w:rPr>
          <w:color w:val="231F20"/>
          <w:spacing w:val="-3"/>
          <w:sz w:val="19"/>
        </w:rPr>
        <w:t> </w:t>
      </w:r>
      <w:r>
        <w:rPr>
          <w:color w:val="231F20"/>
          <w:sz w:val="19"/>
        </w:rPr>
        <w:t>di</w:t>
      </w:r>
      <w:r>
        <w:rPr>
          <w:color w:val="231F20"/>
          <w:spacing w:val="-3"/>
          <w:sz w:val="19"/>
        </w:rPr>
        <w:t> </w:t>
      </w:r>
      <w:r>
        <w:rPr>
          <w:color w:val="231F20"/>
          <w:sz w:val="19"/>
        </w:rPr>
        <w:t>recupero»</w:t>
      </w:r>
      <w:r>
        <w:rPr>
          <w:i/>
          <w:color w:val="231F20"/>
          <w:sz w:val="19"/>
        </w:rPr>
        <w:t>,</w:t>
      </w:r>
      <w:r>
        <w:rPr>
          <w:i/>
          <w:color w:val="231F20"/>
          <w:spacing w:val="-3"/>
          <w:sz w:val="19"/>
        </w:rPr>
        <w:t> </w:t>
      </w:r>
      <w:r>
        <w:rPr>
          <w:color w:val="231F20"/>
          <w:sz w:val="19"/>
        </w:rPr>
        <w:t>prevede</w:t>
      </w:r>
      <w:r>
        <w:rPr>
          <w:color w:val="231F20"/>
          <w:spacing w:val="-3"/>
          <w:sz w:val="19"/>
        </w:rPr>
        <w:t> </w:t>
      </w:r>
      <w:r>
        <w:rPr>
          <w:color w:val="231F20"/>
          <w:sz w:val="19"/>
        </w:rPr>
        <w:t>che</w:t>
      </w:r>
      <w:r>
        <w:rPr>
          <w:color w:val="231F20"/>
          <w:spacing w:val="-3"/>
          <w:sz w:val="19"/>
        </w:rPr>
        <w:t> </w:t>
      </w:r>
      <w:r>
        <w:rPr>
          <w:color w:val="231F20"/>
          <w:sz w:val="19"/>
        </w:rPr>
        <w:t>(par.1):</w:t>
      </w:r>
      <w:r>
        <w:rPr>
          <w:color w:val="231F20"/>
          <w:spacing w:val="-3"/>
          <w:sz w:val="19"/>
        </w:rPr>
        <w:t> </w:t>
      </w:r>
      <w:r>
        <w:rPr>
          <w:color w:val="231F20"/>
          <w:sz w:val="19"/>
        </w:rPr>
        <w:t>«L’autorità</w:t>
      </w:r>
      <w:r>
        <w:rPr>
          <w:color w:val="231F20"/>
          <w:spacing w:val="-3"/>
          <w:sz w:val="19"/>
        </w:rPr>
        <w:t> </w:t>
      </w:r>
      <w:r>
        <w:rPr>
          <w:color w:val="231F20"/>
          <w:sz w:val="19"/>
        </w:rPr>
        <w:t>richiedente</w:t>
      </w:r>
      <w:r>
        <w:rPr>
          <w:color w:val="231F20"/>
          <w:spacing w:val="-3"/>
          <w:sz w:val="19"/>
        </w:rPr>
        <w:t> </w:t>
      </w:r>
      <w:r>
        <w:rPr>
          <w:color w:val="231F20"/>
          <w:sz w:val="19"/>
        </w:rPr>
        <w:t>non</w:t>
      </w:r>
      <w:r>
        <w:rPr>
          <w:color w:val="231F20"/>
          <w:spacing w:val="-3"/>
          <w:sz w:val="19"/>
        </w:rPr>
        <w:t> </w:t>
      </w:r>
      <w:r>
        <w:rPr>
          <w:color w:val="231F20"/>
          <w:sz w:val="19"/>
        </w:rPr>
        <w:t>può</w:t>
      </w:r>
      <w:r>
        <w:rPr>
          <w:color w:val="231F20"/>
          <w:spacing w:val="-3"/>
          <w:sz w:val="19"/>
        </w:rPr>
        <w:t> </w:t>
      </w:r>
      <w:r>
        <w:rPr>
          <w:color w:val="231F20"/>
          <w:sz w:val="19"/>
        </w:rPr>
        <w:t>presentare</w:t>
      </w:r>
      <w:r>
        <w:rPr>
          <w:color w:val="231F20"/>
          <w:spacing w:val="-3"/>
          <w:sz w:val="19"/>
        </w:rPr>
        <w:t> </w:t>
      </w:r>
      <w:r>
        <w:rPr>
          <w:color w:val="231F20"/>
          <w:sz w:val="19"/>
        </w:rPr>
        <w:t>una domanda</w:t>
      </w:r>
      <w:r>
        <w:rPr>
          <w:color w:val="231F20"/>
          <w:spacing w:val="-5"/>
          <w:sz w:val="19"/>
        </w:rPr>
        <w:t> </w:t>
      </w:r>
      <w:r>
        <w:rPr>
          <w:color w:val="231F20"/>
          <w:sz w:val="19"/>
        </w:rPr>
        <w:t>di</w:t>
      </w:r>
      <w:r>
        <w:rPr>
          <w:color w:val="231F20"/>
          <w:spacing w:val="-5"/>
          <w:sz w:val="19"/>
        </w:rPr>
        <w:t> </w:t>
      </w:r>
      <w:r>
        <w:rPr>
          <w:color w:val="231F20"/>
          <w:sz w:val="19"/>
        </w:rPr>
        <w:t>recupero</w:t>
      </w:r>
      <w:r>
        <w:rPr>
          <w:color w:val="231F20"/>
          <w:spacing w:val="-5"/>
          <w:sz w:val="19"/>
        </w:rPr>
        <w:t> </w:t>
      </w:r>
      <w:r>
        <w:rPr>
          <w:color w:val="231F20"/>
          <w:sz w:val="19"/>
        </w:rPr>
        <w:t>se</w:t>
      </w:r>
      <w:r>
        <w:rPr>
          <w:color w:val="231F20"/>
          <w:spacing w:val="-5"/>
          <w:sz w:val="19"/>
        </w:rPr>
        <w:t> </w:t>
      </w:r>
      <w:r>
        <w:rPr>
          <w:color w:val="231F20"/>
          <w:sz w:val="19"/>
        </w:rPr>
        <w:t>e</w:t>
      </w:r>
      <w:r>
        <w:rPr>
          <w:color w:val="231F20"/>
          <w:spacing w:val="-5"/>
          <w:sz w:val="19"/>
        </w:rPr>
        <w:t> </w:t>
      </w:r>
      <w:r>
        <w:rPr>
          <w:color w:val="231F20"/>
          <w:sz w:val="19"/>
        </w:rPr>
        <w:t>finché</w:t>
      </w:r>
      <w:r>
        <w:rPr>
          <w:color w:val="231F20"/>
          <w:spacing w:val="-5"/>
          <w:sz w:val="19"/>
        </w:rPr>
        <w:t> </w:t>
      </w:r>
      <w:r>
        <w:rPr>
          <w:color w:val="231F20"/>
          <w:sz w:val="19"/>
        </w:rPr>
        <w:t>il</w:t>
      </w:r>
      <w:r>
        <w:rPr>
          <w:color w:val="231F20"/>
          <w:spacing w:val="-5"/>
          <w:sz w:val="19"/>
        </w:rPr>
        <w:t> </w:t>
      </w:r>
      <w:r>
        <w:rPr>
          <w:color w:val="231F20"/>
          <w:sz w:val="19"/>
        </w:rPr>
        <w:t>credito</w:t>
      </w:r>
      <w:r>
        <w:rPr>
          <w:color w:val="231F20"/>
          <w:spacing w:val="-5"/>
          <w:sz w:val="19"/>
        </w:rPr>
        <w:t> </w:t>
      </w:r>
      <w:r>
        <w:rPr>
          <w:color w:val="231F20"/>
          <w:sz w:val="19"/>
        </w:rPr>
        <w:t>e/o</w:t>
      </w:r>
      <w:r>
        <w:rPr>
          <w:color w:val="231F20"/>
          <w:spacing w:val="-5"/>
          <w:sz w:val="19"/>
        </w:rPr>
        <w:t> </w:t>
      </w:r>
      <w:r>
        <w:rPr>
          <w:color w:val="231F20"/>
          <w:sz w:val="19"/>
        </w:rPr>
        <w:t>il</w:t>
      </w:r>
      <w:r>
        <w:rPr>
          <w:color w:val="231F20"/>
          <w:spacing w:val="-5"/>
          <w:sz w:val="19"/>
        </w:rPr>
        <w:t> </w:t>
      </w:r>
      <w:r>
        <w:rPr>
          <w:color w:val="231F20"/>
          <w:sz w:val="19"/>
        </w:rPr>
        <w:t>titolo</w:t>
      </w:r>
      <w:r>
        <w:rPr>
          <w:color w:val="231F20"/>
          <w:spacing w:val="-5"/>
          <w:sz w:val="19"/>
        </w:rPr>
        <w:t> </w:t>
      </w:r>
      <w:r>
        <w:rPr>
          <w:color w:val="231F20"/>
          <w:sz w:val="19"/>
        </w:rPr>
        <w:t>che</w:t>
      </w:r>
      <w:r>
        <w:rPr>
          <w:color w:val="231F20"/>
          <w:spacing w:val="-5"/>
          <w:sz w:val="19"/>
        </w:rPr>
        <w:t> </w:t>
      </w:r>
      <w:r>
        <w:rPr>
          <w:color w:val="231F20"/>
          <w:sz w:val="19"/>
        </w:rPr>
        <w:t>ne</w:t>
      </w:r>
      <w:r>
        <w:rPr>
          <w:color w:val="231F20"/>
          <w:spacing w:val="-5"/>
          <w:sz w:val="19"/>
        </w:rPr>
        <w:t> </w:t>
      </w:r>
      <w:r>
        <w:rPr>
          <w:color w:val="231F20"/>
          <w:sz w:val="19"/>
        </w:rPr>
        <w:t>consente</w:t>
      </w:r>
      <w:r>
        <w:rPr>
          <w:color w:val="231F20"/>
          <w:spacing w:val="-5"/>
          <w:sz w:val="19"/>
        </w:rPr>
        <w:t> </w:t>
      </w:r>
      <w:r>
        <w:rPr>
          <w:color w:val="231F20"/>
          <w:sz w:val="19"/>
        </w:rPr>
        <w:t>l’esecuzione</w:t>
      </w:r>
      <w:r>
        <w:rPr>
          <w:color w:val="231F20"/>
          <w:spacing w:val="-5"/>
          <w:sz w:val="19"/>
        </w:rPr>
        <w:t> </w:t>
      </w:r>
      <w:r>
        <w:rPr>
          <w:color w:val="231F20"/>
          <w:sz w:val="19"/>
        </w:rPr>
        <w:t>nello</w:t>
      </w:r>
      <w:r>
        <w:rPr>
          <w:color w:val="231F20"/>
          <w:spacing w:val="-5"/>
          <w:sz w:val="19"/>
        </w:rPr>
        <w:t> </w:t>
      </w:r>
      <w:r>
        <w:rPr>
          <w:color w:val="231F20"/>
          <w:sz w:val="19"/>
        </w:rPr>
        <w:t>Stato membro richiedente sono contestati in tale Stato membro…».</w:t>
      </w:r>
    </w:p>
    <w:p>
      <w:pPr>
        <w:spacing w:after="0" w:line="225" w:lineRule="auto"/>
        <w:jc w:val="both"/>
        <w:rPr>
          <w:sz w:val="19"/>
        </w:rPr>
        <w:sectPr>
          <w:pgSz w:w="9640" w:h="13610"/>
          <w:pgMar w:header="0" w:footer="625" w:top="1260" w:bottom="820" w:left="1260" w:right="1240"/>
        </w:sectPr>
      </w:pPr>
    </w:p>
    <w:p>
      <w:pPr>
        <w:pStyle w:val="BodyText"/>
        <w:spacing w:line="225" w:lineRule="auto" w:before="117"/>
        <w:ind w:left="100" w:right="174"/>
        <w:jc w:val="both"/>
      </w:pPr>
      <w:r>
        <w:rPr>
          <w:color w:val="231F20"/>
        </w:rPr>
        <w:t>fatti, secondo tale disposizione, una domanda di recupero non può esse-</w:t>
      </w:r>
      <w:r>
        <w:rPr>
          <w:color w:val="231F20"/>
          <w:spacing w:val="40"/>
        </w:rPr>
        <w:t> </w:t>
      </w:r>
      <w:r>
        <w:rPr>
          <w:color w:val="231F20"/>
        </w:rPr>
        <w:t>re trasmessa dall’autorità richiedente all’autorità adita «se e finché» </w:t>
      </w:r>
      <w:r>
        <w:rPr>
          <w:color w:val="231F20"/>
        </w:rPr>
        <w:t>l’atto amministrativo che ha dato origine al credito tributario da recuperare è contestato</w:t>
      </w:r>
      <w:r>
        <w:rPr>
          <w:color w:val="231F20"/>
          <w:spacing w:val="-10"/>
        </w:rPr>
        <w:t> </w:t>
      </w:r>
      <w:r>
        <w:rPr>
          <w:color w:val="231F20"/>
        </w:rPr>
        <w:t>dinanzi</w:t>
      </w:r>
      <w:r>
        <w:rPr>
          <w:color w:val="231F20"/>
          <w:spacing w:val="-10"/>
        </w:rPr>
        <w:t> </w:t>
      </w:r>
      <w:r>
        <w:rPr>
          <w:color w:val="231F20"/>
        </w:rPr>
        <w:t>ad</w:t>
      </w:r>
      <w:r>
        <w:rPr>
          <w:color w:val="231F20"/>
          <w:spacing w:val="-10"/>
        </w:rPr>
        <w:t> </w:t>
      </w:r>
      <w:r>
        <w:rPr>
          <w:color w:val="231F20"/>
        </w:rPr>
        <w:t>un</w:t>
      </w:r>
      <w:r>
        <w:rPr>
          <w:color w:val="231F20"/>
          <w:spacing w:val="-10"/>
        </w:rPr>
        <w:t> </w:t>
      </w:r>
      <w:r>
        <w:rPr>
          <w:color w:val="231F20"/>
        </w:rPr>
        <w:t>giudice</w:t>
      </w:r>
      <w:r>
        <w:rPr>
          <w:color w:val="231F20"/>
          <w:spacing w:val="-10"/>
        </w:rPr>
        <w:t> </w:t>
      </w:r>
      <w:r>
        <w:rPr>
          <w:color w:val="231F20"/>
        </w:rPr>
        <w:t>dello</w:t>
      </w:r>
      <w:r>
        <w:rPr>
          <w:color w:val="231F20"/>
          <w:spacing w:val="-10"/>
        </w:rPr>
        <w:t> </w:t>
      </w:r>
      <w:r>
        <w:rPr>
          <w:color w:val="231F20"/>
        </w:rPr>
        <w:t>Stato</w:t>
      </w:r>
      <w:r>
        <w:rPr>
          <w:color w:val="231F20"/>
          <w:spacing w:val="-10"/>
        </w:rPr>
        <w:t> </w:t>
      </w:r>
      <w:r>
        <w:rPr>
          <w:color w:val="231F20"/>
        </w:rPr>
        <w:t>richiedente,</w:t>
      </w:r>
      <w:r>
        <w:rPr>
          <w:color w:val="231F20"/>
          <w:spacing w:val="-10"/>
        </w:rPr>
        <w:t> </w:t>
      </w:r>
      <w:r>
        <w:rPr>
          <w:color w:val="231F20"/>
        </w:rPr>
        <w:t>a</w:t>
      </w:r>
      <w:r>
        <w:rPr>
          <w:color w:val="231F20"/>
          <w:spacing w:val="-10"/>
        </w:rPr>
        <w:t> </w:t>
      </w:r>
      <w:r>
        <w:rPr>
          <w:color w:val="231F20"/>
        </w:rPr>
        <w:t>maggior</w:t>
      </w:r>
      <w:r>
        <w:rPr>
          <w:color w:val="231F20"/>
          <w:spacing w:val="-10"/>
        </w:rPr>
        <w:t> </w:t>
      </w:r>
      <w:r>
        <w:rPr>
          <w:color w:val="231F20"/>
        </w:rPr>
        <w:t>ragione tale</w:t>
      </w:r>
      <w:r>
        <w:rPr>
          <w:color w:val="231F20"/>
          <w:spacing w:val="-15"/>
        </w:rPr>
        <w:t> </w:t>
      </w:r>
      <w:r>
        <w:rPr>
          <w:color w:val="231F20"/>
        </w:rPr>
        <w:t>medesima</w:t>
      </w:r>
      <w:r>
        <w:rPr>
          <w:color w:val="231F20"/>
          <w:spacing w:val="-15"/>
        </w:rPr>
        <w:t> </w:t>
      </w:r>
      <w:r>
        <w:rPr>
          <w:color w:val="231F20"/>
        </w:rPr>
        <w:t>domanda</w:t>
      </w:r>
      <w:r>
        <w:rPr>
          <w:color w:val="231F20"/>
          <w:spacing w:val="-15"/>
        </w:rPr>
        <w:t> </w:t>
      </w:r>
      <w:r>
        <w:rPr>
          <w:color w:val="231F20"/>
        </w:rPr>
        <w:t>«non</w:t>
      </w:r>
      <w:r>
        <w:rPr>
          <w:color w:val="231F20"/>
          <w:spacing w:val="-15"/>
        </w:rPr>
        <w:t> </w:t>
      </w:r>
      <w:r>
        <w:rPr>
          <w:color w:val="231F20"/>
        </w:rPr>
        <w:t>può</w:t>
      </w:r>
      <w:r>
        <w:rPr>
          <w:color w:val="231F20"/>
          <w:spacing w:val="-15"/>
        </w:rPr>
        <w:t> </w:t>
      </w:r>
      <w:r>
        <w:rPr>
          <w:color w:val="231F20"/>
        </w:rPr>
        <w:t>neppure</w:t>
      </w:r>
      <w:r>
        <w:rPr>
          <w:color w:val="231F20"/>
          <w:spacing w:val="-15"/>
        </w:rPr>
        <w:t> </w:t>
      </w:r>
      <w:r>
        <w:rPr>
          <w:color w:val="231F20"/>
        </w:rPr>
        <w:t>essere</w:t>
      </w:r>
      <w:r>
        <w:rPr>
          <w:color w:val="231F20"/>
          <w:spacing w:val="-15"/>
        </w:rPr>
        <w:t> </w:t>
      </w:r>
      <w:r>
        <w:rPr>
          <w:color w:val="231F20"/>
        </w:rPr>
        <w:t>presentata</w:t>
      </w:r>
      <w:r>
        <w:rPr>
          <w:color w:val="231F20"/>
          <w:spacing w:val="-15"/>
        </w:rPr>
        <w:t> </w:t>
      </w:r>
      <w:r>
        <w:rPr>
          <w:color w:val="231F20"/>
        </w:rPr>
        <w:t>quando</w:t>
      </w:r>
      <w:r>
        <w:rPr>
          <w:color w:val="231F20"/>
          <w:spacing w:val="-15"/>
        </w:rPr>
        <w:t> </w:t>
      </w:r>
      <w:r>
        <w:rPr>
          <w:color w:val="231F20"/>
        </w:rPr>
        <w:t>l’inte- ressato</w:t>
      </w:r>
      <w:r>
        <w:rPr>
          <w:color w:val="231F20"/>
          <w:spacing w:val="-13"/>
        </w:rPr>
        <w:t> </w:t>
      </w:r>
      <w:r>
        <w:rPr>
          <w:color w:val="231F20"/>
        </w:rPr>
        <w:t>non</w:t>
      </w:r>
      <w:r>
        <w:rPr>
          <w:color w:val="231F20"/>
          <w:spacing w:val="-13"/>
        </w:rPr>
        <w:t> </w:t>
      </w:r>
      <w:r>
        <w:rPr>
          <w:color w:val="231F20"/>
        </w:rPr>
        <w:t>sia</w:t>
      </w:r>
      <w:r>
        <w:rPr>
          <w:color w:val="231F20"/>
          <w:spacing w:val="-13"/>
        </w:rPr>
        <w:t> </w:t>
      </w:r>
      <w:r>
        <w:rPr>
          <w:color w:val="231F20"/>
        </w:rPr>
        <w:t>stato</w:t>
      </w:r>
      <w:r>
        <w:rPr>
          <w:color w:val="231F20"/>
          <w:spacing w:val="-13"/>
        </w:rPr>
        <w:t> </w:t>
      </w:r>
      <w:r>
        <w:rPr>
          <w:color w:val="231F20"/>
        </w:rPr>
        <w:t>informato</w:t>
      </w:r>
      <w:r>
        <w:rPr>
          <w:color w:val="231F20"/>
          <w:spacing w:val="-13"/>
        </w:rPr>
        <w:t> </w:t>
      </w:r>
      <w:r>
        <w:rPr>
          <w:color w:val="231F20"/>
        </w:rPr>
        <w:t>dell’esistenza</w:t>
      </w:r>
      <w:r>
        <w:rPr>
          <w:color w:val="231F20"/>
          <w:spacing w:val="-13"/>
        </w:rPr>
        <w:t> </w:t>
      </w:r>
      <w:r>
        <w:rPr>
          <w:color w:val="231F20"/>
        </w:rPr>
        <w:t>stessa</w:t>
      </w:r>
      <w:r>
        <w:rPr>
          <w:color w:val="231F20"/>
          <w:spacing w:val="-13"/>
        </w:rPr>
        <w:t> </w:t>
      </w:r>
      <w:r>
        <w:rPr>
          <w:color w:val="231F20"/>
        </w:rPr>
        <w:t>di</w:t>
      </w:r>
      <w:r>
        <w:rPr>
          <w:color w:val="231F20"/>
          <w:spacing w:val="-13"/>
        </w:rPr>
        <w:t> </w:t>
      </w:r>
      <w:r>
        <w:rPr>
          <w:color w:val="231F20"/>
        </w:rPr>
        <w:t>detto</w:t>
      </w:r>
      <w:r>
        <w:rPr>
          <w:color w:val="231F20"/>
          <w:spacing w:val="-13"/>
        </w:rPr>
        <w:t> </w:t>
      </w:r>
      <w:r>
        <w:rPr>
          <w:color w:val="231F20"/>
        </w:rPr>
        <w:t>credito,</w:t>
      </w:r>
      <w:r>
        <w:rPr>
          <w:color w:val="231F20"/>
          <w:spacing w:val="-13"/>
        </w:rPr>
        <w:t> </w:t>
      </w:r>
      <w:r>
        <w:rPr>
          <w:color w:val="231F20"/>
        </w:rPr>
        <w:t>dal</w:t>
      </w:r>
      <w:r>
        <w:rPr>
          <w:color w:val="231F20"/>
          <w:spacing w:val="-13"/>
        </w:rPr>
        <w:t> </w:t>
      </w:r>
      <w:r>
        <w:rPr>
          <w:color w:val="231F20"/>
        </w:rPr>
        <w:t>mo- mento che tale informazione costituisce il presupposto necessario perché quest’ultimo</w:t>
      </w:r>
      <w:r>
        <w:rPr>
          <w:color w:val="231F20"/>
          <w:spacing w:val="-14"/>
        </w:rPr>
        <w:t> </w:t>
      </w:r>
      <w:r>
        <w:rPr>
          <w:color w:val="231F20"/>
        </w:rPr>
        <w:t>possa</w:t>
      </w:r>
      <w:r>
        <w:rPr>
          <w:color w:val="231F20"/>
          <w:spacing w:val="-14"/>
        </w:rPr>
        <w:t> </w:t>
      </w:r>
      <w:r>
        <w:rPr>
          <w:color w:val="231F20"/>
        </w:rPr>
        <w:t>essere</w:t>
      </w:r>
      <w:r>
        <w:rPr>
          <w:color w:val="231F20"/>
          <w:spacing w:val="-14"/>
        </w:rPr>
        <w:t> </w:t>
      </w:r>
      <w:r>
        <w:rPr>
          <w:color w:val="231F20"/>
        </w:rPr>
        <w:t>contestato»</w:t>
      </w:r>
      <w:r>
        <w:rPr>
          <w:color w:val="231F20"/>
          <w:position w:val="8"/>
          <w:sz w:val="14"/>
        </w:rPr>
        <w:t>158</w:t>
      </w:r>
      <w:r>
        <w:rPr>
          <w:color w:val="231F20"/>
        </w:rPr>
        <w:t>.</w:t>
      </w:r>
      <w:r>
        <w:rPr>
          <w:color w:val="231F20"/>
          <w:spacing w:val="-14"/>
        </w:rPr>
        <w:t> </w:t>
      </w:r>
      <w:r>
        <w:rPr>
          <w:color w:val="231F20"/>
        </w:rPr>
        <w:t>In</w:t>
      </w:r>
      <w:r>
        <w:rPr>
          <w:color w:val="231F20"/>
          <w:spacing w:val="-14"/>
        </w:rPr>
        <w:t> </w:t>
      </w:r>
      <w:r>
        <w:rPr>
          <w:color w:val="231F20"/>
        </w:rPr>
        <w:t>secondo</w:t>
      </w:r>
      <w:r>
        <w:rPr>
          <w:color w:val="231F20"/>
          <w:spacing w:val="-14"/>
        </w:rPr>
        <w:t> </w:t>
      </w:r>
      <w:r>
        <w:rPr>
          <w:color w:val="231F20"/>
        </w:rPr>
        <w:t>luogo,</w:t>
      </w:r>
      <w:r>
        <w:rPr>
          <w:color w:val="231F20"/>
          <w:spacing w:val="-14"/>
        </w:rPr>
        <w:t> </w:t>
      </w:r>
      <w:r>
        <w:rPr>
          <w:color w:val="231F20"/>
        </w:rPr>
        <w:t>la</w:t>
      </w:r>
      <w:r>
        <w:rPr>
          <w:color w:val="231F20"/>
          <w:spacing w:val="-14"/>
        </w:rPr>
        <w:t> </w:t>
      </w:r>
      <w:r>
        <w:rPr>
          <w:color w:val="231F20"/>
        </w:rPr>
        <w:t>Corte</w:t>
      </w:r>
      <w:r>
        <w:rPr>
          <w:color w:val="231F20"/>
          <w:spacing w:val="-14"/>
        </w:rPr>
        <w:t> </w:t>
      </w:r>
      <w:r>
        <w:rPr>
          <w:color w:val="231F20"/>
        </w:rPr>
        <w:t>ha</w:t>
      </w:r>
      <w:r>
        <w:rPr>
          <w:color w:val="231F20"/>
          <w:spacing w:val="-14"/>
        </w:rPr>
        <w:t> </w:t>
      </w:r>
      <w:r>
        <w:rPr>
          <w:color w:val="231F20"/>
        </w:rPr>
        <w:t>fatto una</w:t>
      </w:r>
      <w:r>
        <w:rPr>
          <w:color w:val="231F20"/>
          <w:spacing w:val="-12"/>
        </w:rPr>
        <w:t> </w:t>
      </w:r>
      <w:r>
        <w:rPr>
          <w:color w:val="231F20"/>
        </w:rPr>
        <w:t>rigorosa</w:t>
      </w:r>
      <w:r>
        <w:rPr>
          <w:color w:val="231F20"/>
          <w:spacing w:val="-12"/>
        </w:rPr>
        <w:t> </w:t>
      </w:r>
      <w:r>
        <w:rPr>
          <w:color w:val="231F20"/>
        </w:rPr>
        <w:t>applicazione</w:t>
      </w:r>
      <w:r>
        <w:rPr>
          <w:color w:val="231F20"/>
          <w:spacing w:val="-12"/>
        </w:rPr>
        <w:t> </w:t>
      </w:r>
      <w:r>
        <w:rPr>
          <w:color w:val="231F20"/>
        </w:rPr>
        <w:t>dell’art.</w:t>
      </w:r>
      <w:r>
        <w:rPr>
          <w:color w:val="231F20"/>
          <w:spacing w:val="-12"/>
        </w:rPr>
        <w:t> </w:t>
      </w:r>
      <w:r>
        <w:rPr>
          <w:color w:val="231F20"/>
        </w:rPr>
        <w:t>47</w:t>
      </w:r>
      <w:r>
        <w:rPr>
          <w:color w:val="231F20"/>
          <w:spacing w:val="-12"/>
        </w:rPr>
        <w:t> </w:t>
      </w:r>
      <w:r>
        <w:rPr>
          <w:color w:val="231F20"/>
        </w:rPr>
        <w:t>della</w:t>
      </w:r>
      <w:r>
        <w:rPr>
          <w:color w:val="231F20"/>
          <w:spacing w:val="-12"/>
        </w:rPr>
        <w:t> </w:t>
      </w:r>
      <w:r>
        <w:rPr>
          <w:color w:val="231F20"/>
        </w:rPr>
        <w:t>Carta</w:t>
      </w:r>
      <w:r>
        <w:rPr>
          <w:color w:val="231F20"/>
          <w:spacing w:val="-12"/>
        </w:rPr>
        <w:t> </w:t>
      </w:r>
      <w:r>
        <w:rPr>
          <w:color w:val="231F20"/>
        </w:rPr>
        <w:t>e</w:t>
      </w:r>
      <w:r>
        <w:rPr>
          <w:color w:val="231F20"/>
          <w:spacing w:val="-12"/>
        </w:rPr>
        <w:t> </w:t>
      </w:r>
      <w:r>
        <w:rPr>
          <w:color w:val="231F20"/>
        </w:rPr>
        <w:t>del</w:t>
      </w:r>
      <w:r>
        <w:rPr>
          <w:color w:val="231F20"/>
          <w:spacing w:val="-12"/>
        </w:rPr>
        <w:t> </w:t>
      </w:r>
      <w:r>
        <w:rPr>
          <w:color w:val="231F20"/>
        </w:rPr>
        <w:t>diritto</w:t>
      </w:r>
      <w:r>
        <w:rPr>
          <w:color w:val="231F20"/>
          <w:spacing w:val="-12"/>
        </w:rPr>
        <w:t> </w:t>
      </w:r>
      <w:r>
        <w:rPr>
          <w:color w:val="231F20"/>
        </w:rPr>
        <w:t>fondamentale ad una tutela giurisdizionale effettiva estendendo alla materia dei crediti tributari e della relativa procedura di riscossione transfrontaliera discipli- nata</w:t>
      </w:r>
      <w:r>
        <w:rPr>
          <w:color w:val="231F20"/>
          <w:spacing w:val="-7"/>
        </w:rPr>
        <w:t> </w:t>
      </w:r>
      <w:r>
        <w:rPr>
          <w:color w:val="231F20"/>
        </w:rPr>
        <w:t>dalla</w:t>
      </w:r>
      <w:r>
        <w:rPr>
          <w:color w:val="231F20"/>
          <w:spacing w:val="-7"/>
        </w:rPr>
        <w:t> </w:t>
      </w:r>
      <w:r>
        <w:rPr>
          <w:color w:val="231F20"/>
        </w:rPr>
        <w:t>direttiva</w:t>
      </w:r>
      <w:r>
        <w:rPr>
          <w:color w:val="231F20"/>
          <w:spacing w:val="-7"/>
        </w:rPr>
        <w:t> </w:t>
      </w:r>
      <w:r>
        <w:rPr>
          <w:color w:val="231F20"/>
        </w:rPr>
        <w:t>(UE)</w:t>
      </w:r>
      <w:r>
        <w:rPr>
          <w:color w:val="231F20"/>
          <w:spacing w:val="-7"/>
        </w:rPr>
        <w:t> </w:t>
      </w:r>
      <w:r>
        <w:rPr>
          <w:color w:val="231F20"/>
        </w:rPr>
        <w:t>2010/24,</w:t>
      </w:r>
      <w:r>
        <w:rPr>
          <w:color w:val="231F20"/>
          <w:spacing w:val="-7"/>
        </w:rPr>
        <w:t> </w:t>
      </w:r>
      <w:r>
        <w:rPr>
          <w:color w:val="231F20"/>
        </w:rPr>
        <w:t>la</w:t>
      </w:r>
      <w:r>
        <w:rPr>
          <w:color w:val="231F20"/>
          <w:spacing w:val="-7"/>
        </w:rPr>
        <w:t> </w:t>
      </w:r>
      <w:r>
        <w:rPr>
          <w:color w:val="231F20"/>
        </w:rPr>
        <w:t>propria</w:t>
      </w:r>
      <w:r>
        <w:rPr>
          <w:color w:val="231F20"/>
          <w:spacing w:val="-7"/>
        </w:rPr>
        <w:t> </w:t>
      </w:r>
      <w:r>
        <w:rPr>
          <w:color w:val="231F20"/>
        </w:rPr>
        <w:t>giurisprudenza</w:t>
      </w:r>
      <w:r>
        <w:rPr>
          <w:color w:val="231F20"/>
          <w:spacing w:val="-7"/>
        </w:rPr>
        <w:t> </w:t>
      </w:r>
      <w:r>
        <w:rPr>
          <w:color w:val="231F20"/>
        </w:rPr>
        <w:t>riguardante</w:t>
      </w:r>
      <w:r>
        <w:rPr>
          <w:color w:val="231F20"/>
          <w:spacing w:val="-7"/>
        </w:rPr>
        <w:t> </w:t>
      </w:r>
      <w:r>
        <w:rPr>
          <w:color w:val="231F20"/>
        </w:rPr>
        <w:t>la notificazione degli atti giudiziari e il diritto del destinatario degli stessi «di comprendere</w:t>
      </w:r>
      <w:r>
        <w:rPr>
          <w:color w:val="231F20"/>
          <w:spacing w:val="-15"/>
        </w:rPr>
        <w:t> </w:t>
      </w:r>
      <w:r>
        <w:rPr>
          <w:color w:val="231F20"/>
        </w:rPr>
        <w:t>effettivamente</w:t>
      </w:r>
      <w:r>
        <w:rPr>
          <w:color w:val="231F20"/>
          <w:spacing w:val="-15"/>
        </w:rPr>
        <w:t> </w:t>
      </w:r>
      <w:r>
        <w:rPr>
          <w:color w:val="231F20"/>
        </w:rPr>
        <w:t>e</w:t>
      </w:r>
      <w:r>
        <w:rPr>
          <w:color w:val="231F20"/>
          <w:spacing w:val="-15"/>
        </w:rPr>
        <w:t> </w:t>
      </w:r>
      <w:r>
        <w:rPr>
          <w:color w:val="231F20"/>
        </w:rPr>
        <w:t>completamente</w:t>
      </w:r>
      <w:r>
        <w:rPr>
          <w:color w:val="231F20"/>
          <w:spacing w:val="-15"/>
        </w:rPr>
        <w:t> </w:t>
      </w:r>
      <w:r>
        <w:rPr>
          <w:color w:val="231F20"/>
        </w:rPr>
        <w:t>il</w:t>
      </w:r>
      <w:r>
        <w:rPr>
          <w:color w:val="231F20"/>
          <w:spacing w:val="-15"/>
        </w:rPr>
        <w:t> </w:t>
      </w:r>
      <w:r>
        <w:rPr>
          <w:color w:val="231F20"/>
        </w:rPr>
        <w:t>senso</w:t>
      </w:r>
      <w:r>
        <w:rPr>
          <w:color w:val="231F20"/>
          <w:spacing w:val="-15"/>
        </w:rPr>
        <w:t> </w:t>
      </w:r>
      <w:r>
        <w:rPr>
          <w:color w:val="231F20"/>
        </w:rPr>
        <w:t>e</w:t>
      </w:r>
      <w:r>
        <w:rPr>
          <w:color w:val="231F20"/>
          <w:spacing w:val="-15"/>
        </w:rPr>
        <w:t> </w:t>
      </w:r>
      <w:r>
        <w:rPr>
          <w:color w:val="231F20"/>
        </w:rPr>
        <w:t>la</w:t>
      </w:r>
      <w:r>
        <w:rPr>
          <w:color w:val="231F20"/>
          <w:spacing w:val="-15"/>
        </w:rPr>
        <w:t> </w:t>
      </w:r>
      <w:r>
        <w:rPr>
          <w:color w:val="231F20"/>
        </w:rPr>
        <w:t>portata</w:t>
      </w:r>
      <w:r>
        <w:rPr>
          <w:color w:val="231F20"/>
          <w:spacing w:val="-15"/>
        </w:rPr>
        <w:t> </w:t>
      </w:r>
      <w:r>
        <w:rPr>
          <w:color w:val="231F20"/>
        </w:rPr>
        <w:t>dell’azio- ne avviata nei suoi confronti all’estero, in modo tale da poter utilmente fa valere</w:t>
      </w:r>
      <w:r>
        <w:rPr>
          <w:color w:val="231F20"/>
          <w:spacing w:val="-5"/>
        </w:rPr>
        <w:t> </w:t>
      </w:r>
      <w:r>
        <w:rPr>
          <w:color w:val="231F20"/>
        </w:rPr>
        <w:t>i</w:t>
      </w:r>
      <w:r>
        <w:rPr>
          <w:color w:val="231F20"/>
          <w:spacing w:val="-5"/>
        </w:rPr>
        <w:t> </w:t>
      </w:r>
      <w:r>
        <w:rPr>
          <w:color w:val="231F20"/>
        </w:rPr>
        <w:t>suoi</w:t>
      </w:r>
      <w:r>
        <w:rPr>
          <w:color w:val="231F20"/>
          <w:spacing w:val="-5"/>
        </w:rPr>
        <w:t> </w:t>
      </w:r>
      <w:r>
        <w:rPr>
          <w:color w:val="231F20"/>
        </w:rPr>
        <w:t>diritti</w:t>
      </w:r>
      <w:r>
        <w:rPr>
          <w:color w:val="231F20"/>
          <w:spacing w:val="-5"/>
        </w:rPr>
        <w:t> </w:t>
      </w:r>
      <w:r>
        <w:rPr>
          <w:color w:val="231F20"/>
        </w:rPr>
        <w:t>nello</w:t>
      </w:r>
      <w:r>
        <w:rPr>
          <w:color w:val="231F20"/>
          <w:spacing w:val="-5"/>
        </w:rPr>
        <w:t> </w:t>
      </w:r>
      <w:r>
        <w:rPr>
          <w:color w:val="231F20"/>
        </w:rPr>
        <w:t>Stato</w:t>
      </w:r>
      <w:r>
        <w:rPr>
          <w:color w:val="231F20"/>
          <w:spacing w:val="-5"/>
        </w:rPr>
        <w:t> </w:t>
      </w:r>
      <w:r>
        <w:rPr>
          <w:color w:val="231F20"/>
        </w:rPr>
        <w:t>membro</w:t>
      </w:r>
      <w:r>
        <w:rPr>
          <w:color w:val="231F20"/>
          <w:spacing w:val="-5"/>
        </w:rPr>
        <w:t> </w:t>
      </w:r>
      <w:r>
        <w:rPr>
          <w:color w:val="231F20"/>
        </w:rPr>
        <w:t>di</w:t>
      </w:r>
      <w:r>
        <w:rPr>
          <w:color w:val="231F20"/>
          <w:spacing w:val="-5"/>
        </w:rPr>
        <w:t> </w:t>
      </w:r>
      <w:r>
        <w:rPr>
          <w:color w:val="231F20"/>
        </w:rPr>
        <w:t>origine</w:t>
      </w:r>
      <w:r>
        <w:rPr>
          <w:color w:val="231F20"/>
          <w:spacing w:val="-5"/>
        </w:rPr>
        <w:t> </w:t>
      </w:r>
      <w:r>
        <w:rPr>
          <w:color w:val="231F20"/>
        </w:rPr>
        <w:t>(dell’atto</w:t>
      </w:r>
      <w:r>
        <w:rPr>
          <w:color w:val="231F20"/>
          <w:spacing w:val="-5"/>
        </w:rPr>
        <w:t> </w:t>
      </w:r>
      <w:r>
        <w:rPr>
          <w:color w:val="231F20"/>
        </w:rPr>
        <w:t>di</w:t>
      </w:r>
      <w:r>
        <w:rPr>
          <w:color w:val="231F20"/>
          <w:spacing w:val="-5"/>
        </w:rPr>
        <w:t> </w:t>
      </w:r>
      <w:r>
        <w:rPr>
          <w:color w:val="231F20"/>
        </w:rPr>
        <w:t>recupero</w:t>
      </w:r>
      <w:r>
        <w:rPr>
          <w:color w:val="231F20"/>
          <w:spacing w:val="-5"/>
        </w:rPr>
        <w:t> </w:t>
      </w:r>
      <w:r>
        <w:rPr>
          <w:color w:val="231F20"/>
        </w:rPr>
        <w:t>del credito)»</w:t>
      </w:r>
      <w:r>
        <w:rPr>
          <w:color w:val="231F20"/>
          <w:position w:val="8"/>
          <w:sz w:val="14"/>
        </w:rPr>
        <w:t>159</w:t>
      </w:r>
      <w:r>
        <w:rPr>
          <w:color w:val="231F20"/>
        </w:rPr>
        <w:t>.</w:t>
      </w:r>
      <w:r>
        <w:rPr>
          <w:color w:val="231F20"/>
          <w:spacing w:val="-10"/>
        </w:rPr>
        <w:t> </w:t>
      </w:r>
      <w:r>
        <w:rPr>
          <w:color w:val="231F20"/>
        </w:rPr>
        <w:t>La</w:t>
      </w:r>
      <w:r>
        <w:rPr>
          <w:color w:val="231F20"/>
          <w:spacing w:val="-10"/>
        </w:rPr>
        <w:t> </w:t>
      </w:r>
      <w:r>
        <w:rPr>
          <w:color w:val="231F20"/>
        </w:rPr>
        <w:t>violazione</w:t>
      </w:r>
      <w:r>
        <w:rPr>
          <w:color w:val="231F20"/>
          <w:spacing w:val="-10"/>
        </w:rPr>
        <w:t> </w:t>
      </w:r>
      <w:r>
        <w:rPr>
          <w:color w:val="231F20"/>
        </w:rPr>
        <w:t>del</w:t>
      </w:r>
      <w:r>
        <w:rPr>
          <w:color w:val="231F20"/>
          <w:spacing w:val="-10"/>
        </w:rPr>
        <w:t> </w:t>
      </w:r>
      <w:r>
        <w:rPr>
          <w:color w:val="231F20"/>
        </w:rPr>
        <w:t>diritto</w:t>
      </w:r>
      <w:r>
        <w:rPr>
          <w:color w:val="231F20"/>
          <w:spacing w:val="-10"/>
        </w:rPr>
        <w:t> </w:t>
      </w:r>
      <w:r>
        <w:rPr>
          <w:color w:val="231F20"/>
        </w:rPr>
        <w:t>fondamentale</w:t>
      </w:r>
      <w:r>
        <w:rPr>
          <w:color w:val="231F20"/>
          <w:spacing w:val="-10"/>
        </w:rPr>
        <w:t> </w:t>
      </w:r>
      <w:r>
        <w:rPr>
          <w:color w:val="231F20"/>
        </w:rPr>
        <w:t>ad</w:t>
      </w:r>
      <w:r>
        <w:rPr>
          <w:color w:val="231F20"/>
          <w:spacing w:val="-10"/>
        </w:rPr>
        <w:t> </w:t>
      </w:r>
      <w:r>
        <w:rPr>
          <w:color w:val="231F20"/>
        </w:rPr>
        <w:t>un</w:t>
      </w:r>
      <w:r>
        <w:rPr>
          <w:color w:val="231F20"/>
          <w:spacing w:val="-10"/>
        </w:rPr>
        <w:t> </w:t>
      </w:r>
      <w:r>
        <w:rPr>
          <w:color w:val="231F20"/>
        </w:rPr>
        <w:t>ricorso</w:t>
      </w:r>
      <w:r>
        <w:rPr>
          <w:color w:val="231F20"/>
          <w:spacing w:val="-10"/>
        </w:rPr>
        <w:t> </w:t>
      </w:r>
      <w:r>
        <w:rPr>
          <w:color w:val="231F20"/>
        </w:rPr>
        <w:t>effettivo</w:t>
      </w:r>
      <w:r>
        <w:rPr>
          <w:color w:val="231F20"/>
          <w:spacing w:val="-10"/>
        </w:rPr>
        <w:t> </w:t>
      </w:r>
      <w:r>
        <w:rPr>
          <w:color w:val="231F20"/>
        </w:rPr>
        <w:t>è apparsa talmente grave e manifesta nel caso di specie, che i giudici dell’U- nione hanno ammesso una deroga implicita all’art. 14, par. 1, della diret- tiva laddove tale disposizione prevede la competenza esclusiva dei giudici dello</w:t>
      </w:r>
      <w:r>
        <w:rPr>
          <w:color w:val="231F20"/>
          <w:spacing w:val="-4"/>
        </w:rPr>
        <w:t> </w:t>
      </w:r>
      <w:r>
        <w:rPr>
          <w:color w:val="231F20"/>
        </w:rPr>
        <w:t>Stato</w:t>
      </w:r>
      <w:r>
        <w:rPr>
          <w:color w:val="231F20"/>
          <w:spacing w:val="-4"/>
        </w:rPr>
        <w:t> </w:t>
      </w:r>
      <w:r>
        <w:rPr>
          <w:color w:val="231F20"/>
        </w:rPr>
        <w:t>membro</w:t>
      </w:r>
      <w:r>
        <w:rPr>
          <w:color w:val="231F20"/>
          <w:spacing w:val="-4"/>
        </w:rPr>
        <w:t> </w:t>
      </w:r>
      <w:r>
        <w:rPr>
          <w:color w:val="231F20"/>
        </w:rPr>
        <w:t>richiedente</w:t>
      </w:r>
      <w:r>
        <w:rPr>
          <w:color w:val="231F20"/>
          <w:spacing w:val="-4"/>
        </w:rPr>
        <w:t> </w:t>
      </w:r>
      <w:r>
        <w:rPr>
          <w:color w:val="231F20"/>
        </w:rPr>
        <w:t>in</w:t>
      </w:r>
      <w:r>
        <w:rPr>
          <w:color w:val="231F20"/>
          <w:spacing w:val="-4"/>
        </w:rPr>
        <w:t> </w:t>
      </w:r>
      <w:r>
        <w:rPr>
          <w:color w:val="231F20"/>
        </w:rPr>
        <w:t>materia</w:t>
      </w:r>
      <w:r>
        <w:rPr>
          <w:color w:val="231F20"/>
          <w:spacing w:val="-4"/>
        </w:rPr>
        <w:t> </w:t>
      </w:r>
      <w:r>
        <w:rPr>
          <w:color w:val="231F20"/>
        </w:rPr>
        <w:t>di</w:t>
      </w:r>
      <w:r>
        <w:rPr>
          <w:color w:val="231F20"/>
          <w:spacing w:val="-4"/>
        </w:rPr>
        <w:t> </w:t>
      </w:r>
      <w:r>
        <w:rPr>
          <w:color w:val="231F20"/>
        </w:rPr>
        <w:t>controversie</w:t>
      </w:r>
      <w:r>
        <w:rPr>
          <w:color w:val="231F20"/>
          <w:spacing w:val="-4"/>
        </w:rPr>
        <w:t> </w:t>
      </w:r>
      <w:r>
        <w:rPr>
          <w:color w:val="231F20"/>
        </w:rPr>
        <w:t>relative</w:t>
      </w:r>
      <w:r>
        <w:rPr>
          <w:color w:val="231F20"/>
          <w:spacing w:val="-4"/>
        </w:rPr>
        <w:t> </w:t>
      </w:r>
      <w:r>
        <w:rPr>
          <w:color w:val="231F20"/>
        </w:rPr>
        <w:t>al</w:t>
      </w:r>
      <w:r>
        <w:rPr>
          <w:color w:val="231F20"/>
          <w:spacing w:val="-4"/>
        </w:rPr>
        <w:t> </w:t>
      </w:r>
      <w:r>
        <w:rPr>
          <w:color w:val="231F20"/>
        </w:rPr>
        <w:t>titolo del</w:t>
      </w:r>
      <w:r>
        <w:rPr>
          <w:color w:val="231F20"/>
          <w:spacing w:val="-5"/>
        </w:rPr>
        <w:t> </w:t>
      </w:r>
      <w:r>
        <w:rPr>
          <w:color w:val="231F20"/>
        </w:rPr>
        <w:t>credito</w:t>
      </w:r>
      <w:r>
        <w:rPr>
          <w:color w:val="231F20"/>
          <w:spacing w:val="-5"/>
        </w:rPr>
        <w:t> </w:t>
      </w:r>
      <w:r>
        <w:rPr>
          <w:color w:val="231F20"/>
        </w:rPr>
        <w:t>tributario,</w:t>
      </w:r>
      <w:r>
        <w:rPr>
          <w:color w:val="231F20"/>
          <w:spacing w:val="-5"/>
        </w:rPr>
        <w:t> </w:t>
      </w:r>
      <w:r>
        <w:rPr>
          <w:color w:val="231F20"/>
        </w:rPr>
        <w:t>statuendo</w:t>
      </w:r>
      <w:r>
        <w:rPr>
          <w:color w:val="231F20"/>
          <w:spacing w:val="-6"/>
        </w:rPr>
        <w:t> </w:t>
      </w:r>
      <w:r>
        <w:rPr>
          <w:color w:val="231F20"/>
        </w:rPr>
        <w:t>che,</w:t>
      </w:r>
      <w:r>
        <w:rPr>
          <w:color w:val="231F20"/>
          <w:spacing w:val="-5"/>
        </w:rPr>
        <w:t> </w:t>
      </w:r>
      <w:r>
        <w:rPr>
          <w:color w:val="231F20"/>
        </w:rPr>
        <w:t>non</w:t>
      </w:r>
      <w:r>
        <w:rPr>
          <w:color w:val="231F20"/>
          <w:spacing w:val="-5"/>
        </w:rPr>
        <w:t> </w:t>
      </w:r>
      <w:r>
        <w:rPr>
          <w:color w:val="231F20"/>
        </w:rPr>
        <w:t>avendo</w:t>
      </w:r>
      <w:r>
        <w:rPr>
          <w:color w:val="231F20"/>
          <w:spacing w:val="-5"/>
        </w:rPr>
        <w:t> </w:t>
      </w:r>
      <w:r>
        <w:rPr>
          <w:color w:val="231F20"/>
        </w:rPr>
        <w:t>avuto</w:t>
      </w:r>
      <w:r>
        <w:rPr>
          <w:color w:val="231F20"/>
          <w:spacing w:val="-5"/>
        </w:rPr>
        <w:t> </w:t>
      </w:r>
      <w:r>
        <w:rPr>
          <w:color w:val="231F20"/>
        </w:rPr>
        <w:t>il</w:t>
      </w:r>
      <w:r>
        <w:rPr>
          <w:color w:val="231F20"/>
          <w:spacing w:val="-5"/>
        </w:rPr>
        <w:t> </w:t>
      </w:r>
      <w:r>
        <w:rPr>
          <w:color w:val="231F20"/>
        </w:rPr>
        <w:t>sig.</w:t>
      </w:r>
      <w:r>
        <w:rPr>
          <w:color w:val="231F20"/>
          <w:spacing w:val="-5"/>
        </w:rPr>
        <w:t> </w:t>
      </w:r>
      <w:r>
        <w:rPr>
          <w:i/>
          <w:color w:val="231F20"/>
        </w:rPr>
        <w:t>Donnellan</w:t>
      </w:r>
      <w:r>
        <w:rPr>
          <w:i/>
          <w:color w:val="231F20"/>
          <w:spacing w:val="-5"/>
        </w:rPr>
        <w:t> </w:t>
      </w:r>
      <w:r>
        <w:rPr>
          <w:color w:val="231F20"/>
        </w:rPr>
        <w:t>la possibilità</w:t>
      </w:r>
      <w:r>
        <w:rPr>
          <w:color w:val="231F20"/>
          <w:spacing w:val="-4"/>
        </w:rPr>
        <w:t> </w:t>
      </w:r>
      <w:r>
        <w:rPr>
          <w:color w:val="231F20"/>
        </w:rPr>
        <w:t>di</w:t>
      </w:r>
      <w:r>
        <w:rPr>
          <w:color w:val="231F20"/>
          <w:spacing w:val="-4"/>
        </w:rPr>
        <w:t> </w:t>
      </w:r>
      <w:r>
        <w:rPr>
          <w:color w:val="231F20"/>
        </w:rPr>
        <w:t>adire</w:t>
      </w:r>
      <w:r>
        <w:rPr>
          <w:color w:val="231F20"/>
          <w:spacing w:val="-4"/>
        </w:rPr>
        <w:t> </w:t>
      </w:r>
      <w:r>
        <w:rPr>
          <w:color w:val="231F20"/>
        </w:rPr>
        <w:t>i</w:t>
      </w:r>
      <w:r>
        <w:rPr>
          <w:color w:val="231F20"/>
          <w:spacing w:val="-4"/>
        </w:rPr>
        <w:t> </w:t>
      </w:r>
      <w:r>
        <w:rPr>
          <w:color w:val="231F20"/>
        </w:rPr>
        <w:t>giudici</w:t>
      </w:r>
      <w:r>
        <w:rPr>
          <w:color w:val="231F20"/>
          <w:spacing w:val="-4"/>
        </w:rPr>
        <w:t> </w:t>
      </w:r>
      <w:r>
        <w:rPr>
          <w:color w:val="231F20"/>
        </w:rPr>
        <w:t>greci,</w:t>
      </w:r>
      <w:r>
        <w:rPr>
          <w:color w:val="231F20"/>
          <w:spacing w:val="-4"/>
        </w:rPr>
        <w:t> </w:t>
      </w:r>
      <w:r>
        <w:rPr>
          <w:color w:val="231F20"/>
        </w:rPr>
        <w:t>tale</w:t>
      </w:r>
      <w:r>
        <w:rPr>
          <w:color w:val="231F20"/>
          <w:spacing w:val="-4"/>
        </w:rPr>
        <w:t> </w:t>
      </w:r>
      <w:r>
        <w:rPr>
          <w:color w:val="231F20"/>
        </w:rPr>
        <w:t>medesima</w:t>
      </w:r>
      <w:r>
        <w:rPr>
          <w:color w:val="231F20"/>
          <w:spacing w:val="-4"/>
        </w:rPr>
        <w:t> </w:t>
      </w:r>
      <w:r>
        <w:rPr>
          <w:color w:val="231F20"/>
        </w:rPr>
        <w:t>norma</w:t>
      </w:r>
      <w:r>
        <w:rPr>
          <w:color w:val="231F20"/>
          <w:spacing w:val="-4"/>
        </w:rPr>
        <w:t> </w:t>
      </w:r>
      <w:r>
        <w:rPr>
          <w:color w:val="231F20"/>
        </w:rPr>
        <w:t>«non</w:t>
      </w:r>
      <w:r>
        <w:rPr>
          <w:color w:val="231F20"/>
          <w:spacing w:val="-4"/>
        </w:rPr>
        <w:t> </w:t>
      </w:r>
      <w:r>
        <w:rPr>
          <w:color w:val="231F20"/>
        </w:rPr>
        <w:t>poteva</w:t>
      </w:r>
      <w:r>
        <w:rPr>
          <w:color w:val="231F20"/>
          <w:spacing w:val="-4"/>
        </w:rPr>
        <w:t> </w:t>
      </w:r>
      <w:r>
        <w:rPr>
          <w:color w:val="231F20"/>
        </w:rPr>
        <w:t>essere ragionevolmente applicata nei suoi</w:t>
      </w:r>
      <w:r>
        <w:rPr>
          <w:color w:val="231F20"/>
          <w:spacing w:val="40"/>
        </w:rPr>
        <w:t> </w:t>
      </w:r>
      <w:r>
        <w:rPr>
          <w:color w:val="231F20"/>
        </w:rPr>
        <w:t>confronti»</w:t>
      </w:r>
      <w:r>
        <w:rPr>
          <w:color w:val="231F20"/>
          <w:position w:val="8"/>
          <w:sz w:val="14"/>
        </w:rPr>
        <w:t>160</w:t>
      </w:r>
      <w:r>
        <w:rPr>
          <w:color w:val="231F20"/>
        </w:rPr>
        <w:t>. La Corte di giustizia ha quindi concluso che l’art. 14, par. 1, direttiva (UE) 2010/24, così come integrato</w:t>
      </w:r>
      <w:r>
        <w:rPr>
          <w:color w:val="231F20"/>
          <w:spacing w:val="-6"/>
        </w:rPr>
        <w:t> </w:t>
      </w:r>
      <w:r>
        <w:rPr>
          <w:color w:val="231F20"/>
        </w:rPr>
        <w:t>da</w:t>
      </w:r>
      <w:r>
        <w:rPr>
          <w:color w:val="231F20"/>
          <w:spacing w:val="-6"/>
        </w:rPr>
        <w:t> </w:t>
      </w:r>
      <w:r>
        <w:rPr>
          <w:color w:val="231F20"/>
        </w:rPr>
        <w:t>un’interpretazione</w:t>
      </w:r>
      <w:r>
        <w:rPr>
          <w:color w:val="231F20"/>
          <w:spacing w:val="-6"/>
        </w:rPr>
        <w:t> </w:t>
      </w:r>
      <w:r>
        <w:rPr>
          <w:color w:val="231F20"/>
        </w:rPr>
        <w:t>estremamente</w:t>
      </w:r>
      <w:r>
        <w:rPr>
          <w:color w:val="231F20"/>
          <w:spacing w:val="-6"/>
        </w:rPr>
        <w:t> </w:t>
      </w:r>
      <w:r>
        <w:rPr>
          <w:color w:val="231F20"/>
        </w:rPr>
        <w:t>«creativa»</w:t>
      </w:r>
      <w:r>
        <w:rPr>
          <w:color w:val="231F20"/>
          <w:spacing w:val="-6"/>
        </w:rPr>
        <w:t> </w:t>
      </w:r>
      <w:r>
        <w:rPr>
          <w:color w:val="231F20"/>
        </w:rPr>
        <w:t>della</w:t>
      </w:r>
      <w:r>
        <w:rPr>
          <w:color w:val="231F20"/>
          <w:spacing w:val="-6"/>
        </w:rPr>
        <w:t> </w:t>
      </w:r>
      <w:r>
        <w:rPr>
          <w:color w:val="231F20"/>
        </w:rPr>
        <w:t>Corte</w:t>
      </w:r>
      <w:r>
        <w:rPr>
          <w:color w:val="231F20"/>
          <w:spacing w:val="-6"/>
        </w:rPr>
        <w:t> </w:t>
      </w:r>
      <w:r>
        <w:rPr>
          <w:color w:val="231F20"/>
        </w:rPr>
        <w:t>stessa, nonché l’art. 47 della Carta dei diritti fondamentali, potevano senz’altro legittimare,</w:t>
      </w:r>
      <w:r>
        <w:rPr>
          <w:color w:val="231F20"/>
          <w:spacing w:val="-17"/>
        </w:rPr>
        <w:t> </w:t>
      </w:r>
      <w:r>
        <w:rPr>
          <w:color w:val="231F20"/>
        </w:rPr>
        <w:t>sia</w:t>
      </w:r>
      <w:r>
        <w:rPr>
          <w:color w:val="231F20"/>
          <w:spacing w:val="-15"/>
        </w:rPr>
        <w:t> </w:t>
      </w:r>
      <w:r>
        <w:rPr>
          <w:color w:val="231F20"/>
        </w:rPr>
        <w:t>pure</w:t>
      </w:r>
      <w:r>
        <w:rPr>
          <w:color w:val="231F20"/>
          <w:spacing w:val="-15"/>
        </w:rPr>
        <w:t> </w:t>
      </w:r>
      <w:r>
        <w:rPr>
          <w:color w:val="231F20"/>
        </w:rPr>
        <w:t>in</w:t>
      </w:r>
      <w:r>
        <w:rPr>
          <w:color w:val="231F20"/>
          <w:spacing w:val="-15"/>
        </w:rPr>
        <w:t> </w:t>
      </w:r>
      <w:r>
        <w:rPr>
          <w:color w:val="231F20"/>
        </w:rPr>
        <w:t>via</w:t>
      </w:r>
      <w:r>
        <w:rPr>
          <w:color w:val="231F20"/>
          <w:spacing w:val="-15"/>
        </w:rPr>
        <w:t> </w:t>
      </w:r>
      <w:r>
        <w:rPr>
          <w:color w:val="231F20"/>
        </w:rPr>
        <w:t>eccezionale,</w:t>
      </w:r>
      <w:r>
        <w:rPr>
          <w:color w:val="231F20"/>
          <w:spacing w:val="-15"/>
        </w:rPr>
        <w:t> </w:t>
      </w:r>
      <w:r>
        <w:rPr>
          <w:color w:val="231F20"/>
        </w:rPr>
        <w:t>il</w:t>
      </w:r>
      <w:r>
        <w:rPr>
          <w:color w:val="231F20"/>
          <w:spacing w:val="-15"/>
        </w:rPr>
        <w:t> </w:t>
      </w:r>
      <w:r>
        <w:rPr>
          <w:color w:val="231F20"/>
        </w:rPr>
        <w:t>rifiuto</w:t>
      </w:r>
      <w:r>
        <w:rPr>
          <w:color w:val="231F20"/>
          <w:spacing w:val="-15"/>
        </w:rPr>
        <w:t> </w:t>
      </w:r>
      <w:r>
        <w:rPr>
          <w:color w:val="231F20"/>
        </w:rPr>
        <w:t>dell’amministrazione</w:t>
      </w:r>
      <w:r>
        <w:rPr>
          <w:color w:val="231F20"/>
          <w:spacing w:val="-15"/>
        </w:rPr>
        <w:t> </w:t>
      </w:r>
      <w:r>
        <w:rPr>
          <w:color w:val="231F20"/>
        </w:rPr>
        <w:t>finan- ziaria adita (quella irlandese) di eseguire una domanda di recupero avente ad oggetto un credito relativo ad una sanzione tributaria irrogata dall’am- ministrazione finanziaria di un altro Stato membro (la Grecia).</w:t>
      </w:r>
    </w:p>
    <w:p>
      <w:pPr>
        <w:pStyle w:val="BodyText"/>
        <w:spacing w:before="70"/>
        <w:rPr>
          <w:sz w:val="20"/>
        </w:rPr>
      </w:pPr>
      <w:r>
        <w:rPr/>
        <mc:AlternateContent>
          <mc:Choice Requires="wps">
            <w:drawing>
              <wp:anchor distT="0" distB="0" distL="0" distR="0" allowOverlap="1" layoutInCell="1" locked="0" behindDoc="1" simplePos="0" relativeHeight="487658496">
                <wp:simplePos x="0" y="0"/>
                <wp:positionH relativeFrom="page">
                  <wp:posOffset>864000</wp:posOffset>
                </wp:positionH>
                <wp:positionV relativeFrom="paragraph">
                  <wp:posOffset>221371</wp:posOffset>
                </wp:positionV>
                <wp:extent cx="792480" cy="1270"/>
                <wp:effectExtent l="0" t="0" r="0" b="0"/>
                <wp:wrapTopAndBottom/>
                <wp:docPr id="223" name="Graphic 223"/>
                <wp:cNvGraphicFramePr>
                  <a:graphicFrameLocks/>
                </wp:cNvGraphicFramePr>
                <a:graphic>
                  <a:graphicData uri="http://schemas.microsoft.com/office/word/2010/wordprocessingShape">
                    <wps:wsp>
                      <wps:cNvPr id="223" name="Graphic 223"/>
                      <wps:cNvSpPr/>
                      <wps:spPr>
                        <a:xfrm>
                          <a:off x="0" y="0"/>
                          <a:ext cx="792480" cy="1270"/>
                        </a:xfrm>
                        <a:custGeom>
                          <a:avLst/>
                          <a:gdLst/>
                          <a:ahLst/>
                          <a:cxnLst/>
                          <a:rect l="l" t="t" r="r" b="b"/>
                          <a:pathLst>
                            <a:path w="792480" h="0">
                              <a:moveTo>
                                <a:pt x="0" y="0"/>
                              </a:moveTo>
                              <a:lnTo>
                                <a:pt x="791997"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shape style="position:absolute;margin-left:68.031502pt;margin-top:17.43082pt;width:62.4pt;height:.1pt;mso-position-horizontal-relative:page;mso-position-vertical-relative:paragraph;z-index:-15657984;mso-wrap-distance-left:0;mso-wrap-distance-right:0" id="docshape185" coordorigin="1361,349" coordsize="1248,0" path="m1361,349l2608,349e" filled="false" stroked="true" strokeweight=".5pt" strokecolor="#231f20">
                <v:path arrowok="t"/>
                <v:stroke dashstyle="solid"/>
                <w10:wrap type="topAndBottom"/>
              </v:shape>
            </w:pict>
          </mc:Fallback>
        </mc:AlternateContent>
      </w:r>
    </w:p>
    <w:p>
      <w:pPr>
        <w:spacing w:line="235" w:lineRule="exact" w:before="190"/>
        <w:ind w:left="100" w:right="0" w:firstLine="0"/>
        <w:jc w:val="both"/>
        <w:rPr>
          <w:sz w:val="19"/>
        </w:rPr>
      </w:pPr>
      <w:r>
        <w:rPr>
          <w:color w:val="231F20"/>
          <w:position w:val="6"/>
          <w:sz w:val="11"/>
        </w:rPr>
        <w:t>158</w:t>
      </w:r>
      <w:r>
        <w:rPr>
          <w:color w:val="231F20"/>
          <w:spacing w:val="79"/>
          <w:position w:val="6"/>
          <w:sz w:val="11"/>
        </w:rPr>
        <w:t> </w:t>
      </w:r>
      <w:r>
        <w:rPr>
          <w:color w:val="231F20"/>
          <w:sz w:val="19"/>
        </w:rPr>
        <w:t>Corte Giust. UE, sent. del</w:t>
      </w:r>
      <w:r>
        <w:rPr>
          <w:color w:val="231F20"/>
          <w:spacing w:val="-1"/>
          <w:sz w:val="19"/>
        </w:rPr>
        <w:t> </w:t>
      </w:r>
      <w:r>
        <w:rPr>
          <w:color w:val="231F20"/>
          <w:sz w:val="19"/>
        </w:rPr>
        <w:t>26 aprile 2018, C-34/17, cit</w:t>
      </w:r>
      <w:r>
        <w:rPr>
          <w:i/>
          <w:color w:val="231F20"/>
          <w:sz w:val="19"/>
        </w:rPr>
        <w:t>. </w:t>
      </w:r>
      <w:r>
        <w:rPr>
          <w:color w:val="231F20"/>
          <w:sz w:val="19"/>
        </w:rPr>
        <w:t>punto </w:t>
      </w:r>
      <w:r>
        <w:rPr>
          <w:color w:val="231F20"/>
          <w:spacing w:val="-5"/>
          <w:sz w:val="19"/>
        </w:rPr>
        <w:t>57.</w:t>
      </w:r>
    </w:p>
    <w:p>
      <w:pPr>
        <w:spacing w:line="228" w:lineRule="auto" w:before="2"/>
        <w:ind w:left="100" w:right="174" w:firstLine="0"/>
        <w:jc w:val="both"/>
        <w:rPr>
          <w:sz w:val="19"/>
        </w:rPr>
      </w:pPr>
      <w:r>
        <w:rPr>
          <w:color w:val="231F20"/>
          <w:position w:val="6"/>
          <w:sz w:val="11"/>
        </w:rPr>
        <w:t>159</w:t>
      </w:r>
      <w:r>
        <w:rPr>
          <w:color w:val="231F20"/>
          <w:spacing w:val="80"/>
          <w:position w:val="6"/>
          <w:sz w:val="11"/>
        </w:rPr>
        <w:t> </w:t>
      </w:r>
      <w:r>
        <w:rPr>
          <w:color w:val="231F20"/>
          <w:sz w:val="19"/>
        </w:rPr>
        <w:t>Corte</w:t>
      </w:r>
      <w:r>
        <w:rPr>
          <w:color w:val="231F20"/>
          <w:spacing w:val="25"/>
          <w:sz w:val="19"/>
        </w:rPr>
        <w:t> </w:t>
      </w:r>
      <w:r>
        <w:rPr>
          <w:color w:val="231F20"/>
          <w:sz w:val="19"/>
        </w:rPr>
        <w:t>Giust.</w:t>
      </w:r>
      <w:r>
        <w:rPr>
          <w:color w:val="231F20"/>
          <w:spacing w:val="25"/>
          <w:sz w:val="19"/>
        </w:rPr>
        <w:t> </w:t>
      </w:r>
      <w:r>
        <w:rPr>
          <w:color w:val="231F20"/>
          <w:sz w:val="19"/>
        </w:rPr>
        <w:t>UE,</w:t>
      </w:r>
      <w:r>
        <w:rPr>
          <w:color w:val="231F20"/>
          <w:spacing w:val="25"/>
          <w:sz w:val="19"/>
        </w:rPr>
        <w:t> </w:t>
      </w:r>
      <w:r>
        <w:rPr>
          <w:color w:val="231F20"/>
          <w:sz w:val="19"/>
        </w:rPr>
        <w:t>C-34/17,</w:t>
      </w:r>
      <w:r>
        <w:rPr>
          <w:color w:val="231F20"/>
          <w:spacing w:val="25"/>
          <w:sz w:val="19"/>
        </w:rPr>
        <w:t> </w:t>
      </w:r>
      <w:r>
        <w:rPr>
          <w:color w:val="231F20"/>
          <w:sz w:val="19"/>
        </w:rPr>
        <w:t>ult.</w:t>
      </w:r>
      <w:r>
        <w:rPr>
          <w:color w:val="231F20"/>
          <w:spacing w:val="25"/>
          <w:sz w:val="19"/>
        </w:rPr>
        <w:t> </w:t>
      </w:r>
      <w:r>
        <w:rPr>
          <w:color w:val="231F20"/>
          <w:sz w:val="19"/>
        </w:rPr>
        <w:t>cit.,</w:t>
      </w:r>
      <w:r>
        <w:rPr>
          <w:color w:val="231F20"/>
          <w:spacing w:val="25"/>
          <w:sz w:val="19"/>
        </w:rPr>
        <w:t> </w:t>
      </w:r>
      <w:r>
        <w:rPr>
          <w:color w:val="231F20"/>
          <w:sz w:val="19"/>
        </w:rPr>
        <w:t>punto</w:t>
      </w:r>
      <w:r>
        <w:rPr>
          <w:color w:val="231F20"/>
          <w:spacing w:val="25"/>
          <w:sz w:val="19"/>
        </w:rPr>
        <w:t> </w:t>
      </w:r>
      <w:r>
        <w:rPr>
          <w:color w:val="231F20"/>
          <w:sz w:val="19"/>
        </w:rPr>
        <w:t>58,</w:t>
      </w:r>
      <w:r>
        <w:rPr>
          <w:color w:val="231F20"/>
          <w:spacing w:val="25"/>
          <w:sz w:val="19"/>
        </w:rPr>
        <w:t> </w:t>
      </w:r>
      <w:r>
        <w:rPr>
          <w:color w:val="231F20"/>
          <w:sz w:val="19"/>
        </w:rPr>
        <w:t>che</w:t>
      </w:r>
      <w:r>
        <w:rPr>
          <w:color w:val="231F20"/>
          <w:spacing w:val="25"/>
          <w:sz w:val="19"/>
        </w:rPr>
        <w:t> </w:t>
      </w:r>
      <w:r>
        <w:rPr>
          <w:color w:val="231F20"/>
          <w:sz w:val="19"/>
        </w:rPr>
        <w:t>rinvia</w:t>
      </w:r>
      <w:r>
        <w:rPr>
          <w:color w:val="231F20"/>
          <w:spacing w:val="25"/>
          <w:sz w:val="19"/>
        </w:rPr>
        <w:t> </w:t>
      </w:r>
      <w:r>
        <w:rPr>
          <w:color w:val="231F20"/>
          <w:sz w:val="19"/>
        </w:rPr>
        <w:t>alla</w:t>
      </w:r>
      <w:r>
        <w:rPr>
          <w:color w:val="231F20"/>
          <w:spacing w:val="25"/>
          <w:sz w:val="19"/>
        </w:rPr>
        <w:t> </w:t>
      </w:r>
      <w:r>
        <w:rPr>
          <w:color w:val="231F20"/>
          <w:sz w:val="19"/>
        </w:rPr>
        <w:t>Corte</w:t>
      </w:r>
      <w:r>
        <w:rPr>
          <w:color w:val="231F20"/>
          <w:spacing w:val="25"/>
          <w:sz w:val="19"/>
        </w:rPr>
        <w:t> </w:t>
      </w:r>
      <w:r>
        <w:rPr>
          <w:color w:val="231F20"/>
          <w:sz w:val="19"/>
        </w:rPr>
        <w:t>Giust.</w:t>
      </w:r>
      <w:r>
        <w:rPr>
          <w:color w:val="231F20"/>
          <w:spacing w:val="25"/>
          <w:sz w:val="19"/>
        </w:rPr>
        <w:t> </w:t>
      </w:r>
      <w:r>
        <w:rPr>
          <w:color w:val="231F20"/>
          <w:sz w:val="19"/>
        </w:rPr>
        <w:t>UE,</w:t>
      </w:r>
      <w:r>
        <w:rPr>
          <w:color w:val="231F20"/>
          <w:spacing w:val="25"/>
          <w:sz w:val="19"/>
        </w:rPr>
        <w:t> </w:t>
      </w:r>
      <w:r>
        <w:rPr>
          <w:color w:val="231F20"/>
          <w:sz w:val="19"/>
        </w:rPr>
        <w:t>sent. del 16 settembre 2015, C-519/13, </w:t>
      </w:r>
      <w:r>
        <w:rPr>
          <w:i/>
          <w:color w:val="231F20"/>
          <w:sz w:val="19"/>
        </w:rPr>
        <w:t>Alpha Bank Cyprus</w:t>
      </w:r>
      <w:r>
        <w:rPr>
          <w:color w:val="231F20"/>
          <w:sz w:val="19"/>
        </w:rPr>
        <w:t>, punti 31 e 32, avente ad oggetto </w:t>
      </w:r>
      <w:r>
        <w:rPr>
          <w:color w:val="231F20"/>
          <w:spacing w:val="-2"/>
          <w:sz w:val="19"/>
        </w:rPr>
        <w:t>l’interpretazione del regolamento (CE) 1393/2007 del 13 novembre 2007 «</w:t>
      </w:r>
      <w:r>
        <w:rPr>
          <w:i/>
          <w:color w:val="231F20"/>
          <w:spacing w:val="-2"/>
          <w:sz w:val="19"/>
        </w:rPr>
        <w:t>relativo alle notifiche</w:t>
      </w:r>
      <w:r>
        <w:rPr>
          <w:i/>
          <w:color w:val="231F20"/>
          <w:spacing w:val="-2"/>
          <w:sz w:val="19"/>
        </w:rPr>
        <w:t> </w:t>
      </w:r>
      <w:r>
        <w:rPr>
          <w:i/>
          <w:color w:val="231F20"/>
          <w:sz w:val="19"/>
        </w:rPr>
        <w:t>e</w:t>
      </w:r>
      <w:r>
        <w:rPr>
          <w:i/>
          <w:color w:val="231F20"/>
          <w:spacing w:val="-4"/>
          <w:sz w:val="19"/>
        </w:rPr>
        <w:t> </w:t>
      </w:r>
      <w:r>
        <w:rPr>
          <w:i/>
          <w:color w:val="231F20"/>
          <w:sz w:val="19"/>
        </w:rPr>
        <w:t>alla</w:t>
      </w:r>
      <w:r>
        <w:rPr>
          <w:i/>
          <w:color w:val="231F20"/>
          <w:spacing w:val="-4"/>
          <w:sz w:val="19"/>
        </w:rPr>
        <w:t> </w:t>
      </w:r>
      <w:r>
        <w:rPr>
          <w:i/>
          <w:color w:val="231F20"/>
          <w:sz w:val="19"/>
        </w:rPr>
        <w:t>comunicazione</w:t>
      </w:r>
      <w:r>
        <w:rPr>
          <w:i/>
          <w:color w:val="231F20"/>
          <w:spacing w:val="-4"/>
          <w:sz w:val="19"/>
        </w:rPr>
        <w:t> </w:t>
      </w:r>
      <w:r>
        <w:rPr>
          <w:i/>
          <w:color w:val="231F20"/>
          <w:sz w:val="19"/>
        </w:rPr>
        <w:t>negli</w:t>
      </w:r>
      <w:r>
        <w:rPr>
          <w:i/>
          <w:color w:val="231F20"/>
          <w:spacing w:val="-4"/>
          <w:sz w:val="19"/>
        </w:rPr>
        <w:t> </w:t>
      </w:r>
      <w:r>
        <w:rPr>
          <w:i/>
          <w:color w:val="231F20"/>
          <w:sz w:val="19"/>
        </w:rPr>
        <w:t>Stati</w:t>
      </w:r>
      <w:r>
        <w:rPr>
          <w:i/>
          <w:color w:val="231F20"/>
          <w:spacing w:val="-4"/>
          <w:sz w:val="19"/>
        </w:rPr>
        <w:t> </w:t>
      </w:r>
      <w:r>
        <w:rPr>
          <w:i/>
          <w:color w:val="231F20"/>
          <w:sz w:val="19"/>
        </w:rPr>
        <w:t>membri</w:t>
      </w:r>
      <w:r>
        <w:rPr>
          <w:i/>
          <w:color w:val="231F20"/>
          <w:spacing w:val="-4"/>
          <w:sz w:val="19"/>
        </w:rPr>
        <w:t> </w:t>
      </w:r>
      <w:r>
        <w:rPr>
          <w:i/>
          <w:color w:val="231F20"/>
          <w:sz w:val="19"/>
        </w:rPr>
        <w:t>degli</w:t>
      </w:r>
      <w:r>
        <w:rPr>
          <w:i/>
          <w:color w:val="231F20"/>
          <w:spacing w:val="-4"/>
          <w:sz w:val="19"/>
        </w:rPr>
        <w:t> </w:t>
      </w:r>
      <w:r>
        <w:rPr>
          <w:i/>
          <w:color w:val="231F20"/>
          <w:sz w:val="19"/>
        </w:rPr>
        <w:t>atti</w:t>
      </w:r>
      <w:r>
        <w:rPr>
          <w:i/>
          <w:color w:val="231F20"/>
          <w:spacing w:val="-4"/>
          <w:sz w:val="19"/>
        </w:rPr>
        <w:t> </w:t>
      </w:r>
      <w:r>
        <w:rPr>
          <w:i/>
          <w:color w:val="231F20"/>
          <w:sz w:val="19"/>
        </w:rPr>
        <w:t>giudiziari</w:t>
      </w:r>
      <w:r>
        <w:rPr>
          <w:i/>
          <w:color w:val="231F20"/>
          <w:spacing w:val="-4"/>
          <w:sz w:val="19"/>
        </w:rPr>
        <w:t> </w:t>
      </w:r>
      <w:r>
        <w:rPr>
          <w:i/>
          <w:color w:val="231F20"/>
          <w:sz w:val="19"/>
        </w:rPr>
        <w:t>ed</w:t>
      </w:r>
      <w:r>
        <w:rPr>
          <w:i/>
          <w:color w:val="231F20"/>
          <w:spacing w:val="-4"/>
          <w:sz w:val="19"/>
        </w:rPr>
        <w:t> </w:t>
      </w:r>
      <w:r>
        <w:rPr>
          <w:i/>
          <w:color w:val="231F20"/>
          <w:sz w:val="19"/>
        </w:rPr>
        <w:t>extra-giudiziali</w:t>
      </w:r>
      <w:r>
        <w:rPr>
          <w:i/>
          <w:color w:val="231F20"/>
          <w:spacing w:val="-4"/>
          <w:sz w:val="19"/>
        </w:rPr>
        <w:t> </w:t>
      </w:r>
      <w:r>
        <w:rPr>
          <w:i/>
          <w:color w:val="231F20"/>
          <w:sz w:val="19"/>
        </w:rPr>
        <w:t>in</w:t>
      </w:r>
      <w:r>
        <w:rPr>
          <w:i/>
          <w:color w:val="231F20"/>
          <w:spacing w:val="-4"/>
          <w:sz w:val="19"/>
        </w:rPr>
        <w:t> </w:t>
      </w:r>
      <w:r>
        <w:rPr>
          <w:i/>
          <w:color w:val="231F20"/>
          <w:sz w:val="19"/>
        </w:rPr>
        <w:t>materia</w:t>
      </w:r>
      <w:r>
        <w:rPr>
          <w:i/>
          <w:color w:val="231F20"/>
          <w:spacing w:val="-4"/>
          <w:sz w:val="19"/>
        </w:rPr>
        <w:t> </w:t>
      </w:r>
      <w:r>
        <w:rPr>
          <w:i/>
          <w:color w:val="231F20"/>
          <w:sz w:val="19"/>
        </w:rPr>
        <w:t>civile</w:t>
      </w:r>
      <w:r>
        <w:rPr>
          <w:i/>
          <w:color w:val="231F20"/>
          <w:spacing w:val="-4"/>
          <w:sz w:val="19"/>
        </w:rPr>
        <w:t> </w:t>
      </w:r>
      <w:r>
        <w:rPr>
          <w:i/>
          <w:color w:val="231F20"/>
          <w:sz w:val="19"/>
        </w:rPr>
        <w:t>e </w:t>
      </w:r>
      <w:r>
        <w:rPr>
          <w:i/>
          <w:color w:val="231F20"/>
          <w:spacing w:val="-2"/>
          <w:sz w:val="19"/>
        </w:rPr>
        <w:t>commerciale</w:t>
      </w:r>
      <w:r>
        <w:rPr>
          <w:color w:val="231F20"/>
          <w:spacing w:val="-2"/>
          <w:sz w:val="19"/>
        </w:rPr>
        <w:t>».</w:t>
      </w:r>
    </w:p>
    <w:p>
      <w:pPr>
        <w:spacing w:line="229" w:lineRule="exact" w:before="0"/>
        <w:ind w:left="100" w:right="0" w:firstLine="0"/>
        <w:jc w:val="both"/>
        <w:rPr>
          <w:sz w:val="19"/>
        </w:rPr>
      </w:pPr>
      <w:r>
        <w:rPr>
          <w:color w:val="231F20"/>
          <w:position w:val="6"/>
          <w:sz w:val="11"/>
        </w:rPr>
        <w:t>160</w:t>
      </w:r>
      <w:r>
        <w:rPr>
          <w:color w:val="231F20"/>
          <w:spacing w:val="79"/>
          <w:position w:val="6"/>
          <w:sz w:val="11"/>
        </w:rPr>
        <w:t> </w:t>
      </w:r>
      <w:r>
        <w:rPr>
          <w:color w:val="231F20"/>
          <w:sz w:val="19"/>
        </w:rPr>
        <w:t>Corte Giust. UE, sent. del</w:t>
      </w:r>
      <w:r>
        <w:rPr>
          <w:color w:val="231F20"/>
          <w:spacing w:val="-1"/>
          <w:sz w:val="19"/>
        </w:rPr>
        <w:t> </w:t>
      </w:r>
      <w:r>
        <w:rPr>
          <w:color w:val="231F20"/>
          <w:sz w:val="19"/>
        </w:rPr>
        <w:t>26 aprile 2018, C-34/17, cit, punto </w:t>
      </w:r>
      <w:r>
        <w:rPr>
          <w:color w:val="231F20"/>
          <w:spacing w:val="-5"/>
          <w:sz w:val="19"/>
        </w:rPr>
        <w:t>59.</w:t>
      </w:r>
    </w:p>
    <w:p>
      <w:pPr>
        <w:spacing w:after="0" w:line="229" w:lineRule="exact"/>
        <w:jc w:val="both"/>
        <w:rPr>
          <w:sz w:val="19"/>
        </w:rPr>
        <w:sectPr>
          <w:pgSz w:w="9640" w:h="13610"/>
          <w:pgMar w:header="0" w:footer="625" w:top="1260" w:bottom="820" w:left="1260" w:right="1240"/>
        </w:sectPr>
      </w:pPr>
    </w:p>
    <w:p>
      <w:pPr>
        <w:pStyle w:val="ListParagraph"/>
        <w:numPr>
          <w:ilvl w:val="1"/>
          <w:numId w:val="4"/>
        </w:numPr>
        <w:tabs>
          <w:tab w:pos="583" w:val="left" w:leader="none"/>
        </w:tabs>
        <w:spacing w:line="240" w:lineRule="auto" w:before="110" w:after="0"/>
        <w:ind w:left="583" w:right="0" w:hanging="426"/>
        <w:jc w:val="left"/>
        <w:rPr>
          <w:b/>
          <w:sz w:val="24"/>
        </w:rPr>
      </w:pPr>
      <w:r>
        <w:rPr/>
        <mc:AlternateContent>
          <mc:Choice Requires="wps">
            <w:drawing>
              <wp:anchor distT="0" distB="0" distL="0" distR="0" allowOverlap="1" layoutInCell="1" locked="0" behindDoc="0" simplePos="0" relativeHeight="15800320">
                <wp:simplePos x="0" y="0"/>
                <wp:positionH relativeFrom="page">
                  <wp:posOffset>5608609</wp:posOffset>
                </wp:positionH>
                <wp:positionV relativeFrom="page">
                  <wp:posOffset>2376001</wp:posOffset>
                </wp:positionV>
                <wp:extent cx="511809" cy="2412365"/>
                <wp:effectExtent l="0" t="0" r="0" b="0"/>
                <wp:wrapNone/>
                <wp:docPr id="224" name="Group 224"/>
                <wp:cNvGraphicFramePr>
                  <a:graphicFrameLocks/>
                </wp:cNvGraphicFramePr>
                <a:graphic>
                  <a:graphicData uri="http://schemas.microsoft.com/office/word/2010/wordprocessingGroup">
                    <wpg:wgp>
                      <wpg:cNvPr id="224" name="Group 224"/>
                      <wpg:cNvGrpSpPr/>
                      <wpg:grpSpPr>
                        <a:xfrm>
                          <a:off x="0" y="0"/>
                          <a:ext cx="511809" cy="2412365"/>
                          <a:chExt cx="511809" cy="2412365"/>
                        </a:xfrm>
                      </wpg:grpSpPr>
                      <wps:wsp>
                        <wps:cNvPr id="225" name="Graphic 225"/>
                        <wps:cNvSpPr/>
                        <wps:spPr>
                          <a:xfrm>
                            <a:off x="7393" y="3"/>
                            <a:ext cx="504190" cy="360045"/>
                          </a:xfrm>
                          <a:custGeom>
                            <a:avLst/>
                            <a:gdLst/>
                            <a:ahLst/>
                            <a:cxnLst/>
                            <a:rect l="l" t="t" r="r" b="b"/>
                            <a:pathLst>
                              <a:path w="504190" h="360045">
                                <a:moveTo>
                                  <a:pt x="503999" y="0"/>
                                </a:moveTo>
                                <a:lnTo>
                                  <a:pt x="0" y="0"/>
                                </a:lnTo>
                                <a:lnTo>
                                  <a:pt x="0" y="359994"/>
                                </a:lnTo>
                                <a:lnTo>
                                  <a:pt x="503999" y="359994"/>
                                </a:lnTo>
                                <a:lnTo>
                                  <a:pt x="503999" y="0"/>
                                </a:lnTo>
                                <a:close/>
                              </a:path>
                            </a:pathLst>
                          </a:custGeom>
                          <a:solidFill>
                            <a:srgbClr val="939598"/>
                          </a:solidFill>
                        </wps:spPr>
                        <wps:bodyPr wrap="square" lIns="0" tIns="0" rIns="0" bIns="0" rtlCol="0">
                          <a:prstTxWarp prst="textNoShape">
                            <a:avLst/>
                          </a:prstTxWarp>
                          <a:noAutofit/>
                        </wps:bodyPr>
                      </wps:wsp>
                      <wps:wsp>
                        <wps:cNvPr id="226" name="Graphic 226"/>
                        <wps:cNvSpPr/>
                        <wps:spPr>
                          <a:xfrm>
                            <a:off x="6350" y="0"/>
                            <a:ext cx="1270" cy="2412365"/>
                          </a:xfrm>
                          <a:custGeom>
                            <a:avLst/>
                            <a:gdLst/>
                            <a:ahLst/>
                            <a:cxnLst/>
                            <a:rect l="l" t="t" r="r" b="b"/>
                            <a:pathLst>
                              <a:path w="0" h="2412365">
                                <a:moveTo>
                                  <a:pt x="0" y="0"/>
                                </a:moveTo>
                                <a:lnTo>
                                  <a:pt x="0" y="2411996"/>
                                </a:lnTo>
                              </a:path>
                            </a:pathLst>
                          </a:custGeom>
                          <a:ln w="12700">
                            <a:solidFill>
                              <a:srgbClr val="939598"/>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441.622803pt;margin-top:187.0867pt;width:40.3pt;height:189.95pt;mso-position-horizontal-relative:page;mso-position-vertical-relative:page;z-index:15800320" id="docshapegroup186" coordorigin="8832,3742" coordsize="806,3799">
                <v:rect style="position:absolute;left:8844;top:3741;width:794;height:567" id="docshape187" filled="true" fillcolor="#939598" stroked="false">
                  <v:fill type="solid"/>
                </v:rect>
                <v:line style="position:absolute" from="8842,3742" to="8842,7540" stroked="true" strokeweight="1pt" strokecolor="#939598">
                  <v:stroke dashstyle="solid"/>
                </v:line>
                <w10:wrap type="none"/>
              </v:group>
            </w:pict>
          </mc:Fallback>
        </mc:AlternateContent>
      </w:r>
      <w:r>
        <w:rPr/>
        <mc:AlternateContent>
          <mc:Choice Requires="wps">
            <w:drawing>
              <wp:anchor distT="0" distB="0" distL="0" distR="0" allowOverlap="1" layoutInCell="1" locked="0" behindDoc="0" simplePos="0" relativeHeight="15800832">
                <wp:simplePos x="0" y="0"/>
                <wp:positionH relativeFrom="page">
                  <wp:posOffset>5635147</wp:posOffset>
                </wp:positionH>
                <wp:positionV relativeFrom="page">
                  <wp:posOffset>2795300</wp:posOffset>
                </wp:positionV>
                <wp:extent cx="299720" cy="1995805"/>
                <wp:effectExtent l="0" t="0" r="0" b="0"/>
                <wp:wrapNone/>
                <wp:docPr id="227" name="Textbox 227"/>
                <wp:cNvGraphicFramePr>
                  <a:graphicFrameLocks/>
                </wp:cNvGraphicFramePr>
                <a:graphic>
                  <a:graphicData uri="http://schemas.microsoft.com/office/word/2010/wordprocessingShape">
                    <wps:wsp>
                      <wps:cNvPr id="227" name="Textbox 227"/>
                      <wps:cNvSpPr txBox="1"/>
                      <wps:spPr>
                        <a:xfrm>
                          <a:off x="0" y="0"/>
                          <a:ext cx="299720" cy="1995805"/>
                        </a:xfrm>
                        <a:prstGeom prst="rect">
                          <a:avLst/>
                        </a:prstGeom>
                      </wps:spPr>
                      <wps:txbx>
                        <w:txbxContent>
                          <w:p>
                            <w:pPr>
                              <w:spacing w:before="20"/>
                              <w:ind w:left="20" w:right="0" w:firstLine="0"/>
                              <w:jc w:val="left"/>
                              <w:rPr>
                                <w:rFonts w:ascii="Minion Pro"/>
                                <w:sz w:val="32"/>
                              </w:rPr>
                            </w:pPr>
                            <w:r>
                              <w:rPr>
                                <w:rFonts w:ascii="Minion Pro"/>
                                <w:color w:val="231F20"/>
                                <w:sz w:val="32"/>
                              </w:rPr>
                              <w:t>Commented</w:t>
                            </w:r>
                            <w:r>
                              <w:rPr>
                                <w:rFonts w:ascii="Minion Pro"/>
                                <w:color w:val="231F20"/>
                                <w:spacing w:val="-10"/>
                                <w:sz w:val="32"/>
                              </w:rPr>
                              <w:t> </w:t>
                            </w:r>
                            <w:r>
                              <w:rPr>
                                <w:rFonts w:ascii="Minion Pro"/>
                                <w:color w:val="231F20"/>
                                <w:spacing w:val="-2"/>
                                <w:sz w:val="32"/>
                              </w:rPr>
                              <w:t>documents</w:t>
                            </w:r>
                          </w:p>
                        </w:txbxContent>
                      </wps:txbx>
                      <wps:bodyPr wrap="square" lIns="0" tIns="0" rIns="0" bIns="0" rtlCol="0" vert="vert">
                        <a:noAutofit/>
                      </wps:bodyPr>
                    </wps:wsp>
                  </a:graphicData>
                </a:graphic>
              </wp:anchor>
            </w:drawing>
          </mc:Choice>
          <mc:Fallback>
            <w:pict>
              <v:shape style="position:absolute;margin-left:443.712402pt;margin-top:220.102402pt;width:23.6pt;height:157.15pt;mso-position-horizontal-relative:page;mso-position-vertical-relative:page;z-index:15800832" type="#_x0000_t202" id="docshape188" filled="false" stroked="false">
                <v:textbox inset="0,0,0,0" style="layout-flow:vertical">
                  <w:txbxContent>
                    <w:p>
                      <w:pPr>
                        <w:spacing w:before="20"/>
                        <w:ind w:left="20" w:right="0" w:firstLine="0"/>
                        <w:jc w:val="left"/>
                        <w:rPr>
                          <w:rFonts w:ascii="Minion Pro"/>
                          <w:sz w:val="32"/>
                        </w:rPr>
                      </w:pPr>
                      <w:r>
                        <w:rPr>
                          <w:rFonts w:ascii="Minion Pro"/>
                          <w:color w:val="231F20"/>
                          <w:sz w:val="32"/>
                        </w:rPr>
                        <w:t>Commented</w:t>
                      </w:r>
                      <w:r>
                        <w:rPr>
                          <w:rFonts w:ascii="Minion Pro"/>
                          <w:color w:val="231F20"/>
                          <w:spacing w:val="-10"/>
                          <w:sz w:val="32"/>
                        </w:rPr>
                        <w:t> </w:t>
                      </w:r>
                      <w:r>
                        <w:rPr>
                          <w:rFonts w:ascii="Minion Pro"/>
                          <w:color w:val="231F20"/>
                          <w:spacing w:val="-2"/>
                          <w:sz w:val="32"/>
                        </w:rPr>
                        <w:t>documents</w:t>
                      </w:r>
                    </w:p>
                  </w:txbxContent>
                </v:textbox>
                <w10:wrap type="none"/>
              </v:shape>
            </w:pict>
          </mc:Fallback>
        </mc:AlternateContent>
      </w:r>
      <w:r>
        <w:rPr>
          <w:b/>
          <w:color w:val="231F20"/>
          <w:sz w:val="24"/>
        </w:rPr>
        <w:t>La sentenza del 24 febbraio 2021, C-95/19, </w:t>
      </w:r>
      <w:r>
        <w:rPr>
          <w:b/>
          <w:color w:val="231F20"/>
          <w:spacing w:val="-2"/>
          <w:sz w:val="24"/>
        </w:rPr>
        <w:t>Silcompa</w:t>
      </w:r>
    </w:p>
    <w:p>
      <w:pPr>
        <w:pStyle w:val="BodyText"/>
        <w:spacing w:line="225" w:lineRule="auto" w:before="268"/>
        <w:ind w:left="157" w:right="117"/>
        <w:jc w:val="both"/>
      </w:pPr>
      <w:r>
        <w:rPr>
          <w:color w:val="231F20"/>
        </w:rPr>
        <w:t>La</w:t>
      </w:r>
      <w:r>
        <w:rPr>
          <w:color w:val="231F20"/>
          <w:spacing w:val="-15"/>
        </w:rPr>
        <w:t> </w:t>
      </w:r>
      <w:r>
        <w:rPr>
          <w:color w:val="231F20"/>
        </w:rPr>
        <w:t>sentenza</w:t>
      </w:r>
      <w:r>
        <w:rPr>
          <w:color w:val="231F20"/>
          <w:spacing w:val="-15"/>
        </w:rPr>
        <w:t> </w:t>
      </w:r>
      <w:r>
        <w:rPr>
          <w:i/>
          <w:color w:val="231F20"/>
        </w:rPr>
        <w:t>Silcompa</w:t>
      </w:r>
      <w:r>
        <w:rPr>
          <w:i/>
          <w:color w:val="231F20"/>
          <w:spacing w:val="-15"/>
        </w:rPr>
        <w:t> </w:t>
      </w:r>
      <w:r>
        <w:rPr>
          <w:color w:val="231F20"/>
        </w:rPr>
        <w:t>presenta</w:t>
      </w:r>
      <w:r>
        <w:rPr>
          <w:color w:val="231F20"/>
          <w:spacing w:val="-15"/>
        </w:rPr>
        <w:t> </w:t>
      </w:r>
      <w:r>
        <w:rPr>
          <w:color w:val="231F20"/>
        </w:rPr>
        <w:t>anch’essa</w:t>
      </w:r>
      <w:r>
        <w:rPr>
          <w:color w:val="231F20"/>
          <w:spacing w:val="-15"/>
        </w:rPr>
        <w:t> </w:t>
      </w:r>
      <w:r>
        <w:rPr>
          <w:color w:val="231F20"/>
        </w:rPr>
        <w:t>un’importanza</w:t>
      </w:r>
      <w:r>
        <w:rPr>
          <w:color w:val="231F20"/>
          <w:spacing w:val="-15"/>
        </w:rPr>
        <w:t> </w:t>
      </w:r>
      <w:r>
        <w:rPr>
          <w:color w:val="231F20"/>
        </w:rPr>
        <w:t>di</w:t>
      </w:r>
      <w:r>
        <w:rPr>
          <w:color w:val="231F20"/>
          <w:spacing w:val="-15"/>
        </w:rPr>
        <w:t> </w:t>
      </w:r>
      <w:r>
        <w:rPr>
          <w:color w:val="231F20"/>
        </w:rPr>
        <w:t>principio</w:t>
      </w:r>
      <w:r>
        <w:rPr>
          <w:color w:val="231F20"/>
          <w:spacing w:val="-15"/>
        </w:rPr>
        <w:t> </w:t>
      </w:r>
      <w:r>
        <w:rPr>
          <w:color w:val="231F20"/>
        </w:rPr>
        <w:t>in</w:t>
      </w:r>
      <w:r>
        <w:rPr>
          <w:color w:val="231F20"/>
          <w:spacing w:val="-15"/>
        </w:rPr>
        <w:t> </w:t>
      </w:r>
      <w:r>
        <w:rPr>
          <w:color w:val="231F20"/>
        </w:rPr>
        <w:t>rela- zione</w:t>
      </w:r>
      <w:r>
        <w:rPr>
          <w:color w:val="231F20"/>
          <w:spacing w:val="-13"/>
        </w:rPr>
        <w:t> </w:t>
      </w:r>
      <w:r>
        <w:rPr>
          <w:color w:val="231F20"/>
        </w:rPr>
        <w:t>all’interpretazione</w:t>
      </w:r>
      <w:r>
        <w:rPr>
          <w:color w:val="231F20"/>
          <w:spacing w:val="-13"/>
        </w:rPr>
        <w:t> </w:t>
      </w:r>
      <w:r>
        <w:rPr>
          <w:color w:val="231F20"/>
        </w:rPr>
        <w:t>della</w:t>
      </w:r>
      <w:r>
        <w:rPr>
          <w:color w:val="231F20"/>
          <w:spacing w:val="-13"/>
        </w:rPr>
        <w:t> </w:t>
      </w:r>
      <w:r>
        <w:rPr>
          <w:color w:val="231F20"/>
        </w:rPr>
        <w:t>direttiva</w:t>
      </w:r>
      <w:r>
        <w:rPr>
          <w:color w:val="231F20"/>
          <w:spacing w:val="-13"/>
        </w:rPr>
        <w:t> </w:t>
      </w:r>
      <w:r>
        <w:rPr>
          <w:color w:val="231F20"/>
        </w:rPr>
        <w:t>(UE)</w:t>
      </w:r>
      <w:r>
        <w:rPr>
          <w:color w:val="231F20"/>
          <w:spacing w:val="-13"/>
        </w:rPr>
        <w:t> </w:t>
      </w:r>
      <w:r>
        <w:rPr>
          <w:color w:val="231F20"/>
        </w:rPr>
        <w:t>2024/10</w:t>
      </w:r>
      <w:r>
        <w:rPr>
          <w:color w:val="231F20"/>
          <w:position w:val="8"/>
          <w:sz w:val="14"/>
        </w:rPr>
        <w:t>161</w:t>
      </w:r>
      <w:r>
        <w:rPr>
          <w:color w:val="231F20"/>
          <w:spacing w:val="12"/>
          <w:position w:val="8"/>
          <w:sz w:val="14"/>
        </w:rPr>
        <w:t> </w:t>
      </w:r>
      <w:r>
        <w:rPr>
          <w:color w:val="231F20"/>
        </w:rPr>
        <w:t>in</w:t>
      </w:r>
      <w:r>
        <w:rPr>
          <w:color w:val="231F20"/>
          <w:spacing w:val="-13"/>
        </w:rPr>
        <w:t> </w:t>
      </w:r>
      <w:r>
        <w:rPr>
          <w:color w:val="231F20"/>
        </w:rPr>
        <w:t>quanto</w:t>
      </w:r>
      <w:r>
        <w:rPr>
          <w:color w:val="231F20"/>
          <w:spacing w:val="-13"/>
        </w:rPr>
        <w:t> </w:t>
      </w:r>
      <w:r>
        <w:rPr>
          <w:color w:val="231F20"/>
        </w:rPr>
        <w:t>riguarda un</w:t>
      </w:r>
      <w:r>
        <w:rPr>
          <w:color w:val="231F20"/>
          <w:spacing w:val="-3"/>
        </w:rPr>
        <w:t> </w:t>
      </w:r>
      <w:r>
        <w:rPr>
          <w:color w:val="231F20"/>
        </w:rPr>
        <w:t>altro</w:t>
      </w:r>
      <w:r>
        <w:rPr>
          <w:color w:val="231F20"/>
          <w:spacing w:val="-3"/>
        </w:rPr>
        <w:t> </w:t>
      </w:r>
      <w:r>
        <w:rPr>
          <w:color w:val="231F20"/>
        </w:rPr>
        <w:t>caso</w:t>
      </w:r>
      <w:r>
        <w:rPr>
          <w:color w:val="231F20"/>
          <w:spacing w:val="-3"/>
        </w:rPr>
        <w:t> </w:t>
      </w:r>
      <w:r>
        <w:rPr>
          <w:color w:val="231F20"/>
        </w:rPr>
        <w:t>in</w:t>
      </w:r>
      <w:r>
        <w:rPr>
          <w:color w:val="231F20"/>
          <w:spacing w:val="-3"/>
        </w:rPr>
        <w:t> </w:t>
      </w:r>
      <w:r>
        <w:rPr>
          <w:color w:val="231F20"/>
        </w:rPr>
        <w:t>cui</w:t>
      </w:r>
      <w:r>
        <w:rPr>
          <w:color w:val="231F20"/>
          <w:spacing w:val="-3"/>
        </w:rPr>
        <w:t> </w:t>
      </w:r>
      <w:r>
        <w:rPr>
          <w:color w:val="231F20"/>
        </w:rPr>
        <w:t>l’autorità</w:t>
      </w:r>
      <w:r>
        <w:rPr>
          <w:color w:val="231F20"/>
          <w:spacing w:val="-3"/>
        </w:rPr>
        <w:t> </w:t>
      </w:r>
      <w:r>
        <w:rPr>
          <w:color w:val="231F20"/>
        </w:rPr>
        <w:t>adita</w:t>
      </w:r>
      <w:r>
        <w:rPr>
          <w:color w:val="231F20"/>
          <w:spacing w:val="-3"/>
        </w:rPr>
        <w:t> </w:t>
      </w:r>
      <w:r>
        <w:rPr>
          <w:color w:val="231F20"/>
        </w:rPr>
        <w:t>di</w:t>
      </w:r>
      <w:r>
        <w:rPr>
          <w:color w:val="231F20"/>
          <w:spacing w:val="-3"/>
        </w:rPr>
        <w:t> </w:t>
      </w:r>
      <w:r>
        <w:rPr>
          <w:color w:val="231F20"/>
        </w:rPr>
        <w:t>uno</w:t>
      </w:r>
      <w:r>
        <w:rPr>
          <w:color w:val="231F20"/>
          <w:spacing w:val="-3"/>
        </w:rPr>
        <w:t> </w:t>
      </w:r>
      <w:r>
        <w:rPr>
          <w:color w:val="231F20"/>
        </w:rPr>
        <w:t>Stato</w:t>
      </w:r>
      <w:r>
        <w:rPr>
          <w:color w:val="231F20"/>
          <w:spacing w:val="-3"/>
        </w:rPr>
        <w:t> </w:t>
      </w:r>
      <w:r>
        <w:rPr>
          <w:color w:val="231F20"/>
        </w:rPr>
        <w:t>membro</w:t>
      </w:r>
      <w:r>
        <w:rPr>
          <w:color w:val="231F20"/>
          <w:spacing w:val="-3"/>
        </w:rPr>
        <w:t> </w:t>
      </w:r>
      <w:r>
        <w:rPr>
          <w:color w:val="231F20"/>
        </w:rPr>
        <w:t>(nella</w:t>
      </w:r>
      <w:r>
        <w:rPr>
          <w:color w:val="231F20"/>
          <w:spacing w:val="-3"/>
        </w:rPr>
        <w:t> </w:t>
      </w:r>
      <w:r>
        <w:rPr>
          <w:color w:val="231F20"/>
        </w:rPr>
        <w:t>fattispecie: l’Italia)</w:t>
      </w:r>
      <w:r>
        <w:rPr>
          <w:color w:val="231F20"/>
          <w:spacing w:val="25"/>
        </w:rPr>
        <w:t> </w:t>
      </w:r>
      <w:r>
        <w:rPr>
          <w:color w:val="231F20"/>
        </w:rPr>
        <w:t>è</w:t>
      </w:r>
      <w:r>
        <w:rPr>
          <w:color w:val="231F20"/>
          <w:spacing w:val="25"/>
        </w:rPr>
        <w:t> </w:t>
      </w:r>
      <w:r>
        <w:rPr>
          <w:color w:val="231F20"/>
        </w:rPr>
        <w:t>stata</w:t>
      </w:r>
      <w:r>
        <w:rPr>
          <w:color w:val="231F20"/>
          <w:spacing w:val="25"/>
        </w:rPr>
        <w:t> </w:t>
      </w:r>
      <w:r>
        <w:rPr>
          <w:color w:val="231F20"/>
        </w:rPr>
        <w:t>legittimata</w:t>
      </w:r>
      <w:r>
        <w:rPr>
          <w:color w:val="231F20"/>
          <w:spacing w:val="25"/>
        </w:rPr>
        <w:t> </w:t>
      </w:r>
      <w:r>
        <w:rPr>
          <w:color w:val="231F20"/>
        </w:rPr>
        <w:t>rifiutare</w:t>
      </w:r>
      <w:r>
        <w:rPr>
          <w:color w:val="231F20"/>
          <w:spacing w:val="25"/>
        </w:rPr>
        <w:t> </w:t>
      </w:r>
      <w:r>
        <w:rPr>
          <w:color w:val="231F20"/>
        </w:rPr>
        <w:t>la</w:t>
      </w:r>
      <w:r>
        <w:rPr>
          <w:color w:val="231F20"/>
          <w:spacing w:val="25"/>
        </w:rPr>
        <w:t> </w:t>
      </w:r>
      <w:r>
        <w:rPr>
          <w:color w:val="231F20"/>
        </w:rPr>
        <w:t>domanda</w:t>
      </w:r>
      <w:r>
        <w:rPr>
          <w:color w:val="231F20"/>
          <w:spacing w:val="25"/>
        </w:rPr>
        <w:t> </w:t>
      </w:r>
      <w:r>
        <w:rPr>
          <w:color w:val="231F20"/>
        </w:rPr>
        <w:t>di</w:t>
      </w:r>
      <w:r>
        <w:rPr>
          <w:color w:val="231F20"/>
          <w:spacing w:val="25"/>
        </w:rPr>
        <w:t> </w:t>
      </w:r>
      <w:r>
        <w:rPr>
          <w:color w:val="231F20"/>
        </w:rPr>
        <w:t>recupero</w:t>
      </w:r>
      <w:r>
        <w:rPr>
          <w:color w:val="231F20"/>
          <w:spacing w:val="25"/>
        </w:rPr>
        <w:t> </w:t>
      </w:r>
      <w:r>
        <w:rPr>
          <w:color w:val="231F20"/>
        </w:rPr>
        <w:t>di</w:t>
      </w:r>
      <w:r>
        <w:rPr>
          <w:color w:val="231F20"/>
          <w:spacing w:val="25"/>
        </w:rPr>
        <w:t> </w:t>
      </w:r>
      <w:r>
        <w:rPr>
          <w:color w:val="231F20"/>
        </w:rPr>
        <w:t>un</w:t>
      </w:r>
      <w:r>
        <w:rPr>
          <w:color w:val="231F20"/>
          <w:spacing w:val="25"/>
        </w:rPr>
        <w:t> </w:t>
      </w:r>
      <w:r>
        <w:rPr>
          <w:color w:val="231F20"/>
        </w:rPr>
        <w:t>credi- to tributario presentata dall’autorità richiedente di un altro Stato membro (nella fattispecie: la Grecia). La </w:t>
      </w:r>
      <w:r>
        <w:rPr>
          <w:i/>
          <w:color w:val="231F20"/>
        </w:rPr>
        <w:t>Silcompa SpA </w:t>
      </w:r>
      <w:r>
        <w:rPr>
          <w:color w:val="231F20"/>
        </w:rPr>
        <w:t>era una società che gestiva un’impresa di produzione di alcool etilico che aveva venduto varie partite di tale prodotto, in sospensione dei diritti d’accisa, ad acquirenti situati</w:t>
      </w:r>
      <w:r>
        <w:rPr>
          <w:color w:val="231F20"/>
          <w:spacing w:val="80"/>
          <w:w w:val="150"/>
        </w:rPr>
        <w:t> </w:t>
      </w:r>
      <w:r>
        <w:rPr>
          <w:color w:val="231F20"/>
        </w:rPr>
        <w:t>in Grecia. A seguito di un’ispezione congiunta delle amministrazioni fi- nanziarie italiana e greca, queste avevano accertato che le partite di alcool spedite dalla </w:t>
      </w:r>
      <w:r>
        <w:rPr>
          <w:i/>
          <w:color w:val="231F20"/>
        </w:rPr>
        <w:t>Silcompa </w:t>
      </w:r>
      <w:r>
        <w:rPr>
          <w:color w:val="231F20"/>
        </w:rPr>
        <w:t>in regime sospensivo non erano mai state registrate dall’amministrazione doganale ellenica e che i timbri dell’ufficio doganale di</w:t>
      </w:r>
      <w:r>
        <w:rPr>
          <w:color w:val="231F20"/>
          <w:spacing w:val="-12"/>
        </w:rPr>
        <w:t> </w:t>
      </w:r>
      <w:r>
        <w:rPr>
          <w:color w:val="231F20"/>
        </w:rPr>
        <w:t>Corinto</w:t>
      </w:r>
      <w:r>
        <w:rPr>
          <w:color w:val="231F20"/>
          <w:spacing w:val="-12"/>
        </w:rPr>
        <w:t> </w:t>
      </w:r>
      <w:r>
        <w:rPr>
          <w:color w:val="231F20"/>
        </w:rPr>
        <w:t>apposti</w:t>
      </w:r>
      <w:r>
        <w:rPr>
          <w:color w:val="231F20"/>
          <w:spacing w:val="-12"/>
        </w:rPr>
        <w:t> </w:t>
      </w:r>
      <w:r>
        <w:rPr>
          <w:color w:val="231F20"/>
        </w:rPr>
        <w:t>sui</w:t>
      </w:r>
      <w:r>
        <w:rPr>
          <w:color w:val="231F20"/>
          <w:spacing w:val="-12"/>
        </w:rPr>
        <w:t> </w:t>
      </w:r>
      <w:r>
        <w:rPr>
          <w:color w:val="231F20"/>
        </w:rPr>
        <w:t>documenti</w:t>
      </w:r>
      <w:r>
        <w:rPr>
          <w:color w:val="231F20"/>
          <w:spacing w:val="-12"/>
        </w:rPr>
        <w:t> </w:t>
      </w:r>
      <w:r>
        <w:rPr>
          <w:color w:val="231F20"/>
        </w:rPr>
        <w:t>di</w:t>
      </w:r>
      <w:r>
        <w:rPr>
          <w:color w:val="231F20"/>
          <w:spacing w:val="-12"/>
        </w:rPr>
        <w:t> </w:t>
      </w:r>
      <w:r>
        <w:rPr>
          <w:color w:val="231F20"/>
        </w:rPr>
        <w:t>accompagnamento</w:t>
      </w:r>
      <w:r>
        <w:rPr>
          <w:color w:val="231F20"/>
          <w:spacing w:val="-12"/>
        </w:rPr>
        <w:t> </w:t>
      </w:r>
      <w:r>
        <w:rPr>
          <w:color w:val="231F20"/>
        </w:rPr>
        <w:t>prodotti</w:t>
      </w:r>
      <w:r>
        <w:rPr>
          <w:color w:val="231F20"/>
          <w:spacing w:val="-12"/>
        </w:rPr>
        <w:t> </w:t>
      </w:r>
      <w:r>
        <w:rPr>
          <w:color w:val="231F20"/>
        </w:rPr>
        <w:t>dalla</w:t>
      </w:r>
      <w:r>
        <w:rPr>
          <w:color w:val="231F20"/>
          <w:spacing w:val="-12"/>
        </w:rPr>
        <w:t> </w:t>
      </w:r>
      <w:r>
        <w:rPr>
          <w:color w:val="231F20"/>
        </w:rPr>
        <w:t>stes- sa società erano falsi. L’amministrazione doganale italiana emetteva allora nei</w:t>
      </w:r>
      <w:r>
        <w:rPr>
          <w:color w:val="231F20"/>
          <w:spacing w:val="-10"/>
        </w:rPr>
        <w:t> </w:t>
      </w:r>
      <w:r>
        <w:rPr>
          <w:color w:val="231F20"/>
        </w:rPr>
        <w:t>confronti</w:t>
      </w:r>
      <w:r>
        <w:rPr>
          <w:color w:val="231F20"/>
          <w:spacing w:val="-10"/>
        </w:rPr>
        <w:t> </w:t>
      </w:r>
      <w:r>
        <w:rPr>
          <w:color w:val="231F20"/>
        </w:rPr>
        <w:t>della</w:t>
      </w:r>
      <w:r>
        <w:rPr>
          <w:color w:val="231F20"/>
          <w:spacing w:val="-10"/>
        </w:rPr>
        <w:t> </w:t>
      </w:r>
      <w:r>
        <w:rPr>
          <w:i/>
          <w:color w:val="231F20"/>
        </w:rPr>
        <w:t>Silcompa</w:t>
      </w:r>
      <w:r>
        <w:rPr>
          <w:i/>
          <w:color w:val="231F20"/>
          <w:spacing w:val="-10"/>
        </w:rPr>
        <w:t> </w:t>
      </w:r>
      <w:r>
        <w:rPr>
          <w:color w:val="231F20"/>
        </w:rPr>
        <w:t>un</w:t>
      </w:r>
      <w:r>
        <w:rPr>
          <w:color w:val="231F20"/>
          <w:spacing w:val="-10"/>
        </w:rPr>
        <w:t> </w:t>
      </w:r>
      <w:r>
        <w:rPr>
          <w:color w:val="231F20"/>
        </w:rPr>
        <w:t>avviso</w:t>
      </w:r>
      <w:r>
        <w:rPr>
          <w:color w:val="231F20"/>
          <w:spacing w:val="-10"/>
        </w:rPr>
        <w:t> </w:t>
      </w:r>
      <w:r>
        <w:rPr>
          <w:color w:val="231F20"/>
        </w:rPr>
        <w:t>di</w:t>
      </w:r>
      <w:r>
        <w:rPr>
          <w:color w:val="231F20"/>
          <w:spacing w:val="-10"/>
        </w:rPr>
        <w:t> </w:t>
      </w:r>
      <w:r>
        <w:rPr>
          <w:color w:val="231F20"/>
        </w:rPr>
        <w:t>pagamento</w:t>
      </w:r>
      <w:r>
        <w:rPr>
          <w:color w:val="231F20"/>
          <w:spacing w:val="-10"/>
        </w:rPr>
        <w:t> </w:t>
      </w:r>
      <w:r>
        <w:rPr>
          <w:color w:val="231F20"/>
        </w:rPr>
        <w:t>per</w:t>
      </w:r>
      <w:r>
        <w:rPr>
          <w:color w:val="231F20"/>
          <w:spacing w:val="-10"/>
        </w:rPr>
        <w:t> </w:t>
      </w:r>
      <w:r>
        <w:rPr>
          <w:color w:val="231F20"/>
        </w:rPr>
        <w:t>il</w:t>
      </w:r>
      <w:r>
        <w:rPr>
          <w:color w:val="231F20"/>
          <w:spacing w:val="-10"/>
        </w:rPr>
        <w:t> </w:t>
      </w:r>
      <w:r>
        <w:rPr>
          <w:color w:val="231F20"/>
        </w:rPr>
        <w:t>recupero</w:t>
      </w:r>
      <w:r>
        <w:rPr>
          <w:color w:val="231F20"/>
          <w:spacing w:val="-10"/>
        </w:rPr>
        <w:t> </w:t>
      </w:r>
      <w:r>
        <w:rPr>
          <w:color w:val="231F20"/>
        </w:rPr>
        <w:t>di</w:t>
      </w:r>
      <w:r>
        <w:rPr>
          <w:color w:val="231F20"/>
          <w:spacing w:val="-10"/>
        </w:rPr>
        <w:t> </w:t>
      </w:r>
      <w:r>
        <w:rPr>
          <w:color w:val="231F20"/>
        </w:rPr>
        <w:t>tutti i diritti di accisa che risultavano non versati dalla suddetta società. Questa presentava</w:t>
      </w:r>
      <w:r>
        <w:rPr>
          <w:color w:val="231F20"/>
          <w:spacing w:val="-14"/>
        </w:rPr>
        <w:t> </w:t>
      </w:r>
      <w:r>
        <w:rPr>
          <w:color w:val="231F20"/>
        </w:rPr>
        <w:t>ricorso</w:t>
      </w:r>
      <w:r>
        <w:rPr>
          <w:color w:val="231F20"/>
          <w:spacing w:val="-14"/>
        </w:rPr>
        <w:t> </w:t>
      </w:r>
      <w:r>
        <w:rPr>
          <w:color w:val="231F20"/>
        </w:rPr>
        <w:t>dinanzi</w:t>
      </w:r>
      <w:r>
        <w:rPr>
          <w:color w:val="231F20"/>
          <w:spacing w:val="-14"/>
        </w:rPr>
        <w:t> </w:t>
      </w:r>
      <w:r>
        <w:rPr>
          <w:color w:val="231F20"/>
        </w:rPr>
        <w:t>alla</w:t>
      </w:r>
      <w:r>
        <w:rPr>
          <w:color w:val="231F20"/>
          <w:spacing w:val="-14"/>
        </w:rPr>
        <w:t> </w:t>
      </w:r>
      <w:r>
        <w:rPr>
          <w:color w:val="231F20"/>
        </w:rPr>
        <w:t>competente</w:t>
      </w:r>
      <w:r>
        <w:rPr>
          <w:color w:val="231F20"/>
          <w:spacing w:val="-14"/>
        </w:rPr>
        <w:t> </w:t>
      </w:r>
      <w:r>
        <w:rPr>
          <w:color w:val="231F20"/>
        </w:rPr>
        <w:t>Commissione</w:t>
      </w:r>
      <w:r>
        <w:rPr>
          <w:color w:val="231F20"/>
          <w:spacing w:val="-14"/>
        </w:rPr>
        <w:t> </w:t>
      </w:r>
      <w:r>
        <w:rPr>
          <w:color w:val="231F20"/>
        </w:rPr>
        <w:t>tributaria</w:t>
      </w:r>
      <w:r>
        <w:rPr>
          <w:color w:val="231F20"/>
          <w:spacing w:val="-14"/>
        </w:rPr>
        <w:t> </w:t>
      </w:r>
      <w:r>
        <w:rPr>
          <w:color w:val="231F20"/>
        </w:rPr>
        <w:t>provin- ciale ed il processo terminava con una transazione fra la </w:t>
      </w:r>
      <w:r>
        <w:rPr>
          <w:i/>
          <w:color w:val="231F20"/>
        </w:rPr>
        <w:t>Silcompa </w:t>
      </w:r>
      <w:r>
        <w:rPr>
          <w:color w:val="231F20"/>
        </w:rPr>
        <w:t>e l’am- ministrazione finanziaria italiana. Nel frattempo anche l’ufficio doganale di Atene emetteva, in relazione alle medesime operazioni di esportazione intracomunitarie,</w:t>
      </w:r>
      <w:r>
        <w:rPr>
          <w:color w:val="231F20"/>
          <w:spacing w:val="-4"/>
        </w:rPr>
        <w:t> </w:t>
      </w:r>
      <w:r>
        <w:rPr>
          <w:color w:val="231F20"/>
        </w:rPr>
        <w:t>due</w:t>
      </w:r>
      <w:r>
        <w:rPr>
          <w:color w:val="231F20"/>
          <w:spacing w:val="-4"/>
        </w:rPr>
        <w:t> </w:t>
      </w:r>
      <w:r>
        <w:rPr>
          <w:color w:val="231F20"/>
        </w:rPr>
        <w:t>avvisi</w:t>
      </w:r>
      <w:r>
        <w:rPr>
          <w:color w:val="231F20"/>
          <w:spacing w:val="-4"/>
        </w:rPr>
        <w:t> </w:t>
      </w:r>
      <w:r>
        <w:rPr>
          <w:color w:val="231F20"/>
        </w:rPr>
        <w:t>di</w:t>
      </w:r>
      <w:r>
        <w:rPr>
          <w:color w:val="231F20"/>
          <w:spacing w:val="-4"/>
        </w:rPr>
        <w:t> </w:t>
      </w:r>
      <w:r>
        <w:rPr>
          <w:color w:val="231F20"/>
        </w:rPr>
        <w:t>pagamento</w:t>
      </w:r>
      <w:r>
        <w:rPr>
          <w:color w:val="231F20"/>
          <w:spacing w:val="-4"/>
        </w:rPr>
        <w:t> </w:t>
      </w:r>
      <w:r>
        <w:rPr>
          <w:color w:val="231F20"/>
        </w:rPr>
        <w:t>di</w:t>
      </w:r>
      <w:r>
        <w:rPr>
          <w:color w:val="231F20"/>
          <w:spacing w:val="-4"/>
        </w:rPr>
        <w:t> </w:t>
      </w:r>
      <w:r>
        <w:rPr>
          <w:color w:val="231F20"/>
        </w:rPr>
        <w:t>diritti</w:t>
      </w:r>
      <w:r>
        <w:rPr>
          <w:color w:val="231F20"/>
          <w:spacing w:val="-4"/>
        </w:rPr>
        <w:t> </w:t>
      </w:r>
      <w:r>
        <w:rPr>
          <w:color w:val="231F20"/>
        </w:rPr>
        <w:t>d’accisa,</w:t>
      </w:r>
      <w:r>
        <w:rPr>
          <w:color w:val="231F20"/>
          <w:spacing w:val="-4"/>
        </w:rPr>
        <w:t> </w:t>
      </w:r>
      <w:r>
        <w:rPr>
          <w:color w:val="231F20"/>
        </w:rPr>
        <w:t>ritenendo</w:t>
      </w:r>
      <w:r>
        <w:rPr>
          <w:color w:val="231F20"/>
          <w:spacing w:val="-4"/>
        </w:rPr>
        <w:t> </w:t>
      </w:r>
      <w:r>
        <w:rPr>
          <w:color w:val="231F20"/>
        </w:rPr>
        <w:t>ac- certata l’immissione illegale in consumo, in territorio ellenico, dell’alcool etilico spedito dalla </w:t>
      </w:r>
      <w:r>
        <w:rPr>
          <w:i/>
          <w:color w:val="231F20"/>
        </w:rPr>
        <w:t>Silcompa </w:t>
      </w:r>
      <w:r>
        <w:rPr>
          <w:color w:val="231F20"/>
        </w:rPr>
        <w:t>ad alcune società elleniche, poi rivelatesi so- cietà</w:t>
      </w:r>
      <w:r>
        <w:rPr>
          <w:color w:val="231F20"/>
          <w:spacing w:val="-13"/>
        </w:rPr>
        <w:t> </w:t>
      </w:r>
      <w:r>
        <w:rPr>
          <w:color w:val="231F20"/>
        </w:rPr>
        <w:t>«fantasma».</w:t>
      </w:r>
      <w:r>
        <w:rPr>
          <w:color w:val="231F20"/>
          <w:spacing w:val="-13"/>
        </w:rPr>
        <w:t> </w:t>
      </w:r>
      <w:r>
        <w:rPr>
          <w:color w:val="231F20"/>
        </w:rPr>
        <w:t>L’amministrazione</w:t>
      </w:r>
      <w:r>
        <w:rPr>
          <w:color w:val="231F20"/>
          <w:spacing w:val="-13"/>
        </w:rPr>
        <w:t> </w:t>
      </w:r>
      <w:r>
        <w:rPr>
          <w:color w:val="231F20"/>
        </w:rPr>
        <w:t>finanziaria</w:t>
      </w:r>
      <w:r>
        <w:rPr>
          <w:color w:val="231F20"/>
          <w:spacing w:val="-13"/>
        </w:rPr>
        <w:t> </w:t>
      </w:r>
      <w:r>
        <w:rPr>
          <w:color w:val="231F20"/>
        </w:rPr>
        <w:t>ellenica</w:t>
      </w:r>
      <w:r>
        <w:rPr>
          <w:color w:val="231F20"/>
          <w:spacing w:val="-13"/>
        </w:rPr>
        <w:t> </w:t>
      </w:r>
      <w:r>
        <w:rPr>
          <w:color w:val="231F20"/>
        </w:rPr>
        <w:t>presentava</w:t>
      </w:r>
      <w:r>
        <w:rPr>
          <w:color w:val="231F20"/>
          <w:spacing w:val="-13"/>
        </w:rPr>
        <w:t> </w:t>
      </w:r>
      <w:r>
        <w:rPr>
          <w:color w:val="231F20"/>
        </w:rPr>
        <w:t>poi</w:t>
      </w:r>
      <w:r>
        <w:rPr>
          <w:color w:val="231F20"/>
          <w:spacing w:val="-13"/>
        </w:rPr>
        <w:t> </w:t>
      </w:r>
      <w:r>
        <w:rPr>
          <w:color w:val="231F20"/>
        </w:rPr>
        <w:t>una richiesta</w:t>
      </w:r>
      <w:r>
        <w:rPr>
          <w:color w:val="231F20"/>
          <w:spacing w:val="-13"/>
        </w:rPr>
        <w:t> </w:t>
      </w:r>
      <w:r>
        <w:rPr>
          <w:color w:val="231F20"/>
        </w:rPr>
        <w:t>di</w:t>
      </w:r>
      <w:r>
        <w:rPr>
          <w:color w:val="231F20"/>
          <w:spacing w:val="-13"/>
        </w:rPr>
        <w:t> </w:t>
      </w:r>
      <w:r>
        <w:rPr>
          <w:color w:val="231F20"/>
        </w:rPr>
        <w:t>assistenza</w:t>
      </w:r>
      <w:r>
        <w:rPr>
          <w:color w:val="231F20"/>
          <w:spacing w:val="-13"/>
        </w:rPr>
        <w:t> </w:t>
      </w:r>
      <w:r>
        <w:rPr>
          <w:color w:val="231F20"/>
        </w:rPr>
        <w:t>all’amministrazione</w:t>
      </w:r>
      <w:r>
        <w:rPr>
          <w:color w:val="231F20"/>
          <w:spacing w:val="-13"/>
        </w:rPr>
        <w:t> </w:t>
      </w:r>
      <w:r>
        <w:rPr>
          <w:color w:val="231F20"/>
        </w:rPr>
        <w:t>italiana</w:t>
      </w:r>
      <w:r>
        <w:rPr>
          <w:color w:val="231F20"/>
          <w:spacing w:val="-13"/>
        </w:rPr>
        <w:t> </w:t>
      </w:r>
      <w:r>
        <w:rPr>
          <w:color w:val="231F20"/>
        </w:rPr>
        <w:t>per</w:t>
      </w:r>
      <w:r>
        <w:rPr>
          <w:color w:val="231F20"/>
          <w:spacing w:val="-13"/>
        </w:rPr>
        <w:t> </w:t>
      </w:r>
      <w:r>
        <w:rPr>
          <w:color w:val="231F20"/>
        </w:rPr>
        <w:t>il</w:t>
      </w:r>
      <w:r>
        <w:rPr>
          <w:color w:val="231F20"/>
          <w:spacing w:val="-13"/>
        </w:rPr>
        <w:t> </w:t>
      </w:r>
      <w:r>
        <w:rPr>
          <w:color w:val="231F20"/>
        </w:rPr>
        <w:t>recupero</w:t>
      </w:r>
      <w:r>
        <w:rPr>
          <w:color w:val="231F20"/>
          <w:spacing w:val="-13"/>
        </w:rPr>
        <w:t> </w:t>
      </w:r>
      <w:r>
        <w:rPr>
          <w:color w:val="231F20"/>
        </w:rPr>
        <w:t>dei</w:t>
      </w:r>
      <w:r>
        <w:rPr>
          <w:color w:val="231F20"/>
          <w:spacing w:val="-13"/>
        </w:rPr>
        <w:t> </w:t>
      </w:r>
      <w:r>
        <w:rPr>
          <w:color w:val="231F20"/>
        </w:rPr>
        <w:t>crediti relativi</w:t>
      </w:r>
      <w:r>
        <w:rPr>
          <w:color w:val="231F20"/>
          <w:spacing w:val="-3"/>
        </w:rPr>
        <w:t> </w:t>
      </w:r>
      <w:r>
        <w:rPr>
          <w:color w:val="231F20"/>
        </w:rPr>
        <w:t>ai</w:t>
      </w:r>
      <w:r>
        <w:rPr>
          <w:color w:val="231F20"/>
          <w:spacing w:val="-3"/>
        </w:rPr>
        <w:t> </w:t>
      </w:r>
      <w:r>
        <w:rPr>
          <w:color w:val="231F20"/>
        </w:rPr>
        <w:t>diritti</w:t>
      </w:r>
      <w:r>
        <w:rPr>
          <w:color w:val="231F20"/>
          <w:spacing w:val="-3"/>
        </w:rPr>
        <w:t> </w:t>
      </w:r>
      <w:r>
        <w:rPr>
          <w:color w:val="231F20"/>
        </w:rPr>
        <w:t>d’accisa</w:t>
      </w:r>
      <w:r>
        <w:rPr>
          <w:color w:val="231F20"/>
          <w:spacing w:val="-3"/>
        </w:rPr>
        <w:t> </w:t>
      </w:r>
      <w:r>
        <w:rPr>
          <w:color w:val="231F20"/>
        </w:rPr>
        <w:t>reclamati</w:t>
      </w:r>
      <w:r>
        <w:rPr>
          <w:color w:val="231F20"/>
          <w:spacing w:val="-3"/>
        </w:rPr>
        <w:t> </w:t>
      </w:r>
      <w:r>
        <w:rPr>
          <w:color w:val="231F20"/>
        </w:rPr>
        <w:t>alla</w:t>
      </w:r>
      <w:r>
        <w:rPr>
          <w:color w:val="231F20"/>
          <w:spacing w:val="-3"/>
        </w:rPr>
        <w:t> </w:t>
      </w:r>
      <w:r>
        <w:rPr>
          <w:i/>
          <w:color w:val="231F20"/>
        </w:rPr>
        <w:t>Silcompa</w:t>
      </w:r>
      <w:r>
        <w:rPr>
          <w:color w:val="231F20"/>
        </w:rPr>
        <w:t>.</w:t>
      </w:r>
      <w:r>
        <w:rPr>
          <w:color w:val="231F20"/>
          <w:spacing w:val="-3"/>
        </w:rPr>
        <w:t> </w:t>
      </w:r>
      <w:r>
        <w:rPr>
          <w:color w:val="231F20"/>
        </w:rPr>
        <w:t>I</w:t>
      </w:r>
      <w:r>
        <w:rPr>
          <w:color w:val="231F20"/>
          <w:spacing w:val="-3"/>
        </w:rPr>
        <w:t> </w:t>
      </w:r>
      <w:r>
        <w:rPr>
          <w:color w:val="231F20"/>
        </w:rPr>
        <w:t>due</w:t>
      </w:r>
      <w:r>
        <w:rPr>
          <w:color w:val="231F20"/>
          <w:spacing w:val="-3"/>
        </w:rPr>
        <w:t> </w:t>
      </w:r>
      <w:r>
        <w:rPr>
          <w:color w:val="231F20"/>
        </w:rPr>
        <w:t>avvisi</w:t>
      </w:r>
      <w:r>
        <w:rPr>
          <w:color w:val="231F20"/>
          <w:spacing w:val="-3"/>
        </w:rPr>
        <w:t> </w:t>
      </w:r>
      <w:r>
        <w:rPr>
          <w:color w:val="231F20"/>
        </w:rPr>
        <w:t>di</w:t>
      </w:r>
      <w:r>
        <w:rPr>
          <w:color w:val="231F20"/>
          <w:spacing w:val="-3"/>
        </w:rPr>
        <w:t> </w:t>
      </w:r>
      <w:r>
        <w:rPr>
          <w:color w:val="231F20"/>
        </w:rPr>
        <w:t>pagamento dell’amministrazione</w:t>
      </w:r>
      <w:r>
        <w:rPr>
          <w:color w:val="231F20"/>
          <w:spacing w:val="-12"/>
        </w:rPr>
        <w:t> </w:t>
      </w:r>
      <w:r>
        <w:rPr>
          <w:color w:val="231F20"/>
        </w:rPr>
        <w:t>ellenica</w:t>
      </w:r>
      <w:r>
        <w:rPr>
          <w:color w:val="231F20"/>
          <w:spacing w:val="-12"/>
        </w:rPr>
        <w:t> </w:t>
      </w:r>
      <w:r>
        <w:rPr>
          <w:color w:val="231F20"/>
        </w:rPr>
        <w:t>erano</w:t>
      </w:r>
      <w:r>
        <w:rPr>
          <w:color w:val="231F20"/>
          <w:spacing w:val="-12"/>
        </w:rPr>
        <w:t> </w:t>
      </w:r>
      <w:r>
        <w:rPr>
          <w:color w:val="231F20"/>
        </w:rPr>
        <w:t>notificati</w:t>
      </w:r>
      <w:r>
        <w:rPr>
          <w:color w:val="231F20"/>
          <w:spacing w:val="-12"/>
        </w:rPr>
        <w:t> </w:t>
      </w:r>
      <w:r>
        <w:rPr>
          <w:color w:val="231F20"/>
        </w:rPr>
        <w:t>dall’amministrazione</w:t>
      </w:r>
      <w:r>
        <w:rPr>
          <w:color w:val="231F20"/>
          <w:spacing w:val="-12"/>
        </w:rPr>
        <w:t> </w:t>
      </w:r>
      <w:r>
        <w:rPr>
          <w:color w:val="231F20"/>
        </w:rPr>
        <w:t>italiana alla</w:t>
      </w:r>
      <w:r>
        <w:rPr>
          <w:color w:val="231F20"/>
          <w:spacing w:val="-9"/>
        </w:rPr>
        <w:t> </w:t>
      </w:r>
      <w:r>
        <w:rPr>
          <w:color w:val="231F20"/>
        </w:rPr>
        <w:t>suddetta</w:t>
      </w:r>
      <w:r>
        <w:rPr>
          <w:color w:val="231F20"/>
          <w:spacing w:val="-9"/>
        </w:rPr>
        <w:t> </w:t>
      </w:r>
      <w:r>
        <w:rPr>
          <w:color w:val="231F20"/>
        </w:rPr>
        <w:t>società,</w:t>
      </w:r>
      <w:r>
        <w:rPr>
          <w:color w:val="231F20"/>
          <w:spacing w:val="-9"/>
        </w:rPr>
        <w:t> </w:t>
      </w:r>
      <w:r>
        <w:rPr>
          <w:color w:val="231F20"/>
        </w:rPr>
        <w:t>la</w:t>
      </w:r>
      <w:r>
        <w:rPr>
          <w:color w:val="231F20"/>
          <w:spacing w:val="-9"/>
        </w:rPr>
        <w:t> </w:t>
      </w:r>
      <w:r>
        <w:rPr>
          <w:color w:val="231F20"/>
        </w:rPr>
        <w:t>quale</w:t>
      </w:r>
      <w:r>
        <w:rPr>
          <w:color w:val="231F20"/>
          <w:spacing w:val="-9"/>
        </w:rPr>
        <w:t> </w:t>
      </w:r>
      <w:r>
        <w:rPr>
          <w:color w:val="231F20"/>
        </w:rPr>
        <w:t>li</w:t>
      </w:r>
      <w:r>
        <w:rPr>
          <w:color w:val="231F20"/>
          <w:spacing w:val="-9"/>
        </w:rPr>
        <w:t> </w:t>
      </w:r>
      <w:r>
        <w:rPr>
          <w:color w:val="231F20"/>
        </w:rPr>
        <w:t>impugnava</w:t>
      </w:r>
      <w:r>
        <w:rPr>
          <w:color w:val="231F20"/>
          <w:spacing w:val="-9"/>
        </w:rPr>
        <w:t> </w:t>
      </w:r>
      <w:r>
        <w:rPr>
          <w:color w:val="231F20"/>
        </w:rPr>
        <w:t>con</w:t>
      </w:r>
      <w:r>
        <w:rPr>
          <w:color w:val="231F20"/>
          <w:spacing w:val="-9"/>
        </w:rPr>
        <w:t> </w:t>
      </w:r>
      <w:r>
        <w:rPr>
          <w:color w:val="231F20"/>
        </w:rPr>
        <w:t>un</w:t>
      </w:r>
      <w:r>
        <w:rPr>
          <w:color w:val="231F20"/>
          <w:spacing w:val="-9"/>
        </w:rPr>
        <w:t> </w:t>
      </w:r>
      <w:r>
        <w:rPr>
          <w:color w:val="231F20"/>
        </w:rPr>
        <w:t>ricorso</w:t>
      </w:r>
      <w:r>
        <w:rPr>
          <w:color w:val="231F20"/>
          <w:spacing w:val="-9"/>
        </w:rPr>
        <w:t> </w:t>
      </w:r>
      <w:r>
        <w:rPr>
          <w:color w:val="231F20"/>
        </w:rPr>
        <w:t>pervenuto,</w:t>
      </w:r>
      <w:r>
        <w:rPr>
          <w:color w:val="231F20"/>
          <w:spacing w:val="-9"/>
        </w:rPr>
        <w:t> </w:t>
      </w:r>
      <w:r>
        <w:rPr>
          <w:color w:val="231F20"/>
        </w:rPr>
        <w:t>dopo i</w:t>
      </w:r>
      <w:r>
        <w:rPr>
          <w:color w:val="231F20"/>
          <w:spacing w:val="29"/>
        </w:rPr>
        <w:t> </w:t>
      </w:r>
      <w:r>
        <w:rPr>
          <w:color w:val="231F20"/>
        </w:rPr>
        <w:t>primi</w:t>
      </w:r>
      <w:r>
        <w:rPr>
          <w:color w:val="231F20"/>
          <w:spacing w:val="29"/>
        </w:rPr>
        <w:t> </w:t>
      </w:r>
      <w:r>
        <w:rPr>
          <w:color w:val="231F20"/>
        </w:rPr>
        <w:t>due</w:t>
      </w:r>
      <w:r>
        <w:rPr>
          <w:color w:val="231F20"/>
          <w:spacing w:val="30"/>
        </w:rPr>
        <w:t> </w:t>
      </w:r>
      <w:r>
        <w:rPr>
          <w:color w:val="231F20"/>
        </w:rPr>
        <w:t>gradi</w:t>
      </w:r>
      <w:r>
        <w:rPr>
          <w:color w:val="231F20"/>
          <w:spacing w:val="29"/>
        </w:rPr>
        <w:t> </w:t>
      </w:r>
      <w:r>
        <w:rPr>
          <w:color w:val="231F20"/>
        </w:rPr>
        <w:t>di</w:t>
      </w:r>
      <w:r>
        <w:rPr>
          <w:color w:val="231F20"/>
          <w:spacing w:val="30"/>
        </w:rPr>
        <w:t> </w:t>
      </w:r>
      <w:r>
        <w:rPr>
          <w:color w:val="231F20"/>
        </w:rPr>
        <w:t>giudizio,</w:t>
      </w:r>
      <w:r>
        <w:rPr>
          <w:color w:val="231F20"/>
          <w:spacing w:val="29"/>
        </w:rPr>
        <w:t> </w:t>
      </w:r>
      <w:r>
        <w:rPr>
          <w:color w:val="231F20"/>
        </w:rPr>
        <w:t>fino</w:t>
      </w:r>
      <w:r>
        <w:rPr>
          <w:color w:val="231F20"/>
          <w:spacing w:val="30"/>
        </w:rPr>
        <w:t> </w:t>
      </w:r>
      <w:r>
        <w:rPr>
          <w:color w:val="231F20"/>
        </w:rPr>
        <w:t>alla</w:t>
      </w:r>
      <w:r>
        <w:rPr>
          <w:color w:val="231F20"/>
          <w:spacing w:val="29"/>
        </w:rPr>
        <w:t> </w:t>
      </w:r>
      <w:r>
        <w:rPr>
          <w:color w:val="231F20"/>
        </w:rPr>
        <w:t>Corte</w:t>
      </w:r>
      <w:r>
        <w:rPr>
          <w:color w:val="231F20"/>
          <w:spacing w:val="30"/>
        </w:rPr>
        <w:t> </w:t>
      </w:r>
      <w:r>
        <w:rPr>
          <w:color w:val="231F20"/>
        </w:rPr>
        <w:t>di</w:t>
      </w:r>
      <w:r>
        <w:rPr>
          <w:color w:val="231F20"/>
          <w:spacing w:val="29"/>
        </w:rPr>
        <w:t> </w:t>
      </w:r>
      <w:r>
        <w:rPr>
          <w:color w:val="231F20"/>
        </w:rPr>
        <w:t>cassazione.</w:t>
      </w:r>
      <w:r>
        <w:rPr>
          <w:color w:val="231F20"/>
          <w:spacing w:val="30"/>
        </w:rPr>
        <w:t> </w:t>
      </w:r>
      <w:r>
        <w:rPr>
          <w:color w:val="231F20"/>
        </w:rPr>
        <w:t>La</w:t>
      </w:r>
      <w:r>
        <w:rPr>
          <w:color w:val="231F20"/>
          <w:spacing w:val="29"/>
        </w:rPr>
        <w:t> </w:t>
      </w:r>
      <w:r>
        <w:rPr>
          <w:color w:val="231F20"/>
          <w:spacing w:val="-2"/>
        </w:rPr>
        <w:t>suprema</w:t>
      </w:r>
    </w:p>
    <w:p>
      <w:pPr>
        <w:pStyle w:val="BodyText"/>
        <w:spacing w:before="100"/>
        <w:rPr>
          <w:sz w:val="20"/>
        </w:rPr>
      </w:pPr>
      <w:r>
        <w:rPr/>
        <mc:AlternateContent>
          <mc:Choice Requires="wps">
            <w:drawing>
              <wp:anchor distT="0" distB="0" distL="0" distR="0" allowOverlap="1" layoutInCell="1" locked="0" behindDoc="1" simplePos="0" relativeHeight="487659008">
                <wp:simplePos x="0" y="0"/>
                <wp:positionH relativeFrom="page">
                  <wp:posOffset>899999</wp:posOffset>
                </wp:positionH>
                <wp:positionV relativeFrom="paragraph">
                  <wp:posOffset>240721</wp:posOffset>
                </wp:positionV>
                <wp:extent cx="792480" cy="1270"/>
                <wp:effectExtent l="0" t="0" r="0" b="0"/>
                <wp:wrapTopAndBottom/>
                <wp:docPr id="228" name="Graphic 228"/>
                <wp:cNvGraphicFramePr>
                  <a:graphicFrameLocks/>
                </wp:cNvGraphicFramePr>
                <a:graphic>
                  <a:graphicData uri="http://schemas.microsoft.com/office/word/2010/wordprocessingShape">
                    <wps:wsp>
                      <wps:cNvPr id="228" name="Graphic 228"/>
                      <wps:cNvSpPr/>
                      <wps:spPr>
                        <a:xfrm>
                          <a:off x="0" y="0"/>
                          <a:ext cx="792480" cy="1270"/>
                        </a:xfrm>
                        <a:custGeom>
                          <a:avLst/>
                          <a:gdLst/>
                          <a:ahLst/>
                          <a:cxnLst/>
                          <a:rect l="l" t="t" r="r" b="b"/>
                          <a:pathLst>
                            <a:path w="792480" h="0">
                              <a:moveTo>
                                <a:pt x="0" y="0"/>
                              </a:moveTo>
                              <a:lnTo>
                                <a:pt x="791997"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shape style="position:absolute;margin-left:70.866096pt;margin-top:18.954479pt;width:62.4pt;height:.1pt;mso-position-horizontal-relative:page;mso-position-vertical-relative:paragraph;z-index:-15657472;mso-wrap-distance-left:0;mso-wrap-distance-right:0" id="docshape189" coordorigin="1417,379" coordsize="1248,0" path="m1417,379l2665,379e" filled="false" stroked="true" strokeweight=".5pt" strokecolor="#231f20">
                <v:path arrowok="t"/>
                <v:stroke dashstyle="solid"/>
                <w10:wrap type="topAndBottom"/>
              </v:shape>
            </w:pict>
          </mc:Fallback>
        </mc:AlternateContent>
      </w:r>
    </w:p>
    <w:p>
      <w:pPr>
        <w:spacing w:line="228" w:lineRule="auto" w:before="199"/>
        <w:ind w:left="157" w:right="117" w:firstLine="0"/>
        <w:jc w:val="both"/>
        <w:rPr>
          <w:sz w:val="19"/>
        </w:rPr>
      </w:pPr>
      <w:r>
        <w:rPr>
          <w:color w:val="231F20"/>
          <w:position w:val="6"/>
          <w:sz w:val="11"/>
        </w:rPr>
        <w:t>161</w:t>
      </w:r>
      <w:r>
        <w:rPr>
          <w:color w:val="231F20"/>
          <w:spacing w:val="40"/>
          <w:position w:val="6"/>
          <w:sz w:val="11"/>
        </w:rPr>
        <w:t> </w:t>
      </w:r>
      <w:r>
        <w:rPr>
          <w:color w:val="231F20"/>
          <w:sz w:val="19"/>
        </w:rPr>
        <w:t>Corte Giust. UE, sent. del 24 febbraio 2021, C-95/19, </w:t>
      </w:r>
      <w:r>
        <w:rPr>
          <w:i/>
          <w:color w:val="231F20"/>
          <w:sz w:val="19"/>
        </w:rPr>
        <w:t>Agenzia delle Dogane c. Silcompa</w:t>
      </w:r>
      <w:r>
        <w:rPr>
          <w:i/>
          <w:color w:val="231F20"/>
          <w:sz w:val="19"/>
        </w:rPr>
        <w:t> SpA. </w:t>
      </w:r>
      <w:r>
        <w:rPr>
          <w:color w:val="231F20"/>
          <w:sz w:val="19"/>
        </w:rPr>
        <w:t>Dato che i fatti della causa </w:t>
      </w:r>
      <w:r>
        <w:rPr>
          <w:i/>
          <w:color w:val="231F20"/>
          <w:sz w:val="19"/>
        </w:rPr>
        <w:t>a quo </w:t>
      </w:r>
      <w:r>
        <w:rPr>
          <w:color w:val="231F20"/>
          <w:sz w:val="19"/>
        </w:rPr>
        <w:t>risalivano addirittura agli anni 1995-1996, la Corte di giustizia ha dovuto interpretare, oltre 25 anni dopo, le disposizioni applicabili all’epoca della prima direttiva (CEE) 76/308 disciplinante la cooperazione fra amministrazioni </w:t>
      </w:r>
      <w:r>
        <w:rPr>
          <w:color w:val="231F20"/>
          <w:sz w:val="19"/>
        </w:rPr>
        <w:t>finanziarie degli</w:t>
      </w:r>
      <w:r>
        <w:rPr>
          <w:color w:val="231F20"/>
          <w:spacing w:val="-6"/>
          <w:sz w:val="19"/>
        </w:rPr>
        <w:t> </w:t>
      </w:r>
      <w:r>
        <w:rPr>
          <w:color w:val="231F20"/>
          <w:sz w:val="19"/>
        </w:rPr>
        <w:t>Stati</w:t>
      </w:r>
      <w:r>
        <w:rPr>
          <w:color w:val="231F20"/>
          <w:spacing w:val="-6"/>
          <w:sz w:val="19"/>
        </w:rPr>
        <w:t> </w:t>
      </w:r>
      <w:r>
        <w:rPr>
          <w:color w:val="231F20"/>
          <w:sz w:val="19"/>
        </w:rPr>
        <w:t>membri</w:t>
      </w:r>
      <w:r>
        <w:rPr>
          <w:color w:val="231F20"/>
          <w:spacing w:val="-6"/>
          <w:sz w:val="19"/>
        </w:rPr>
        <w:t> </w:t>
      </w:r>
      <w:r>
        <w:rPr>
          <w:color w:val="231F20"/>
          <w:sz w:val="19"/>
        </w:rPr>
        <w:t>in</w:t>
      </w:r>
      <w:r>
        <w:rPr>
          <w:color w:val="231F20"/>
          <w:spacing w:val="-6"/>
          <w:sz w:val="19"/>
        </w:rPr>
        <w:t> </w:t>
      </w:r>
      <w:r>
        <w:rPr>
          <w:color w:val="231F20"/>
          <w:sz w:val="19"/>
        </w:rPr>
        <w:t>materia</w:t>
      </w:r>
      <w:r>
        <w:rPr>
          <w:color w:val="231F20"/>
          <w:spacing w:val="-6"/>
          <w:sz w:val="19"/>
        </w:rPr>
        <w:t> </w:t>
      </w:r>
      <w:r>
        <w:rPr>
          <w:color w:val="231F20"/>
          <w:sz w:val="19"/>
        </w:rPr>
        <w:t>di</w:t>
      </w:r>
      <w:r>
        <w:rPr>
          <w:color w:val="231F20"/>
          <w:spacing w:val="-6"/>
          <w:sz w:val="19"/>
        </w:rPr>
        <w:t> </w:t>
      </w:r>
      <w:r>
        <w:rPr>
          <w:color w:val="231F20"/>
          <w:sz w:val="19"/>
        </w:rPr>
        <w:t>recupero</w:t>
      </w:r>
      <w:r>
        <w:rPr>
          <w:color w:val="231F20"/>
          <w:spacing w:val="-6"/>
          <w:sz w:val="19"/>
        </w:rPr>
        <w:t> </w:t>
      </w:r>
      <w:r>
        <w:rPr>
          <w:color w:val="231F20"/>
          <w:sz w:val="19"/>
        </w:rPr>
        <w:t>di</w:t>
      </w:r>
      <w:r>
        <w:rPr>
          <w:color w:val="231F20"/>
          <w:spacing w:val="-6"/>
          <w:sz w:val="19"/>
        </w:rPr>
        <w:t> </w:t>
      </w:r>
      <w:r>
        <w:rPr>
          <w:color w:val="231F20"/>
          <w:sz w:val="19"/>
        </w:rPr>
        <w:t>crediti</w:t>
      </w:r>
      <w:r>
        <w:rPr>
          <w:color w:val="231F20"/>
          <w:spacing w:val="-6"/>
          <w:sz w:val="19"/>
        </w:rPr>
        <w:t> </w:t>
      </w:r>
      <w:r>
        <w:rPr>
          <w:color w:val="231F20"/>
          <w:sz w:val="19"/>
        </w:rPr>
        <w:t>tributari.</w:t>
      </w:r>
      <w:r>
        <w:rPr>
          <w:color w:val="231F20"/>
          <w:spacing w:val="-6"/>
          <w:sz w:val="19"/>
        </w:rPr>
        <w:t> </w:t>
      </w:r>
      <w:r>
        <w:rPr>
          <w:color w:val="231F20"/>
          <w:sz w:val="19"/>
        </w:rPr>
        <w:t>Per</w:t>
      </w:r>
      <w:r>
        <w:rPr>
          <w:color w:val="231F20"/>
          <w:spacing w:val="-6"/>
          <w:sz w:val="19"/>
        </w:rPr>
        <w:t> </w:t>
      </w:r>
      <w:r>
        <w:rPr>
          <w:color w:val="231F20"/>
          <w:sz w:val="19"/>
        </w:rPr>
        <w:t>un</w:t>
      </w:r>
      <w:r>
        <w:rPr>
          <w:color w:val="231F20"/>
          <w:spacing w:val="-6"/>
          <w:sz w:val="19"/>
        </w:rPr>
        <w:t> </w:t>
      </w:r>
      <w:r>
        <w:rPr>
          <w:color w:val="231F20"/>
          <w:sz w:val="19"/>
        </w:rPr>
        <w:t>commento</w:t>
      </w:r>
      <w:r>
        <w:rPr>
          <w:color w:val="231F20"/>
          <w:spacing w:val="-6"/>
          <w:sz w:val="19"/>
        </w:rPr>
        <w:t> </w:t>
      </w:r>
      <w:r>
        <w:rPr>
          <w:color w:val="231F20"/>
          <w:sz w:val="19"/>
        </w:rPr>
        <w:t>v.</w:t>
      </w:r>
      <w:r>
        <w:rPr>
          <w:color w:val="231F20"/>
          <w:spacing w:val="-6"/>
          <w:sz w:val="19"/>
        </w:rPr>
        <w:t> </w:t>
      </w:r>
      <w:r>
        <w:rPr>
          <w:color w:val="231F20"/>
          <w:sz w:val="19"/>
        </w:rPr>
        <w:t>I.</w:t>
      </w:r>
      <w:r>
        <w:rPr>
          <w:color w:val="231F20"/>
          <w:spacing w:val="-6"/>
          <w:sz w:val="19"/>
        </w:rPr>
        <w:t> </w:t>
      </w:r>
      <w:r>
        <w:rPr>
          <w:color w:val="231F20"/>
          <w:sz w:val="19"/>
        </w:rPr>
        <w:t>Detroyer, </w:t>
      </w:r>
      <w:r>
        <w:rPr>
          <w:i/>
          <w:color w:val="231F20"/>
          <w:sz w:val="19"/>
        </w:rPr>
        <w:t>Legal protection of tax debtors in respect of cross border use of precautionary measures to guarantee</w:t>
      </w:r>
      <w:r>
        <w:rPr>
          <w:i/>
          <w:color w:val="231F20"/>
          <w:sz w:val="19"/>
        </w:rPr>
        <w:t> tax recovery, </w:t>
      </w:r>
      <w:r>
        <w:rPr>
          <w:color w:val="231F20"/>
          <w:sz w:val="19"/>
        </w:rPr>
        <w:t>in </w:t>
      </w:r>
      <w:r>
        <w:rPr>
          <w:i/>
          <w:color w:val="231F20"/>
          <w:sz w:val="19"/>
        </w:rPr>
        <w:t>Eur. Tax., </w:t>
      </w:r>
      <w:r>
        <w:rPr>
          <w:color w:val="231F20"/>
          <w:sz w:val="19"/>
        </w:rPr>
        <w:t>2021, 6.</w:t>
      </w:r>
    </w:p>
    <w:p>
      <w:pPr>
        <w:spacing w:after="0" w:line="228" w:lineRule="auto"/>
        <w:jc w:val="both"/>
        <w:rPr>
          <w:sz w:val="19"/>
        </w:rPr>
        <w:sectPr>
          <w:pgSz w:w="9640" w:h="13610"/>
          <w:pgMar w:header="0" w:footer="625" w:top="1260" w:bottom="820" w:left="1260" w:right="1240"/>
        </w:sectPr>
      </w:pPr>
    </w:p>
    <w:p>
      <w:pPr>
        <w:pStyle w:val="BodyText"/>
        <w:spacing w:line="225" w:lineRule="auto" w:before="117"/>
        <w:ind w:left="100" w:right="174"/>
        <w:jc w:val="both"/>
      </w:pPr>
      <w:r>
        <w:rPr>
          <w:color w:val="231F20"/>
        </w:rPr>
        <w:t>giurisdizione</w:t>
      </w:r>
      <w:r>
        <w:rPr>
          <w:color w:val="231F20"/>
          <w:spacing w:val="-6"/>
        </w:rPr>
        <w:t> </w:t>
      </w:r>
      <w:r>
        <w:rPr>
          <w:color w:val="231F20"/>
        </w:rPr>
        <w:t>italiana</w:t>
      </w:r>
      <w:r>
        <w:rPr>
          <w:color w:val="231F20"/>
          <w:spacing w:val="-6"/>
        </w:rPr>
        <w:t> </w:t>
      </w:r>
      <w:r>
        <w:rPr>
          <w:color w:val="231F20"/>
        </w:rPr>
        <w:t>poneva</w:t>
      </w:r>
      <w:r>
        <w:rPr>
          <w:color w:val="231F20"/>
          <w:spacing w:val="-6"/>
        </w:rPr>
        <w:t> </w:t>
      </w:r>
      <w:r>
        <w:rPr>
          <w:color w:val="231F20"/>
        </w:rPr>
        <w:t>a</w:t>
      </w:r>
      <w:r>
        <w:rPr>
          <w:color w:val="231F20"/>
          <w:spacing w:val="-6"/>
        </w:rPr>
        <w:t> </w:t>
      </w:r>
      <w:r>
        <w:rPr>
          <w:color w:val="231F20"/>
        </w:rPr>
        <w:t>sua</w:t>
      </w:r>
      <w:r>
        <w:rPr>
          <w:color w:val="231F20"/>
          <w:spacing w:val="-6"/>
        </w:rPr>
        <w:t> </w:t>
      </w:r>
      <w:r>
        <w:rPr>
          <w:color w:val="231F20"/>
        </w:rPr>
        <w:t>volta</w:t>
      </w:r>
      <w:r>
        <w:rPr>
          <w:color w:val="231F20"/>
          <w:spacing w:val="-6"/>
        </w:rPr>
        <w:t> </w:t>
      </w:r>
      <w:r>
        <w:rPr>
          <w:color w:val="231F20"/>
        </w:rPr>
        <w:t>alla</w:t>
      </w:r>
      <w:r>
        <w:rPr>
          <w:color w:val="231F20"/>
          <w:spacing w:val="-6"/>
        </w:rPr>
        <w:t> </w:t>
      </w:r>
      <w:r>
        <w:rPr>
          <w:color w:val="231F20"/>
        </w:rPr>
        <w:t>Corte</w:t>
      </w:r>
      <w:r>
        <w:rPr>
          <w:color w:val="231F20"/>
          <w:spacing w:val="-6"/>
        </w:rPr>
        <w:t> </w:t>
      </w:r>
      <w:r>
        <w:rPr>
          <w:color w:val="231F20"/>
        </w:rPr>
        <w:t>di</w:t>
      </w:r>
      <w:r>
        <w:rPr>
          <w:color w:val="231F20"/>
          <w:spacing w:val="-6"/>
        </w:rPr>
        <w:t> </w:t>
      </w:r>
      <w:r>
        <w:rPr>
          <w:color w:val="231F20"/>
        </w:rPr>
        <w:t>giustizia</w:t>
      </w:r>
      <w:r>
        <w:rPr>
          <w:color w:val="231F20"/>
          <w:spacing w:val="-6"/>
        </w:rPr>
        <w:t> </w:t>
      </w:r>
      <w:r>
        <w:rPr>
          <w:color w:val="231F20"/>
        </w:rPr>
        <w:t>un</w:t>
      </w:r>
      <w:r>
        <w:rPr>
          <w:color w:val="231F20"/>
          <w:spacing w:val="-6"/>
        </w:rPr>
        <w:t> </w:t>
      </w:r>
      <w:r>
        <w:rPr>
          <w:color w:val="231F20"/>
        </w:rPr>
        <w:t>comples- so quesito interpretativo avente ad oggetto, sia la prima direttiva (CEE) 76/308 sull’assistenza reciproca in materia di recupero di crediti tributari, sia</w:t>
      </w:r>
      <w:r>
        <w:rPr>
          <w:color w:val="231F20"/>
          <w:spacing w:val="-7"/>
        </w:rPr>
        <w:t> </w:t>
      </w:r>
      <w:r>
        <w:rPr>
          <w:color w:val="231F20"/>
        </w:rPr>
        <w:t>la</w:t>
      </w:r>
      <w:r>
        <w:rPr>
          <w:color w:val="231F20"/>
          <w:spacing w:val="-7"/>
        </w:rPr>
        <w:t> </w:t>
      </w:r>
      <w:r>
        <w:rPr>
          <w:color w:val="231F20"/>
        </w:rPr>
        <w:t>direttiva</w:t>
      </w:r>
      <w:r>
        <w:rPr>
          <w:color w:val="231F20"/>
          <w:spacing w:val="-7"/>
        </w:rPr>
        <w:t> </w:t>
      </w:r>
      <w:r>
        <w:rPr>
          <w:color w:val="231F20"/>
        </w:rPr>
        <w:t>(CEE)</w:t>
      </w:r>
      <w:r>
        <w:rPr>
          <w:color w:val="231F20"/>
          <w:spacing w:val="-7"/>
        </w:rPr>
        <w:t> </w:t>
      </w:r>
      <w:r>
        <w:rPr>
          <w:color w:val="231F20"/>
        </w:rPr>
        <w:t>92/12</w:t>
      </w:r>
      <w:r>
        <w:rPr>
          <w:color w:val="231F20"/>
          <w:spacing w:val="-7"/>
        </w:rPr>
        <w:t> </w:t>
      </w:r>
      <w:r>
        <w:rPr>
          <w:color w:val="231F20"/>
        </w:rPr>
        <w:t>all’epoca</w:t>
      </w:r>
      <w:r>
        <w:rPr>
          <w:color w:val="231F20"/>
          <w:spacing w:val="-7"/>
        </w:rPr>
        <w:t> </w:t>
      </w:r>
      <w:r>
        <w:rPr>
          <w:color w:val="231F20"/>
        </w:rPr>
        <w:t>in</w:t>
      </w:r>
      <w:r>
        <w:rPr>
          <w:color w:val="231F20"/>
          <w:spacing w:val="-7"/>
        </w:rPr>
        <w:t> </w:t>
      </w:r>
      <w:r>
        <w:rPr>
          <w:color w:val="231F20"/>
        </w:rPr>
        <w:t>vigore</w:t>
      </w:r>
      <w:r>
        <w:rPr>
          <w:color w:val="231F20"/>
          <w:spacing w:val="-7"/>
        </w:rPr>
        <w:t> </w:t>
      </w:r>
      <w:r>
        <w:rPr>
          <w:color w:val="231F20"/>
        </w:rPr>
        <w:t>sul</w:t>
      </w:r>
      <w:r>
        <w:rPr>
          <w:color w:val="231F20"/>
          <w:spacing w:val="-7"/>
        </w:rPr>
        <w:t> </w:t>
      </w:r>
      <w:r>
        <w:rPr>
          <w:color w:val="231F20"/>
        </w:rPr>
        <w:t>regime</w:t>
      </w:r>
      <w:r>
        <w:rPr>
          <w:color w:val="231F20"/>
          <w:spacing w:val="-7"/>
        </w:rPr>
        <w:t> </w:t>
      </w:r>
      <w:r>
        <w:rPr>
          <w:color w:val="231F20"/>
        </w:rPr>
        <w:t>generale</w:t>
      </w:r>
      <w:r>
        <w:rPr>
          <w:color w:val="231F20"/>
          <w:spacing w:val="-7"/>
        </w:rPr>
        <w:t> </w:t>
      </w:r>
      <w:r>
        <w:rPr>
          <w:color w:val="231F20"/>
        </w:rPr>
        <w:t>dei</w:t>
      </w:r>
      <w:r>
        <w:rPr>
          <w:color w:val="231F20"/>
          <w:spacing w:val="-7"/>
        </w:rPr>
        <w:t> </w:t>
      </w:r>
      <w:r>
        <w:rPr>
          <w:color w:val="231F20"/>
        </w:rPr>
        <w:t>pro- dotti soggetti ad accisa. Tale quesito mirava a stabilire se l’autorità adita (italiana) poteva legittimamente rifiutare di dare esecuzione alla </w:t>
      </w:r>
      <w:r>
        <w:rPr>
          <w:color w:val="231F20"/>
        </w:rPr>
        <w:t>domanda di</w:t>
      </w:r>
      <w:r>
        <w:rPr>
          <w:color w:val="231F20"/>
          <w:spacing w:val="-10"/>
        </w:rPr>
        <w:t> </w:t>
      </w:r>
      <w:r>
        <w:rPr>
          <w:color w:val="231F20"/>
        </w:rPr>
        <w:t>recupero</w:t>
      </w:r>
      <w:r>
        <w:rPr>
          <w:color w:val="231F20"/>
          <w:spacing w:val="-10"/>
        </w:rPr>
        <w:t> </w:t>
      </w:r>
      <w:r>
        <w:rPr>
          <w:color w:val="231F20"/>
        </w:rPr>
        <w:t>dei</w:t>
      </w:r>
      <w:r>
        <w:rPr>
          <w:color w:val="231F20"/>
          <w:spacing w:val="-10"/>
        </w:rPr>
        <w:t> </w:t>
      </w:r>
      <w:r>
        <w:rPr>
          <w:color w:val="231F20"/>
        </w:rPr>
        <w:t>diritti</w:t>
      </w:r>
      <w:r>
        <w:rPr>
          <w:color w:val="231F20"/>
          <w:spacing w:val="-10"/>
        </w:rPr>
        <w:t> </w:t>
      </w:r>
      <w:r>
        <w:rPr>
          <w:color w:val="231F20"/>
        </w:rPr>
        <w:t>di</w:t>
      </w:r>
      <w:r>
        <w:rPr>
          <w:color w:val="231F20"/>
          <w:spacing w:val="-10"/>
        </w:rPr>
        <w:t> </w:t>
      </w:r>
      <w:r>
        <w:rPr>
          <w:color w:val="231F20"/>
        </w:rPr>
        <w:t>accisa</w:t>
      </w:r>
      <w:r>
        <w:rPr>
          <w:color w:val="231F20"/>
          <w:spacing w:val="-10"/>
        </w:rPr>
        <w:t> </w:t>
      </w:r>
      <w:r>
        <w:rPr>
          <w:color w:val="231F20"/>
        </w:rPr>
        <w:t>presentata</w:t>
      </w:r>
      <w:r>
        <w:rPr>
          <w:color w:val="231F20"/>
          <w:spacing w:val="-10"/>
        </w:rPr>
        <w:t> </w:t>
      </w:r>
      <w:r>
        <w:rPr>
          <w:color w:val="231F20"/>
        </w:rPr>
        <w:t>dall’autorità</w:t>
      </w:r>
      <w:r>
        <w:rPr>
          <w:color w:val="231F20"/>
          <w:spacing w:val="-10"/>
        </w:rPr>
        <w:t> </w:t>
      </w:r>
      <w:r>
        <w:rPr>
          <w:color w:val="231F20"/>
        </w:rPr>
        <w:t>richiedente</w:t>
      </w:r>
      <w:r>
        <w:rPr>
          <w:color w:val="231F20"/>
          <w:spacing w:val="-10"/>
        </w:rPr>
        <w:t> </w:t>
      </w:r>
      <w:r>
        <w:rPr>
          <w:color w:val="231F20"/>
        </w:rPr>
        <w:t>(greca)</w:t>
      </w:r>
      <w:r>
        <w:rPr>
          <w:color w:val="231F20"/>
          <w:spacing w:val="-10"/>
        </w:rPr>
        <w:t> </w:t>
      </w:r>
      <w:r>
        <w:rPr>
          <w:color w:val="231F20"/>
        </w:rPr>
        <w:t>e fondata</w:t>
      </w:r>
      <w:r>
        <w:rPr>
          <w:color w:val="231F20"/>
          <w:spacing w:val="-9"/>
        </w:rPr>
        <w:t> </w:t>
      </w:r>
      <w:r>
        <w:rPr>
          <w:color w:val="231F20"/>
        </w:rPr>
        <w:t>sulle</w:t>
      </w:r>
      <w:r>
        <w:rPr>
          <w:color w:val="231F20"/>
          <w:spacing w:val="-9"/>
        </w:rPr>
        <w:t> </w:t>
      </w:r>
      <w:r>
        <w:rPr>
          <w:color w:val="231F20"/>
        </w:rPr>
        <w:t>medesime</w:t>
      </w:r>
      <w:r>
        <w:rPr>
          <w:color w:val="231F20"/>
          <w:spacing w:val="-9"/>
        </w:rPr>
        <w:t> </w:t>
      </w:r>
      <w:r>
        <w:rPr>
          <w:color w:val="231F20"/>
        </w:rPr>
        <w:t>operazioni</w:t>
      </w:r>
      <w:r>
        <w:rPr>
          <w:color w:val="231F20"/>
          <w:spacing w:val="-9"/>
        </w:rPr>
        <w:t> </w:t>
      </w:r>
      <w:r>
        <w:rPr>
          <w:color w:val="231F20"/>
        </w:rPr>
        <w:t>intracomunitarie</w:t>
      </w:r>
      <w:r>
        <w:rPr>
          <w:color w:val="231F20"/>
          <w:spacing w:val="-9"/>
        </w:rPr>
        <w:t> </w:t>
      </w:r>
      <w:r>
        <w:rPr>
          <w:color w:val="231F20"/>
        </w:rPr>
        <w:t>di</w:t>
      </w:r>
      <w:r>
        <w:rPr>
          <w:color w:val="231F20"/>
          <w:spacing w:val="-9"/>
        </w:rPr>
        <w:t> </w:t>
      </w:r>
      <w:r>
        <w:rPr>
          <w:color w:val="231F20"/>
        </w:rPr>
        <w:t>esportazione</w:t>
      </w:r>
      <w:r>
        <w:rPr>
          <w:color w:val="231F20"/>
          <w:spacing w:val="-9"/>
        </w:rPr>
        <w:t> </w:t>
      </w:r>
      <w:r>
        <w:rPr>
          <w:color w:val="231F20"/>
        </w:rPr>
        <w:t>già</w:t>
      </w:r>
      <w:r>
        <w:rPr>
          <w:color w:val="231F20"/>
          <w:spacing w:val="-9"/>
        </w:rPr>
        <w:t> </w:t>
      </w:r>
      <w:r>
        <w:rPr>
          <w:color w:val="231F20"/>
        </w:rPr>
        <w:t>as- soggettate</w:t>
      </w:r>
      <w:r>
        <w:rPr>
          <w:color w:val="231F20"/>
          <w:spacing w:val="-11"/>
        </w:rPr>
        <w:t> </w:t>
      </w:r>
      <w:r>
        <w:rPr>
          <w:color w:val="231F20"/>
        </w:rPr>
        <w:t>ad</w:t>
      </w:r>
      <w:r>
        <w:rPr>
          <w:color w:val="231F20"/>
          <w:spacing w:val="-11"/>
        </w:rPr>
        <w:t> </w:t>
      </w:r>
      <w:r>
        <w:rPr>
          <w:color w:val="231F20"/>
        </w:rPr>
        <w:t>accisa</w:t>
      </w:r>
      <w:r>
        <w:rPr>
          <w:color w:val="231F20"/>
          <w:spacing w:val="-11"/>
        </w:rPr>
        <w:t> </w:t>
      </w:r>
      <w:r>
        <w:rPr>
          <w:color w:val="231F20"/>
        </w:rPr>
        <w:t>nello</w:t>
      </w:r>
      <w:r>
        <w:rPr>
          <w:color w:val="231F20"/>
          <w:spacing w:val="-11"/>
        </w:rPr>
        <w:t> </w:t>
      </w:r>
      <w:r>
        <w:rPr>
          <w:color w:val="231F20"/>
        </w:rPr>
        <w:t>Stato</w:t>
      </w:r>
      <w:r>
        <w:rPr>
          <w:color w:val="231F20"/>
          <w:spacing w:val="-11"/>
        </w:rPr>
        <w:t> </w:t>
      </w:r>
      <w:r>
        <w:rPr>
          <w:color w:val="231F20"/>
        </w:rPr>
        <w:t>membro</w:t>
      </w:r>
      <w:r>
        <w:rPr>
          <w:color w:val="231F20"/>
          <w:spacing w:val="-11"/>
        </w:rPr>
        <w:t> </w:t>
      </w:r>
      <w:r>
        <w:rPr>
          <w:color w:val="231F20"/>
        </w:rPr>
        <w:t>dell’autorità</w:t>
      </w:r>
      <w:r>
        <w:rPr>
          <w:color w:val="231F20"/>
          <w:spacing w:val="-11"/>
        </w:rPr>
        <w:t> </w:t>
      </w:r>
      <w:r>
        <w:rPr>
          <w:color w:val="231F20"/>
        </w:rPr>
        <w:t>adita</w:t>
      </w:r>
      <w:r>
        <w:rPr>
          <w:color w:val="231F20"/>
          <w:spacing w:val="-11"/>
        </w:rPr>
        <w:t> </w:t>
      </w:r>
      <w:r>
        <w:rPr>
          <w:color w:val="231F20"/>
        </w:rPr>
        <w:t>(l’Italia)</w:t>
      </w:r>
      <w:r>
        <w:rPr>
          <w:color w:val="231F20"/>
          <w:spacing w:val="-11"/>
        </w:rPr>
        <w:t> </w:t>
      </w:r>
      <w:r>
        <w:rPr>
          <w:color w:val="231F20"/>
        </w:rPr>
        <w:t>a</w:t>
      </w:r>
      <w:r>
        <w:rPr>
          <w:color w:val="231F20"/>
          <w:spacing w:val="-11"/>
        </w:rPr>
        <w:t> </w:t>
      </w:r>
      <w:r>
        <w:rPr>
          <w:color w:val="231F20"/>
        </w:rPr>
        <w:t>segui- to di uno svincolo irregolare dei prodotti esportati dal regime sospensivo.</w:t>
      </w:r>
    </w:p>
    <w:p>
      <w:pPr>
        <w:pStyle w:val="BodyText"/>
        <w:spacing w:before="43"/>
      </w:pPr>
    </w:p>
    <w:p>
      <w:pPr>
        <w:pStyle w:val="ListParagraph"/>
        <w:numPr>
          <w:ilvl w:val="2"/>
          <w:numId w:val="4"/>
        </w:numPr>
        <w:tabs>
          <w:tab w:pos="700" w:val="left" w:leader="none"/>
        </w:tabs>
        <w:spacing w:line="230" w:lineRule="auto" w:before="1" w:after="0"/>
        <w:ind w:left="100" w:right="341" w:firstLine="0"/>
        <w:jc w:val="left"/>
        <w:rPr>
          <w:i/>
          <w:sz w:val="24"/>
        </w:rPr>
      </w:pPr>
      <w:r>
        <w:rPr>
          <w:i/>
          <w:color w:val="231F20"/>
          <w:sz w:val="24"/>
        </w:rPr>
        <w:t>Liceità del rifiuto di eseguire una domanda di recupero di un credito</w:t>
      </w:r>
      <w:r>
        <w:rPr>
          <w:i/>
          <w:color w:val="231F20"/>
          <w:sz w:val="24"/>
        </w:rPr>
        <w:t> tributario</w:t>
      </w:r>
      <w:r>
        <w:rPr>
          <w:i/>
          <w:color w:val="231F20"/>
          <w:spacing w:val="-9"/>
          <w:sz w:val="24"/>
        </w:rPr>
        <w:t> </w:t>
      </w:r>
      <w:r>
        <w:rPr>
          <w:i/>
          <w:color w:val="231F20"/>
          <w:sz w:val="24"/>
        </w:rPr>
        <w:t>di</w:t>
      </w:r>
      <w:r>
        <w:rPr>
          <w:i/>
          <w:color w:val="231F20"/>
          <w:spacing w:val="-9"/>
          <w:sz w:val="24"/>
        </w:rPr>
        <w:t> </w:t>
      </w:r>
      <w:r>
        <w:rPr>
          <w:i/>
          <w:color w:val="231F20"/>
          <w:sz w:val="24"/>
        </w:rPr>
        <w:t>un’altra</w:t>
      </w:r>
      <w:r>
        <w:rPr>
          <w:i/>
          <w:color w:val="231F20"/>
          <w:spacing w:val="-9"/>
          <w:sz w:val="24"/>
        </w:rPr>
        <w:t> </w:t>
      </w:r>
      <w:r>
        <w:rPr>
          <w:i/>
          <w:color w:val="231F20"/>
          <w:sz w:val="24"/>
        </w:rPr>
        <w:t>amministrazione</w:t>
      </w:r>
      <w:r>
        <w:rPr>
          <w:i/>
          <w:color w:val="231F20"/>
          <w:spacing w:val="-9"/>
          <w:sz w:val="24"/>
        </w:rPr>
        <w:t> </w:t>
      </w:r>
      <w:r>
        <w:rPr>
          <w:i/>
          <w:color w:val="231F20"/>
          <w:sz w:val="24"/>
        </w:rPr>
        <w:t>in</w:t>
      </w:r>
      <w:r>
        <w:rPr>
          <w:i/>
          <w:color w:val="231F20"/>
          <w:spacing w:val="-9"/>
          <w:sz w:val="24"/>
        </w:rPr>
        <w:t> </w:t>
      </w:r>
      <w:r>
        <w:rPr>
          <w:i/>
          <w:color w:val="231F20"/>
          <w:sz w:val="24"/>
        </w:rPr>
        <w:t>caso</w:t>
      </w:r>
      <w:r>
        <w:rPr>
          <w:i/>
          <w:color w:val="231F20"/>
          <w:spacing w:val="-9"/>
          <w:sz w:val="24"/>
        </w:rPr>
        <w:t> </w:t>
      </w:r>
      <w:r>
        <w:rPr>
          <w:i/>
          <w:color w:val="231F20"/>
          <w:sz w:val="24"/>
        </w:rPr>
        <w:t>di</w:t>
      </w:r>
      <w:r>
        <w:rPr>
          <w:i/>
          <w:color w:val="231F20"/>
          <w:spacing w:val="-9"/>
          <w:sz w:val="24"/>
        </w:rPr>
        <w:t> </w:t>
      </w:r>
      <w:r>
        <w:rPr>
          <w:i/>
          <w:color w:val="231F20"/>
          <w:sz w:val="24"/>
        </w:rPr>
        <w:t>«duplicazione</w:t>
      </w:r>
      <w:r>
        <w:rPr>
          <w:i/>
          <w:color w:val="231F20"/>
          <w:spacing w:val="-9"/>
          <w:sz w:val="24"/>
        </w:rPr>
        <w:t> </w:t>
      </w:r>
      <w:r>
        <w:rPr>
          <w:i/>
          <w:color w:val="231F20"/>
          <w:sz w:val="24"/>
        </w:rPr>
        <w:t>della</w:t>
      </w:r>
      <w:r>
        <w:rPr>
          <w:i/>
          <w:color w:val="231F20"/>
          <w:spacing w:val="-9"/>
          <w:sz w:val="24"/>
        </w:rPr>
        <w:t> </w:t>
      </w:r>
      <w:r>
        <w:rPr>
          <w:i/>
          <w:color w:val="231F20"/>
          <w:sz w:val="24"/>
        </w:rPr>
        <w:t>pretesa </w:t>
      </w:r>
      <w:r>
        <w:rPr>
          <w:i/>
          <w:color w:val="231F20"/>
          <w:spacing w:val="-2"/>
          <w:sz w:val="24"/>
        </w:rPr>
        <w:t>impositiva»</w:t>
      </w:r>
    </w:p>
    <w:p>
      <w:pPr>
        <w:pStyle w:val="BodyText"/>
        <w:spacing w:line="225" w:lineRule="auto" w:before="171"/>
        <w:ind w:left="100" w:right="173"/>
        <w:jc w:val="both"/>
      </w:pPr>
      <w:r>
        <w:rPr>
          <w:color w:val="231F20"/>
        </w:rPr>
        <w:t>Per rispondere al quesito della Corte di cassazione italiana la Corte di giustizia ha proceduto in primo luogo ad una dettagliata analisi delle norme della direttiva «generale» accise applicabili nel caso di specie ed in particolare del suo art. 20 che contiene i criteri di determinazione dello Stato membro competente per la riscossione dei diritti d’accisa qualora, nel corso della circolazione dei prodotti soggetti all’imposta, siano state commesse irregolarità o infrazioni. Tale Stato membro competente è in via principale lo Stato del luogo in cui l’infrazione è stata commessa e in via sussidiaria lo Stato membro nel quale l’infrazione è stata accertata, te- nendo</w:t>
      </w:r>
      <w:r>
        <w:rPr>
          <w:color w:val="231F20"/>
          <w:spacing w:val="-5"/>
        </w:rPr>
        <w:t> </w:t>
      </w:r>
      <w:r>
        <w:rPr>
          <w:color w:val="231F20"/>
        </w:rPr>
        <w:t>tuttavia</w:t>
      </w:r>
      <w:r>
        <w:rPr>
          <w:color w:val="231F20"/>
          <w:spacing w:val="-3"/>
        </w:rPr>
        <w:t> </w:t>
      </w:r>
      <w:r>
        <w:rPr>
          <w:color w:val="231F20"/>
        </w:rPr>
        <w:t>ben</w:t>
      </w:r>
      <w:r>
        <w:rPr>
          <w:color w:val="231F20"/>
          <w:spacing w:val="-3"/>
        </w:rPr>
        <w:t> </w:t>
      </w:r>
      <w:r>
        <w:rPr>
          <w:color w:val="231F20"/>
        </w:rPr>
        <w:t>presente</w:t>
      </w:r>
      <w:r>
        <w:rPr>
          <w:color w:val="231F20"/>
          <w:spacing w:val="-3"/>
        </w:rPr>
        <w:t> </w:t>
      </w:r>
      <w:r>
        <w:rPr>
          <w:color w:val="231F20"/>
        </w:rPr>
        <w:t>il</w:t>
      </w:r>
      <w:r>
        <w:rPr>
          <w:color w:val="231F20"/>
          <w:spacing w:val="-3"/>
        </w:rPr>
        <w:t> </w:t>
      </w:r>
      <w:r>
        <w:rPr>
          <w:color w:val="231F20"/>
        </w:rPr>
        <w:t>principio</w:t>
      </w:r>
      <w:r>
        <w:rPr>
          <w:color w:val="231F20"/>
          <w:spacing w:val="-3"/>
        </w:rPr>
        <w:t> </w:t>
      </w:r>
      <w:r>
        <w:rPr>
          <w:color w:val="231F20"/>
        </w:rPr>
        <w:t>generale</w:t>
      </w:r>
      <w:r>
        <w:rPr>
          <w:color w:val="231F20"/>
          <w:spacing w:val="-3"/>
        </w:rPr>
        <w:t> </w:t>
      </w:r>
      <w:r>
        <w:rPr>
          <w:color w:val="231F20"/>
        </w:rPr>
        <w:t>sotteso</w:t>
      </w:r>
      <w:r>
        <w:rPr>
          <w:color w:val="231F20"/>
          <w:spacing w:val="-3"/>
        </w:rPr>
        <w:t> </w:t>
      </w:r>
      <w:r>
        <w:rPr>
          <w:color w:val="231F20"/>
        </w:rPr>
        <w:t>a</w:t>
      </w:r>
      <w:r>
        <w:rPr>
          <w:color w:val="231F20"/>
          <w:spacing w:val="-3"/>
        </w:rPr>
        <w:t> </w:t>
      </w:r>
      <w:r>
        <w:rPr>
          <w:color w:val="231F20"/>
        </w:rPr>
        <w:t>tutta</w:t>
      </w:r>
      <w:r>
        <w:rPr>
          <w:color w:val="231F20"/>
          <w:spacing w:val="-3"/>
        </w:rPr>
        <w:t> </w:t>
      </w:r>
      <w:r>
        <w:rPr>
          <w:color w:val="231F20"/>
        </w:rPr>
        <w:t>la</w:t>
      </w:r>
      <w:r>
        <w:rPr>
          <w:color w:val="231F20"/>
          <w:spacing w:val="-3"/>
        </w:rPr>
        <w:t> </w:t>
      </w:r>
      <w:r>
        <w:rPr>
          <w:color w:val="231F20"/>
          <w:spacing w:val="-2"/>
        </w:rPr>
        <w:t>direttiva</w:t>
      </w:r>
    </w:p>
    <w:p>
      <w:pPr>
        <w:pStyle w:val="BodyText"/>
        <w:spacing w:line="225" w:lineRule="auto" w:before="12"/>
        <w:ind w:left="100" w:right="173"/>
        <w:jc w:val="both"/>
      </w:pPr>
      <w:r>
        <w:rPr>
          <w:color w:val="231F20"/>
        </w:rPr>
        <w:t>«generale»</w:t>
      </w:r>
      <w:r>
        <w:rPr>
          <w:color w:val="231F20"/>
          <w:spacing w:val="-9"/>
        </w:rPr>
        <w:t> </w:t>
      </w:r>
      <w:r>
        <w:rPr>
          <w:color w:val="231F20"/>
        </w:rPr>
        <w:t>accise</w:t>
      </w:r>
      <w:r>
        <w:rPr>
          <w:color w:val="231F20"/>
          <w:spacing w:val="-9"/>
        </w:rPr>
        <w:t> </w:t>
      </w:r>
      <w:r>
        <w:rPr>
          <w:color w:val="231F20"/>
        </w:rPr>
        <w:t>in</w:t>
      </w:r>
      <w:r>
        <w:rPr>
          <w:color w:val="231F20"/>
          <w:spacing w:val="-9"/>
        </w:rPr>
        <w:t> </w:t>
      </w:r>
      <w:r>
        <w:rPr>
          <w:color w:val="231F20"/>
        </w:rPr>
        <w:t>forza</w:t>
      </w:r>
      <w:r>
        <w:rPr>
          <w:color w:val="231F20"/>
          <w:spacing w:val="-9"/>
        </w:rPr>
        <w:t> </w:t>
      </w:r>
      <w:r>
        <w:rPr>
          <w:color w:val="231F20"/>
        </w:rPr>
        <w:t>del</w:t>
      </w:r>
      <w:r>
        <w:rPr>
          <w:color w:val="231F20"/>
          <w:spacing w:val="-9"/>
        </w:rPr>
        <w:t> </w:t>
      </w:r>
      <w:r>
        <w:rPr>
          <w:color w:val="231F20"/>
        </w:rPr>
        <w:t>quale</w:t>
      </w:r>
      <w:r>
        <w:rPr>
          <w:color w:val="231F20"/>
          <w:spacing w:val="-9"/>
        </w:rPr>
        <w:t> </w:t>
      </w:r>
      <w:r>
        <w:rPr>
          <w:color w:val="231F20"/>
        </w:rPr>
        <w:t>un</w:t>
      </w:r>
      <w:r>
        <w:rPr>
          <w:color w:val="231F20"/>
          <w:spacing w:val="-9"/>
        </w:rPr>
        <w:t> </w:t>
      </w:r>
      <w:r>
        <w:rPr>
          <w:color w:val="231F20"/>
        </w:rPr>
        <w:t>solo</w:t>
      </w:r>
      <w:r>
        <w:rPr>
          <w:color w:val="231F20"/>
          <w:spacing w:val="-9"/>
        </w:rPr>
        <w:t> </w:t>
      </w:r>
      <w:r>
        <w:rPr>
          <w:color w:val="231F20"/>
        </w:rPr>
        <w:t>Stato</w:t>
      </w:r>
      <w:r>
        <w:rPr>
          <w:color w:val="231F20"/>
          <w:spacing w:val="-9"/>
        </w:rPr>
        <w:t> </w:t>
      </w:r>
      <w:r>
        <w:rPr>
          <w:color w:val="231F20"/>
        </w:rPr>
        <w:t>membro</w:t>
      </w:r>
      <w:r>
        <w:rPr>
          <w:color w:val="231F20"/>
          <w:spacing w:val="-9"/>
        </w:rPr>
        <w:t> </w:t>
      </w:r>
      <w:r>
        <w:rPr>
          <w:color w:val="231F20"/>
        </w:rPr>
        <w:t>-</w:t>
      </w:r>
      <w:r>
        <w:rPr>
          <w:color w:val="231F20"/>
          <w:spacing w:val="-9"/>
        </w:rPr>
        <w:t> </w:t>
      </w:r>
      <w:r>
        <w:rPr>
          <w:color w:val="231F20"/>
        </w:rPr>
        <w:t>e</w:t>
      </w:r>
      <w:r>
        <w:rPr>
          <w:color w:val="231F20"/>
          <w:spacing w:val="-9"/>
        </w:rPr>
        <w:t> </w:t>
      </w:r>
      <w:r>
        <w:rPr>
          <w:color w:val="231F20"/>
        </w:rPr>
        <w:t>non</w:t>
      </w:r>
      <w:r>
        <w:rPr>
          <w:color w:val="231F20"/>
          <w:spacing w:val="-9"/>
        </w:rPr>
        <w:t> </w:t>
      </w:r>
      <w:r>
        <w:rPr>
          <w:color w:val="231F20"/>
        </w:rPr>
        <w:t>due</w:t>
      </w:r>
      <w:r>
        <w:rPr>
          <w:color w:val="231F20"/>
          <w:spacing w:val="-9"/>
        </w:rPr>
        <w:t> </w:t>
      </w:r>
      <w:r>
        <w:rPr>
          <w:color w:val="231F20"/>
        </w:rPr>
        <w:t>o</w:t>
      </w:r>
      <w:r>
        <w:rPr>
          <w:color w:val="231F20"/>
          <w:spacing w:val="-9"/>
        </w:rPr>
        <w:t> </w:t>
      </w:r>
      <w:r>
        <w:rPr>
          <w:color w:val="231F20"/>
        </w:rPr>
        <w:t>più Stati membri - è competente per procedere alla riscossione dell’accisa in caso di trasporto irregolare dei prodotti soggetti a detta imposta. Nel caso di</w:t>
      </w:r>
      <w:r>
        <w:rPr>
          <w:color w:val="231F20"/>
          <w:spacing w:val="30"/>
        </w:rPr>
        <w:t> </w:t>
      </w:r>
      <w:r>
        <w:rPr>
          <w:color w:val="231F20"/>
        </w:rPr>
        <w:t>specie</w:t>
      </w:r>
      <w:r>
        <w:rPr>
          <w:color w:val="231F20"/>
          <w:spacing w:val="30"/>
        </w:rPr>
        <w:t> </w:t>
      </w:r>
      <w:r>
        <w:rPr>
          <w:color w:val="231F20"/>
        </w:rPr>
        <w:t>è</w:t>
      </w:r>
      <w:r>
        <w:rPr>
          <w:color w:val="231F20"/>
          <w:spacing w:val="30"/>
        </w:rPr>
        <w:t> </w:t>
      </w:r>
      <w:r>
        <w:rPr>
          <w:color w:val="231F20"/>
        </w:rPr>
        <w:t>probabile</w:t>
      </w:r>
      <w:r>
        <w:rPr>
          <w:color w:val="231F20"/>
          <w:spacing w:val="30"/>
        </w:rPr>
        <w:t> </w:t>
      </w:r>
      <w:r>
        <w:rPr>
          <w:color w:val="231F20"/>
        </w:rPr>
        <w:t>–</w:t>
      </w:r>
      <w:r>
        <w:rPr>
          <w:color w:val="231F20"/>
          <w:spacing w:val="30"/>
        </w:rPr>
        <w:t> </w:t>
      </w:r>
      <w:r>
        <w:rPr>
          <w:color w:val="231F20"/>
        </w:rPr>
        <w:t>secondo</w:t>
      </w:r>
      <w:r>
        <w:rPr>
          <w:color w:val="231F20"/>
          <w:spacing w:val="30"/>
        </w:rPr>
        <w:t> </w:t>
      </w:r>
      <w:r>
        <w:rPr>
          <w:color w:val="231F20"/>
        </w:rPr>
        <w:t>i</w:t>
      </w:r>
      <w:r>
        <w:rPr>
          <w:color w:val="231F20"/>
          <w:spacing w:val="30"/>
        </w:rPr>
        <w:t> </w:t>
      </w:r>
      <w:r>
        <w:rPr>
          <w:color w:val="231F20"/>
        </w:rPr>
        <w:t>giudici</w:t>
      </w:r>
      <w:r>
        <w:rPr>
          <w:color w:val="231F20"/>
          <w:spacing w:val="30"/>
        </w:rPr>
        <w:t> </w:t>
      </w:r>
      <w:r>
        <w:rPr>
          <w:color w:val="231F20"/>
        </w:rPr>
        <w:t>dell’Unione</w:t>
      </w:r>
      <w:r>
        <w:rPr>
          <w:color w:val="231F20"/>
          <w:spacing w:val="30"/>
        </w:rPr>
        <w:t> </w:t>
      </w:r>
      <w:r>
        <w:rPr>
          <w:color w:val="231F20"/>
        </w:rPr>
        <w:t>–</w:t>
      </w:r>
      <w:r>
        <w:rPr>
          <w:color w:val="231F20"/>
          <w:spacing w:val="30"/>
        </w:rPr>
        <w:t> </w:t>
      </w:r>
      <w:r>
        <w:rPr>
          <w:color w:val="231F20"/>
        </w:rPr>
        <w:t>che</w:t>
      </w:r>
      <w:r>
        <w:rPr>
          <w:color w:val="231F20"/>
          <w:spacing w:val="30"/>
        </w:rPr>
        <w:t> </w:t>
      </w:r>
      <w:r>
        <w:rPr>
          <w:color w:val="231F20"/>
        </w:rPr>
        <w:t>l’infrazione sia stata commessa in Italia, ma anche se lo svincolo irregolare dal regime sospensivo</w:t>
      </w:r>
      <w:r>
        <w:rPr>
          <w:color w:val="231F20"/>
          <w:spacing w:val="-3"/>
        </w:rPr>
        <w:t> </w:t>
      </w:r>
      <w:r>
        <w:rPr>
          <w:color w:val="231F20"/>
        </w:rPr>
        <w:t>fosse</w:t>
      </w:r>
      <w:r>
        <w:rPr>
          <w:color w:val="231F20"/>
          <w:spacing w:val="-3"/>
        </w:rPr>
        <w:t> </w:t>
      </w:r>
      <w:r>
        <w:rPr>
          <w:color w:val="231F20"/>
        </w:rPr>
        <w:t>avvenuto</w:t>
      </w:r>
      <w:r>
        <w:rPr>
          <w:color w:val="231F20"/>
          <w:spacing w:val="-3"/>
        </w:rPr>
        <w:t> </w:t>
      </w:r>
      <w:r>
        <w:rPr>
          <w:color w:val="231F20"/>
        </w:rPr>
        <w:t>in</w:t>
      </w:r>
      <w:r>
        <w:rPr>
          <w:color w:val="231F20"/>
          <w:spacing w:val="-3"/>
        </w:rPr>
        <w:t> </w:t>
      </w:r>
      <w:r>
        <w:rPr>
          <w:color w:val="231F20"/>
        </w:rPr>
        <w:t>Grecia</w:t>
      </w:r>
      <w:r>
        <w:rPr>
          <w:color w:val="231F20"/>
          <w:spacing w:val="-3"/>
        </w:rPr>
        <w:t> </w:t>
      </w:r>
      <w:r>
        <w:rPr>
          <w:color w:val="231F20"/>
        </w:rPr>
        <w:t>e</w:t>
      </w:r>
      <w:r>
        <w:rPr>
          <w:color w:val="231F20"/>
          <w:spacing w:val="-3"/>
        </w:rPr>
        <w:t> </w:t>
      </w:r>
      <w:r>
        <w:rPr>
          <w:color w:val="231F20"/>
        </w:rPr>
        <w:t>l’amministrazione</w:t>
      </w:r>
      <w:r>
        <w:rPr>
          <w:color w:val="231F20"/>
          <w:spacing w:val="-3"/>
        </w:rPr>
        <w:t> </w:t>
      </w:r>
      <w:r>
        <w:rPr>
          <w:color w:val="231F20"/>
        </w:rPr>
        <w:t>italiana</w:t>
      </w:r>
      <w:r>
        <w:rPr>
          <w:color w:val="231F20"/>
          <w:spacing w:val="-3"/>
        </w:rPr>
        <w:t> </w:t>
      </w:r>
      <w:r>
        <w:rPr>
          <w:color w:val="231F20"/>
        </w:rPr>
        <w:t>avesse</w:t>
      </w:r>
      <w:r>
        <w:rPr>
          <w:color w:val="231F20"/>
          <w:spacing w:val="-3"/>
        </w:rPr>
        <w:t> </w:t>
      </w:r>
      <w:r>
        <w:rPr>
          <w:color w:val="231F20"/>
        </w:rPr>
        <w:t>ap- plicato la regola sussidiaria del luogo in cui l’infrazione era stata accertata, per</w:t>
      </w:r>
      <w:r>
        <w:rPr>
          <w:color w:val="231F20"/>
          <w:spacing w:val="29"/>
        </w:rPr>
        <w:t> </w:t>
      </w:r>
      <w:r>
        <w:rPr>
          <w:color w:val="231F20"/>
        </w:rPr>
        <w:t>la</w:t>
      </w:r>
      <w:r>
        <w:rPr>
          <w:color w:val="231F20"/>
          <w:spacing w:val="29"/>
        </w:rPr>
        <w:t> </w:t>
      </w:r>
      <w:r>
        <w:rPr>
          <w:color w:val="231F20"/>
        </w:rPr>
        <w:t>Corte</w:t>
      </w:r>
      <w:r>
        <w:rPr>
          <w:color w:val="231F20"/>
          <w:spacing w:val="29"/>
        </w:rPr>
        <w:t> </w:t>
      </w:r>
      <w:r>
        <w:rPr>
          <w:color w:val="231F20"/>
        </w:rPr>
        <w:t>di</w:t>
      </w:r>
      <w:r>
        <w:rPr>
          <w:color w:val="231F20"/>
          <w:spacing w:val="29"/>
        </w:rPr>
        <w:t> </w:t>
      </w:r>
      <w:r>
        <w:rPr>
          <w:color w:val="231F20"/>
        </w:rPr>
        <w:t>giustizia</w:t>
      </w:r>
      <w:r>
        <w:rPr>
          <w:color w:val="231F20"/>
          <w:spacing w:val="29"/>
        </w:rPr>
        <w:t> </w:t>
      </w:r>
      <w:r>
        <w:rPr>
          <w:color w:val="231F20"/>
        </w:rPr>
        <w:t>tale</w:t>
      </w:r>
      <w:r>
        <w:rPr>
          <w:color w:val="231F20"/>
          <w:spacing w:val="29"/>
        </w:rPr>
        <w:t> </w:t>
      </w:r>
      <w:r>
        <w:rPr>
          <w:color w:val="231F20"/>
        </w:rPr>
        <w:t>presunzione</w:t>
      </w:r>
      <w:r>
        <w:rPr>
          <w:color w:val="231F20"/>
          <w:spacing w:val="29"/>
        </w:rPr>
        <w:t> </w:t>
      </w:r>
      <w:r>
        <w:rPr>
          <w:color w:val="231F20"/>
        </w:rPr>
        <w:t>non</w:t>
      </w:r>
      <w:r>
        <w:rPr>
          <w:color w:val="231F20"/>
          <w:spacing w:val="29"/>
        </w:rPr>
        <w:t> </w:t>
      </w:r>
      <w:r>
        <w:rPr>
          <w:color w:val="231F20"/>
        </w:rPr>
        <w:t>poteva</w:t>
      </w:r>
      <w:r>
        <w:rPr>
          <w:color w:val="231F20"/>
          <w:spacing w:val="29"/>
        </w:rPr>
        <w:t> </w:t>
      </w:r>
      <w:r>
        <w:rPr>
          <w:color w:val="231F20"/>
        </w:rPr>
        <w:t>più</w:t>
      </w:r>
      <w:r>
        <w:rPr>
          <w:color w:val="231F20"/>
          <w:spacing w:val="29"/>
        </w:rPr>
        <w:t> </w:t>
      </w:r>
      <w:r>
        <w:rPr>
          <w:color w:val="231F20"/>
        </w:rPr>
        <w:t>essere</w:t>
      </w:r>
      <w:r>
        <w:rPr>
          <w:color w:val="231F20"/>
          <w:spacing w:val="29"/>
        </w:rPr>
        <w:t> </w:t>
      </w:r>
      <w:r>
        <w:rPr>
          <w:color w:val="231F20"/>
        </w:rPr>
        <w:t>rimessa in discussione dopo il termine tassativo di tre anni, largamente superato dall’amministrazione greca, previsto dall’art. 20, par. 4, della medesima direttiva (CEE) 92/12</w:t>
      </w:r>
      <w:r>
        <w:rPr>
          <w:color w:val="231F20"/>
          <w:position w:val="8"/>
          <w:sz w:val="14"/>
        </w:rPr>
        <w:t>162</w:t>
      </w:r>
      <w:r>
        <w:rPr>
          <w:color w:val="231F20"/>
        </w:rPr>
        <w:t>.</w:t>
      </w:r>
    </w:p>
    <w:p>
      <w:pPr>
        <w:pStyle w:val="BodyText"/>
        <w:spacing w:before="38"/>
        <w:rPr>
          <w:sz w:val="20"/>
        </w:rPr>
      </w:pPr>
      <w:r>
        <w:rPr/>
        <mc:AlternateContent>
          <mc:Choice Requires="wps">
            <w:drawing>
              <wp:anchor distT="0" distB="0" distL="0" distR="0" allowOverlap="1" layoutInCell="1" locked="0" behindDoc="1" simplePos="0" relativeHeight="487660544">
                <wp:simplePos x="0" y="0"/>
                <wp:positionH relativeFrom="page">
                  <wp:posOffset>864000</wp:posOffset>
                </wp:positionH>
                <wp:positionV relativeFrom="paragraph">
                  <wp:posOffset>201371</wp:posOffset>
                </wp:positionV>
                <wp:extent cx="792480" cy="1270"/>
                <wp:effectExtent l="0" t="0" r="0" b="0"/>
                <wp:wrapTopAndBottom/>
                <wp:docPr id="229" name="Graphic 229"/>
                <wp:cNvGraphicFramePr>
                  <a:graphicFrameLocks/>
                </wp:cNvGraphicFramePr>
                <a:graphic>
                  <a:graphicData uri="http://schemas.microsoft.com/office/word/2010/wordprocessingShape">
                    <wps:wsp>
                      <wps:cNvPr id="229" name="Graphic 229"/>
                      <wps:cNvSpPr/>
                      <wps:spPr>
                        <a:xfrm>
                          <a:off x="0" y="0"/>
                          <a:ext cx="792480" cy="1270"/>
                        </a:xfrm>
                        <a:custGeom>
                          <a:avLst/>
                          <a:gdLst/>
                          <a:ahLst/>
                          <a:cxnLst/>
                          <a:rect l="l" t="t" r="r" b="b"/>
                          <a:pathLst>
                            <a:path w="792480" h="0">
                              <a:moveTo>
                                <a:pt x="0" y="0"/>
                              </a:moveTo>
                              <a:lnTo>
                                <a:pt x="791997"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shape style="position:absolute;margin-left:68.031502pt;margin-top:15.85602pt;width:62.4pt;height:.1pt;mso-position-horizontal-relative:page;mso-position-vertical-relative:paragraph;z-index:-15655936;mso-wrap-distance-left:0;mso-wrap-distance-right:0" id="docshape190" coordorigin="1361,317" coordsize="1248,0" path="m1361,317l2608,317e" filled="false" stroked="true" strokeweight=".5pt" strokecolor="#231f20">
                <v:path arrowok="t"/>
                <v:stroke dashstyle="solid"/>
                <w10:wrap type="topAndBottom"/>
              </v:shape>
            </w:pict>
          </mc:Fallback>
        </mc:AlternateContent>
      </w:r>
    </w:p>
    <w:p>
      <w:pPr>
        <w:spacing w:before="190"/>
        <w:ind w:left="100" w:right="0" w:firstLine="0"/>
        <w:jc w:val="left"/>
        <w:rPr>
          <w:sz w:val="19"/>
        </w:rPr>
      </w:pPr>
      <w:r>
        <w:rPr>
          <w:color w:val="231F20"/>
          <w:position w:val="6"/>
          <w:sz w:val="11"/>
        </w:rPr>
        <w:t>162</w:t>
      </w:r>
      <w:r>
        <w:rPr>
          <w:color w:val="231F20"/>
          <w:spacing w:val="79"/>
          <w:position w:val="6"/>
          <w:sz w:val="11"/>
        </w:rPr>
        <w:t> </w:t>
      </w:r>
      <w:r>
        <w:rPr>
          <w:color w:val="231F20"/>
          <w:sz w:val="19"/>
        </w:rPr>
        <w:t>Corte Giust. UE, ult. cit., prima parte, punti da 44 a </w:t>
      </w:r>
      <w:r>
        <w:rPr>
          <w:color w:val="231F20"/>
          <w:spacing w:val="-5"/>
          <w:sz w:val="19"/>
        </w:rPr>
        <w:t>67.</w:t>
      </w:r>
    </w:p>
    <w:p>
      <w:pPr>
        <w:spacing w:after="0"/>
        <w:jc w:val="left"/>
        <w:rPr>
          <w:sz w:val="19"/>
        </w:rPr>
        <w:sectPr>
          <w:pgSz w:w="9640" w:h="13610"/>
          <w:pgMar w:header="0" w:footer="625" w:top="1260" w:bottom="820" w:left="1260" w:right="1240"/>
        </w:sectPr>
      </w:pPr>
    </w:p>
    <w:p>
      <w:pPr>
        <w:pStyle w:val="BodyText"/>
        <w:spacing w:line="225" w:lineRule="auto" w:before="117"/>
        <w:ind w:left="157" w:right="117" w:firstLine="340"/>
        <w:jc w:val="both"/>
      </w:pPr>
      <w:r>
        <w:rPr/>
        <mc:AlternateContent>
          <mc:Choice Requires="wps">
            <w:drawing>
              <wp:anchor distT="0" distB="0" distL="0" distR="0" allowOverlap="1" layoutInCell="1" locked="0" behindDoc="0" simplePos="0" relativeHeight="15802368">
                <wp:simplePos x="0" y="0"/>
                <wp:positionH relativeFrom="page">
                  <wp:posOffset>5608609</wp:posOffset>
                </wp:positionH>
                <wp:positionV relativeFrom="page">
                  <wp:posOffset>2376001</wp:posOffset>
                </wp:positionV>
                <wp:extent cx="511809" cy="2412365"/>
                <wp:effectExtent l="0" t="0" r="0" b="0"/>
                <wp:wrapNone/>
                <wp:docPr id="230" name="Group 230"/>
                <wp:cNvGraphicFramePr>
                  <a:graphicFrameLocks/>
                </wp:cNvGraphicFramePr>
                <a:graphic>
                  <a:graphicData uri="http://schemas.microsoft.com/office/word/2010/wordprocessingGroup">
                    <wpg:wgp>
                      <wpg:cNvPr id="230" name="Group 230"/>
                      <wpg:cNvGrpSpPr/>
                      <wpg:grpSpPr>
                        <a:xfrm>
                          <a:off x="0" y="0"/>
                          <a:ext cx="511809" cy="2412365"/>
                          <a:chExt cx="511809" cy="2412365"/>
                        </a:xfrm>
                      </wpg:grpSpPr>
                      <wps:wsp>
                        <wps:cNvPr id="231" name="Graphic 231"/>
                        <wps:cNvSpPr/>
                        <wps:spPr>
                          <a:xfrm>
                            <a:off x="7393" y="3"/>
                            <a:ext cx="504190" cy="360045"/>
                          </a:xfrm>
                          <a:custGeom>
                            <a:avLst/>
                            <a:gdLst/>
                            <a:ahLst/>
                            <a:cxnLst/>
                            <a:rect l="l" t="t" r="r" b="b"/>
                            <a:pathLst>
                              <a:path w="504190" h="360045">
                                <a:moveTo>
                                  <a:pt x="503999" y="0"/>
                                </a:moveTo>
                                <a:lnTo>
                                  <a:pt x="0" y="0"/>
                                </a:lnTo>
                                <a:lnTo>
                                  <a:pt x="0" y="359994"/>
                                </a:lnTo>
                                <a:lnTo>
                                  <a:pt x="503999" y="359994"/>
                                </a:lnTo>
                                <a:lnTo>
                                  <a:pt x="503999" y="0"/>
                                </a:lnTo>
                                <a:close/>
                              </a:path>
                            </a:pathLst>
                          </a:custGeom>
                          <a:solidFill>
                            <a:srgbClr val="939598"/>
                          </a:solidFill>
                        </wps:spPr>
                        <wps:bodyPr wrap="square" lIns="0" tIns="0" rIns="0" bIns="0" rtlCol="0">
                          <a:prstTxWarp prst="textNoShape">
                            <a:avLst/>
                          </a:prstTxWarp>
                          <a:noAutofit/>
                        </wps:bodyPr>
                      </wps:wsp>
                      <wps:wsp>
                        <wps:cNvPr id="232" name="Graphic 232"/>
                        <wps:cNvSpPr/>
                        <wps:spPr>
                          <a:xfrm>
                            <a:off x="6350" y="0"/>
                            <a:ext cx="1270" cy="2412365"/>
                          </a:xfrm>
                          <a:custGeom>
                            <a:avLst/>
                            <a:gdLst/>
                            <a:ahLst/>
                            <a:cxnLst/>
                            <a:rect l="l" t="t" r="r" b="b"/>
                            <a:pathLst>
                              <a:path w="0" h="2412365">
                                <a:moveTo>
                                  <a:pt x="0" y="0"/>
                                </a:moveTo>
                                <a:lnTo>
                                  <a:pt x="0" y="2411996"/>
                                </a:lnTo>
                              </a:path>
                            </a:pathLst>
                          </a:custGeom>
                          <a:ln w="12700">
                            <a:solidFill>
                              <a:srgbClr val="939598"/>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441.622803pt;margin-top:187.0867pt;width:40.3pt;height:189.95pt;mso-position-horizontal-relative:page;mso-position-vertical-relative:page;z-index:15802368" id="docshapegroup191" coordorigin="8832,3742" coordsize="806,3799">
                <v:rect style="position:absolute;left:8844;top:3741;width:794;height:567" id="docshape192" filled="true" fillcolor="#939598" stroked="false">
                  <v:fill type="solid"/>
                </v:rect>
                <v:line style="position:absolute" from="8842,3742" to="8842,7540" stroked="true" strokeweight="1pt" strokecolor="#939598">
                  <v:stroke dashstyle="solid"/>
                </v:line>
                <w10:wrap type="none"/>
              </v:group>
            </w:pict>
          </mc:Fallback>
        </mc:AlternateContent>
      </w:r>
      <w:r>
        <w:rPr/>
        <mc:AlternateContent>
          <mc:Choice Requires="wps">
            <w:drawing>
              <wp:anchor distT="0" distB="0" distL="0" distR="0" allowOverlap="1" layoutInCell="1" locked="0" behindDoc="0" simplePos="0" relativeHeight="15802880">
                <wp:simplePos x="0" y="0"/>
                <wp:positionH relativeFrom="page">
                  <wp:posOffset>5635147</wp:posOffset>
                </wp:positionH>
                <wp:positionV relativeFrom="page">
                  <wp:posOffset>2795300</wp:posOffset>
                </wp:positionV>
                <wp:extent cx="299720" cy="1995805"/>
                <wp:effectExtent l="0" t="0" r="0" b="0"/>
                <wp:wrapNone/>
                <wp:docPr id="233" name="Textbox 233"/>
                <wp:cNvGraphicFramePr>
                  <a:graphicFrameLocks/>
                </wp:cNvGraphicFramePr>
                <a:graphic>
                  <a:graphicData uri="http://schemas.microsoft.com/office/word/2010/wordprocessingShape">
                    <wps:wsp>
                      <wps:cNvPr id="233" name="Textbox 233"/>
                      <wps:cNvSpPr txBox="1"/>
                      <wps:spPr>
                        <a:xfrm>
                          <a:off x="0" y="0"/>
                          <a:ext cx="299720" cy="1995805"/>
                        </a:xfrm>
                        <a:prstGeom prst="rect">
                          <a:avLst/>
                        </a:prstGeom>
                      </wps:spPr>
                      <wps:txbx>
                        <w:txbxContent>
                          <w:p>
                            <w:pPr>
                              <w:spacing w:before="20"/>
                              <w:ind w:left="20" w:right="0" w:firstLine="0"/>
                              <w:jc w:val="left"/>
                              <w:rPr>
                                <w:rFonts w:ascii="Minion Pro"/>
                                <w:sz w:val="32"/>
                              </w:rPr>
                            </w:pPr>
                            <w:r>
                              <w:rPr>
                                <w:rFonts w:ascii="Minion Pro"/>
                                <w:color w:val="231F20"/>
                                <w:sz w:val="32"/>
                              </w:rPr>
                              <w:t>Commented</w:t>
                            </w:r>
                            <w:r>
                              <w:rPr>
                                <w:rFonts w:ascii="Minion Pro"/>
                                <w:color w:val="231F20"/>
                                <w:spacing w:val="-10"/>
                                <w:sz w:val="32"/>
                              </w:rPr>
                              <w:t> </w:t>
                            </w:r>
                            <w:r>
                              <w:rPr>
                                <w:rFonts w:ascii="Minion Pro"/>
                                <w:color w:val="231F20"/>
                                <w:spacing w:val="-2"/>
                                <w:sz w:val="32"/>
                              </w:rPr>
                              <w:t>documents</w:t>
                            </w:r>
                          </w:p>
                        </w:txbxContent>
                      </wps:txbx>
                      <wps:bodyPr wrap="square" lIns="0" tIns="0" rIns="0" bIns="0" rtlCol="0" vert="vert">
                        <a:noAutofit/>
                      </wps:bodyPr>
                    </wps:wsp>
                  </a:graphicData>
                </a:graphic>
              </wp:anchor>
            </w:drawing>
          </mc:Choice>
          <mc:Fallback>
            <w:pict>
              <v:shape style="position:absolute;margin-left:443.712402pt;margin-top:220.102402pt;width:23.6pt;height:157.15pt;mso-position-horizontal-relative:page;mso-position-vertical-relative:page;z-index:15802880" type="#_x0000_t202" id="docshape193" filled="false" stroked="false">
                <v:textbox inset="0,0,0,0" style="layout-flow:vertical">
                  <w:txbxContent>
                    <w:p>
                      <w:pPr>
                        <w:spacing w:before="20"/>
                        <w:ind w:left="20" w:right="0" w:firstLine="0"/>
                        <w:jc w:val="left"/>
                        <w:rPr>
                          <w:rFonts w:ascii="Minion Pro"/>
                          <w:sz w:val="32"/>
                        </w:rPr>
                      </w:pPr>
                      <w:r>
                        <w:rPr>
                          <w:rFonts w:ascii="Minion Pro"/>
                          <w:color w:val="231F20"/>
                          <w:sz w:val="32"/>
                        </w:rPr>
                        <w:t>Commented</w:t>
                      </w:r>
                      <w:r>
                        <w:rPr>
                          <w:rFonts w:ascii="Minion Pro"/>
                          <w:color w:val="231F20"/>
                          <w:spacing w:val="-10"/>
                          <w:sz w:val="32"/>
                        </w:rPr>
                        <w:t> </w:t>
                      </w:r>
                      <w:r>
                        <w:rPr>
                          <w:rFonts w:ascii="Minion Pro"/>
                          <w:color w:val="231F20"/>
                          <w:spacing w:val="-2"/>
                          <w:sz w:val="32"/>
                        </w:rPr>
                        <w:t>documents</w:t>
                      </w:r>
                    </w:p>
                  </w:txbxContent>
                </v:textbox>
                <w10:wrap type="none"/>
              </v:shape>
            </w:pict>
          </mc:Fallback>
        </mc:AlternateContent>
      </w:r>
      <w:r>
        <w:rPr>
          <w:color w:val="231F20"/>
        </w:rPr>
        <w:t>Una</w:t>
      </w:r>
      <w:r>
        <w:rPr>
          <w:color w:val="231F20"/>
          <w:spacing w:val="-13"/>
        </w:rPr>
        <w:t> </w:t>
      </w:r>
      <w:r>
        <w:rPr>
          <w:color w:val="231F20"/>
        </w:rPr>
        <w:t>volta</w:t>
      </w:r>
      <w:r>
        <w:rPr>
          <w:color w:val="231F20"/>
          <w:spacing w:val="-13"/>
        </w:rPr>
        <w:t> </w:t>
      </w:r>
      <w:r>
        <w:rPr>
          <w:color w:val="231F20"/>
        </w:rPr>
        <w:t>chiarito</w:t>
      </w:r>
      <w:r>
        <w:rPr>
          <w:color w:val="231F20"/>
          <w:spacing w:val="-13"/>
        </w:rPr>
        <w:t> </w:t>
      </w:r>
      <w:r>
        <w:rPr>
          <w:color w:val="231F20"/>
        </w:rPr>
        <w:t>che</w:t>
      </w:r>
      <w:r>
        <w:rPr>
          <w:color w:val="231F20"/>
          <w:spacing w:val="-13"/>
        </w:rPr>
        <w:t> </w:t>
      </w:r>
      <w:r>
        <w:rPr>
          <w:color w:val="231F20"/>
        </w:rPr>
        <w:t>lo</w:t>
      </w:r>
      <w:r>
        <w:rPr>
          <w:color w:val="231F20"/>
          <w:spacing w:val="-13"/>
        </w:rPr>
        <w:t> </w:t>
      </w:r>
      <w:r>
        <w:rPr>
          <w:color w:val="231F20"/>
        </w:rPr>
        <w:t>Stato</w:t>
      </w:r>
      <w:r>
        <w:rPr>
          <w:color w:val="231F20"/>
          <w:spacing w:val="-13"/>
        </w:rPr>
        <w:t> </w:t>
      </w:r>
      <w:r>
        <w:rPr>
          <w:color w:val="231F20"/>
        </w:rPr>
        <w:t>competente</w:t>
      </w:r>
      <w:r>
        <w:rPr>
          <w:color w:val="231F20"/>
          <w:spacing w:val="-13"/>
        </w:rPr>
        <w:t> </w:t>
      </w:r>
      <w:r>
        <w:rPr>
          <w:color w:val="231F20"/>
        </w:rPr>
        <w:t>a</w:t>
      </w:r>
      <w:r>
        <w:rPr>
          <w:color w:val="231F20"/>
          <w:spacing w:val="-13"/>
        </w:rPr>
        <w:t> </w:t>
      </w:r>
      <w:r>
        <w:rPr>
          <w:color w:val="231F20"/>
        </w:rPr>
        <w:t>riscuotere</w:t>
      </w:r>
      <w:r>
        <w:rPr>
          <w:color w:val="231F20"/>
          <w:spacing w:val="-13"/>
        </w:rPr>
        <w:t> </w:t>
      </w:r>
      <w:r>
        <w:rPr>
          <w:color w:val="231F20"/>
        </w:rPr>
        <w:t>i</w:t>
      </w:r>
      <w:r>
        <w:rPr>
          <w:color w:val="231F20"/>
          <w:spacing w:val="-13"/>
        </w:rPr>
        <w:t> </w:t>
      </w:r>
      <w:r>
        <w:rPr>
          <w:color w:val="231F20"/>
        </w:rPr>
        <w:t>diritti</w:t>
      </w:r>
      <w:r>
        <w:rPr>
          <w:color w:val="231F20"/>
          <w:spacing w:val="-13"/>
        </w:rPr>
        <w:t> </w:t>
      </w:r>
      <w:r>
        <w:rPr>
          <w:color w:val="231F20"/>
        </w:rPr>
        <w:t>di</w:t>
      </w:r>
      <w:r>
        <w:rPr>
          <w:color w:val="231F20"/>
          <w:spacing w:val="-13"/>
        </w:rPr>
        <w:t> </w:t>
      </w:r>
      <w:r>
        <w:rPr>
          <w:color w:val="231F20"/>
        </w:rPr>
        <w:t>accisa nel caso di specie era l’Italia, restavano alla Corte da interpretare le norme nella</w:t>
      </w:r>
      <w:r>
        <w:rPr>
          <w:color w:val="231F20"/>
          <w:spacing w:val="-15"/>
        </w:rPr>
        <w:t> </w:t>
      </w:r>
      <w:r>
        <w:rPr>
          <w:color w:val="231F20"/>
        </w:rPr>
        <w:t>fattispecie</w:t>
      </w:r>
      <w:r>
        <w:rPr>
          <w:color w:val="231F20"/>
          <w:spacing w:val="-15"/>
        </w:rPr>
        <w:t> </w:t>
      </w:r>
      <w:r>
        <w:rPr>
          <w:color w:val="231F20"/>
        </w:rPr>
        <w:t>rilevanti</w:t>
      </w:r>
      <w:r>
        <w:rPr>
          <w:color w:val="231F20"/>
          <w:spacing w:val="-15"/>
        </w:rPr>
        <w:t> </w:t>
      </w:r>
      <w:r>
        <w:rPr>
          <w:color w:val="231F20"/>
        </w:rPr>
        <w:t>della</w:t>
      </w:r>
      <w:r>
        <w:rPr>
          <w:color w:val="231F20"/>
          <w:spacing w:val="-15"/>
        </w:rPr>
        <w:t> </w:t>
      </w:r>
      <w:r>
        <w:rPr>
          <w:color w:val="231F20"/>
        </w:rPr>
        <w:t>direttiva</w:t>
      </w:r>
      <w:r>
        <w:rPr>
          <w:color w:val="231F20"/>
          <w:spacing w:val="-15"/>
        </w:rPr>
        <w:t> </w:t>
      </w:r>
      <w:r>
        <w:rPr>
          <w:color w:val="231F20"/>
        </w:rPr>
        <w:t>(CEE)</w:t>
      </w:r>
      <w:r>
        <w:rPr>
          <w:color w:val="231F20"/>
          <w:spacing w:val="-15"/>
        </w:rPr>
        <w:t> </w:t>
      </w:r>
      <w:r>
        <w:rPr>
          <w:color w:val="231F20"/>
        </w:rPr>
        <w:t>«assistenza</w:t>
      </w:r>
      <w:r>
        <w:rPr>
          <w:color w:val="231F20"/>
          <w:spacing w:val="-15"/>
        </w:rPr>
        <w:t> </w:t>
      </w:r>
      <w:r>
        <w:rPr>
          <w:color w:val="231F20"/>
        </w:rPr>
        <w:t>reciproca»</w:t>
      </w:r>
      <w:r>
        <w:rPr>
          <w:color w:val="231F20"/>
          <w:spacing w:val="-15"/>
        </w:rPr>
        <w:t> </w:t>
      </w:r>
      <w:r>
        <w:rPr>
          <w:color w:val="231F20"/>
        </w:rPr>
        <w:t>76/308 all’epoca</w:t>
      </w:r>
      <w:r>
        <w:rPr>
          <w:color w:val="231F20"/>
          <w:spacing w:val="-11"/>
        </w:rPr>
        <w:t> </w:t>
      </w:r>
      <w:r>
        <w:rPr>
          <w:color w:val="231F20"/>
        </w:rPr>
        <w:t>in</w:t>
      </w:r>
      <w:r>
        <w:rPr>
          <w:color w:val="231F20"/>
          <w:spacing w:val="-11"/>
        </w:rPr>
        <w:t> </w:t>
      </w:r>
      <w:r>
        <w:rPr>
          <w:color w:val="231F20"/>
        </w:rPr>
        <w:t>vigore.</w:t>
      </w:r>
      <w:r>
        <w:rPr>
          <w:color w:val="231F20"/>
          <w:spacing w:val="-11"/>
        </w:rPr>
        <w:t> </w:t>
      </w:r>
      <w:r>
        <w:rPr>
          <w:color w:val="231F20"/>
        </w:rPr>
        <w:t>Secondo</w:t>
      </w:r>
      <w:r>
        <w:rPr>
          <w:color w:val="231F20"/>
          <w:spacing w:val="-11"/>
        </w:rPr>
        <w:t> </w:t>
      </w:r>
      <w:r>
        <w:rPr>
          <w:color w:val="231F20"/>
        </w:rPr>
        <w:t>i</w:t>
      </w:r>
      <w:r>
        <w:rPr>
          <w:color w:val="231F20"/>
          <w:spacing w:val="-11"/>
        </w:rPr>
        <w:t> </w:t>
      </w:r>
      <w:r>
        <w:rPr>
          <w:color w:val="231F20"/>
        </w:rPr>
        <w:t>giudici</w:t>
      </w:r>
      <w:r>
        <w:rPr>
          <w:color w:val="231F20"/>
          <w:spacing w:val="-11"/>
        </w:rPr>
        <w:t> </w:t>
      </w:r>
      <w:r>
        <w:rPr>
          <w:color w:val="231F20"/>
        </w:rPr>
        <w:t>dell’Unione,</w:t>
      </w:r>
      <w:r>
        <w:rPr>
          <w:color w:val="231F20"/>
          <w:spacing w:val="-11"/>
        </w:rPr>
        <w:t> </w:t>
      </w:r>
      <w:r>
        <w:rPr>
          <w:color w:val="231F20"/>
        </w:rPr>
        <w:t>in</w:t>
      </w:r>
      <w:r>
        <w:rPr>
          <w:color w:val="231F20"/>
          <w:spacing w:val="-11"/>
        </w:rPr>
        <w:t> </w:t>
      </w:r>
      <w:r>
        <w:rPr>
          <w:color w:val="231F20"/>
        </w:rPr>
        <w:t>circostanze</w:t>
      </w:r>
      <w:r>
        <w:rPr>
          <w:color w:val="231F20"/>
          <w:spacing w:val="-11"/>
        </w:rPr>
        <w:t> </w:t>
      </w:r>
      <w:r>
        <w:rPr>
          <w:color w:val="231F20"/>
        </w:rPr>
        <w:t>normali</w:t>
      </w:r>
      <w:r>
        <w:rPr>
          <w:color w:val="231F20"/>
          <w:spacing w:val="-11"/>
        </w:rPr>
        <w:t> </w:t>
      </w:r>
      <w:r>
        <w:rPr>
          <w:color w:val="231F20"/>
        </w:rPr>
        <w:t>le autorità</w:t>
      </w:r>
      <w:r>
        <w:rPr>
          <w:color w:val="231F20"/>
          <w:spacing w:val="-15"/>
        </w:rPr>
        <w:t> </w:t>
      </w:r>
      <w:r>
        <w:rPr>
          <w:color w:val="231F20"/>
        </w:rPr>
        <w:t>adite</w:t>
      </w:r>
      <w:r>
        <w:rPr>
          <w:color w:val="231F20"/>
          <w:spacing w:val="-15"/>
        </w:rPr>
        <w:t> </w:t>
      </w:r>
      <w:r>
        <w:rPr>
          <w:color w:val="231F20"/>
        </w:rPr>
        <w:t>non</w:t>
      </w:r>
      <w:r>
        <w:rPr>
          <w:color w:val="231F20"/>
          <w:spacing w:val="-15"/>
        </w:rPr>
        <w:t> </w:t>
      </w:r>
      <w:r>
        <w:rPr>
          <w:color w:val="231F20"/>
        </w:rPr>
        <w:t>possono</w:t>
      </w:r>
      <w:r>
        <w:rPr>
          <w:color w:val="231F20"/>
          <w:spacing w:val="-15"/>
        </w:rPr>
        <w:t> </w:t>
      </w:r>
      <w:r>
        <w:rPr>
          <w:color w:val="231F20"/>
        </w:rPr>
        <w:t>rimettere</w:t>
      </w:r>
      <w:r>
        <w:rPr>
          <w:color w:val="231F20"/>
          <w:spacing w:val="-15"/>
        </w:rPr>
        <w:t> </w:t>
      </w:r>
      <w:r>
        <w:rPr>
          <w:color w:val="231F20"/>
        </w:rPr>
        <w:t>in</w:t>
      </w:r>
      <w:r>
        <w:rPr>
          <w:color w:val="231F20"/>
          <w:spacing w:val="-15"/>
        </w:rPr>
        <w:t> </w:t>
      </w:r>
      <w:r>
        <w:rPr>
          <w:color w:val="231F20"/>
        </w:rPr>
        <w:t>discussione</w:t>
      </w:r>
      <w:r>
        <w:rPr>
          <w:color w:val="231F20"/>
          <w:spacing w:val="-15"/>
        </w:rPr>
        <w:t> </w:t>
      </w:r>
      <w:r>
        <w:rPr>
          <w:color w:val="231F20"/>
        </w:rPr>
        <w:t>la</w:t>
      </w:r>
      <w:r>
        <w:rPr>
          <w:color w:val="231F20"/>
          <w:spacing w:val="-15"/>
        </w:rPr>
        <w:t> </w:t>
      </w:r>
      <w:r>
        <w:rPr>
          <w:color w:val="231F20"/>
        </w:rPr>
        <w:t>valutazione</w:t>
      </w:r>
      <w:r>
        <w:rPr>
          <w:color w:val="231F20"/>
          <w:spacing w:val="-15"/>
        </w:rPr>
        <w:t> </w:t>
      </w:r>
      <w:r>
        <w:rPr>
          <w:color w:val="231F20"/>
        </w:rPr>
        <w:t>dell’auto- rità</w:t>
      </w:r>
      <w:r>
        <w:rPr>
          <w:color w:val="231F20"/>
          <w:spacing w:val="-3"/>
        </w:rPr>
        <w:t> </w:t>
      </w:r>
      <w:r>
        <w:rPr>
          <w:color w:val="231F20"/>
        </w:rPr>
        <w:t>richiedente</w:t>
      </w:r>
      <w:r>
        <w:rPr>
          <w:color w:val="231F20"/>
          <w:spacing w:val="-3"/>
        </w:rPr>
        <w:t> </w:t>
      </w:r>
      <w:r>
        <w:rPr>
          <w:color w:val="231F20"/>
        </w:rPr>
        <w:t>riguardante</w:t>
      </w:r>
      <w:r>
        <w:rPr>
          <w:color w:val="231F20"/>
          <w:spacing w:val="-3"/>
        </w:rPr>
        <w:t> </w:t>
      </w:r>
      <w:r>
        <w:rPr>
          <w:color w:val="231F20"/>
        </w:rPr>
        <w:t>il</w:t>
      </w:r>
      <w:r>
        <w:rPr>
          <w:color w:val="231F20"/>
          <w:spacing w:val="-3"/>
        </w:rPr>
        <w:t> </w:t>
      </w:r>
      <w:r>
        <w:rPr>
          <w:color w:val="231F20"/>
        </w:rPr>
        <w:t>luogo</w:t>
      </w:r>
      <w:r>
        <w:rPr>
          <w:color w:val="231F20"/>
          <w:spacing w:val="-3"/>
        </w:rPr>
        <w:t> </w:t>
      </w:r>
      <w:r>
        <w:rPr>
          <w:color w:val="231F20"/>
        </w:rPr>
        <w:t>in</w:t>
      </w:r>
      <w:r>
        <w:rPr>
          <w:color w:val="231F20"/>
          <w:spacing w:val="-3"/>
        </w:rPr>
        <w:t> </w:t>
      </w:r>
      <w:r>
        <w:rPr>
          <w:color w:val="231F20"/>
        </w:rPr>
        <w:t>cui</w:t>
      </w:r>
      <w:r>
        <w:rPr>
          <w:color w:val="231F20"/>
          <w:spacing w:val="-3"/>
        </w:rPr>
        <w:t> </w:t>
      </w:r>
      <w:r>
        <w:rPr>
          <w:color w:val="231F20"/>
        </w:rPr>
        <w:t>l’infrazione</w:t>
      </w:r>
      <w:r>
        <w:rPr>
          <w:color w:val="231F20"/>
          <w:spacing w:val="-3"/>
        </w:rPr>
        <w:t> </w:t>
      </w:r>
      <w:r>
        <w:rPr>
          <w:color w:val="231F20"/>
        </w:rPr>
        <w:t>è</w:t>
      </w:r>
      <w:r>
        <w:rPr>
          <w:color w:val="231F20"/>
          <w:spacing w:val="-3"/>
        </w:rPr>
        <w:t> </w:t>
      </w:r>
      <w:r>
        <w:rPr>
          <w:color w:val="231F20"/>
        </w:rPr>
        <w:t>stata</w:t>
      </w:r>
      <w:r>
        <w:rPr>
          <w:color w:val="231F20"/>
          <w:spacing w:val="-3"/>
        </w:rPr>
        <w:t> </w:t>
      </w:r>
      <w:r>
        <w:rPr>
          <w:color w:val="231F20"/>
        </w:rPr>
        <w:t>commessa</w:t>
      </w:r>
      <w:r>
        <w:rPr>
          <w:color w:val="231F20"/>
          <w:spacing w:val="-3"/>
        </w:rPr>
        <w:t> </w:t>
      </w:r>
      <w:r>
        <w:rPr>
          <w:color w:val="231F20"/>
        </w:rPr>
        <w:t>in quanto</w:t>
      </w:r>
      <w:r>
        <w:rPr>
          <w:color w:val="231F20"/>
          <w:spacing w:val="-15"/>
        </w:rPr>
        <w:t> </w:t>
      </w:r>
      <w:r>
        <w:rPr>
          <w:color w:val="231F20"/>
        </w:rPr>
        <w:t>«tale</w:t>
      </w:r>
      <w:r>
        <w:rPr>
          <w:color w:val="231F20"/>
          <w:spacing w:val="-15"/>
        </w:rPr>
        <w:t> </w:t>
      </w:r>
      <w:r>
        <w:rPr>
          <w:color w:val="231F20"/>
        </w:rPr>
        <w:t>valutazione</w:t>
      </w:r>
      <w:r>
        <w:rPr>
          <w:color w:val="231F20"/>
          <w:spacing w:val="-15"/>
        </w:rPr>
        <w:t> </w:t>
      </w:r>
      <w:r>
        <w:rPr>
          <w:color w:val="231F20"/>
        </w:rPr>
        <w:t>fa</w:t>
      </w:r>
      <w:r>
        <w:rPr>
          <w:color w:val="231F20"/>
          <w:spacing w:val="-15"/>
        </w:rPr>
        <w:t> </w:t>
      </w:r>
      <w:r>
        <w:rPr>
          <w:color w:val="231F20"/>
        </w:rPr>
        <w:t>parte</w:t>
      </w:r>
      <w:r>
        <w:rPr>
          <w:color w:val="231F20"/>
          <w:spacing w:val="-15"/>
        </w:rPr>
        <w:t> </w:t>
      </w:r>
      <w:r>
        <w:rPr>
          <w:color w:val="231F20"/>
        </w:rPr>
        <w:t>dell’oggetto</w:t>
      </w:r>
      <w:r>
        <w:rPr>
          <w:color w:val="231F20"/>
          <w:spacing w:val="-15"/>
        </w:rPr>
        <w:t> </w:t>
      </w:r>
      <w:r>
        <w:rPr>
          <w:color w:val="231F20"/>
        </w:rPr>
        <w:t>stesso</w:t>
      </w:r>
      <w:r>
        <w:rPr>
          <w:color w:val="231F20"/>
          <w:spacing w:val="-15"/>
        </w:rPr>
        <w:t> </w:t>
      </w:r>
      <w:r>
        <w:rPr>
          <w:color w:val="231F20"/>
        </w:rPr>
        <w:t>del</w:t>
      </w:r>
      <w:r>
        <w:rPr>
          <w:color w:val="231F20"/>
          <w:spacing w:val="-15"/>
        </w:rPr>
        <w:t> </w:t>
      </w:r>
      <w:r>
        <w:rPr>
          <w:color w:val="231F20"/>
        </w:rPr>
        <w:t>credito</w:t>
      </w:r>
      <w:r>
        <w:rPr>
          <w:color w:val="231F20"/>
          <w:spacing w:val="-15"/>
        </w:rPr>
        <w:t> </w:t>
      </w:r>
      <w:r>
        <w:rPr>
          <w:color w:val="231F20"/>
        </w:rPr>
        <w:t>di</w:t>
      </w:r>
      <w:r>
        <w:rPr>
          <w:color w:val="231F20"/>
          <w:spacing w:val="-15"/>
        </w:rPr>
        <w:t> </w:t>
      </w:r>
      <w:r>
        <w:rPr>
          <w:color w:val="231F20"/>
        </w:rPr>
        <w:t>cui</w:t>
      </w:r>
      <w:r>
        <w:rPr>
          <w:color w:val="231F20"/>
          <w:spacing w:val="-15"/>
        </w:rPr>
        <w:t> </w:t>
      </w:r>
      <w:r>
        <w:rPr>
          <w:color w:val="231F20"/>
        </w:rPr>
        <w:t>lo</w:t>
      </w:r>
      <w:r>
        <w:rPr>
          <w:color w:val="231F20"/>
          <w:spacing w:val="-15"/>
        </w:rPr>
        <w:t> </w:t>
      </w:r>
      <w:r>
        <w:rPr>
          <w:color w:val="231F20"/>
        </w:rPr>
        <w:t>Sta- to</w:t>
      </w:r>
      <w:r>
        <w:rPr>
          <w:color w:val="231F20"/>
          <w:spacing w:val="-8"/>
        </w:rPr>
        <w:t> </w:t>
      </w:r>
      <w:r>
        <w:rPr>
          <w:color w:val="231F20"/>
        </w:rPr>
        <w:t>membro</w:t>
      </w:r>
      <w:r>
        <w:rPr>
          <w:color w:val="231F20"/>
          <w:spacing w:val="-8"/>
        </w:rPr>
        <w:t> </w:t>
      </w:r>
      <w:r>
        <w:rPr>
          <w:color w:val="231F20"/>
        </w:rPr>
        <w:t>richiedete</w:t>
      </w:r>
      <w:r>
        <w:rPr>
          <w:color w:val="231F20"/>
          <w:spacing w:val="-8"/>
        </w:rPr>
        <w:t> </w:t>
      </w:r>
      <w:r>
        <w:rPr>
          <w:color w:val="231F20"/>
        </w:rPr>
        <w:t>chiede</w:t>
      </w:r>
      <w:r>
        <w:rPr>
          <w:color w:val="231F20"/>
          <w:spacing w:val="-8"/>
        </w:rPr>
        <w:t> </w:t>
      </w:r>
      <w:r>
        <w:rPr>
          <w:color w:val="231F20"/>
        </w:rPr>
        <w:t>il</w:t>
      </w:r>
      <w:r>
        <w:rPr>
          <w:color w:val="231F20"/>
          <w:spacing w:val="-8"/>
        </w:rPr>
        <w:t> </w:t>
      </w:r>
      <w:r>
        <w:rPr>
          <w:color w:val="231F20"/>
        </w:rPr>
        <w:t>recupero</w:t>
      </w:r>
      <w:r>
        <w:rPr>
          <w:color w:val="231F20"/>
          <w:spacing w:val="-8"/>
        </w:rPr>
        <w:t> </w:t>
      </w:r>
      <w:r>
        <w:rPr>
          <w:color w:val="231F20"/>
        </w:rPr>
        <w:t>e</w:t>
      </w:r>
      <w:r>
        <w:rPr>
          <w:color w:val="231F20"/>
          <w:spacing w:val="-8"/>
        </w:rPr>
        <w:t> </w:t>
      </w:r>
      <w:r>
        <w:rPr>
          <w:color w:val="231F20"/>
        </w:rPr>
        <w:t>rientra</w:t>
      </w:r>
      <w:r>
        <w:rPr>
          <w:color w:val="231F20"/>
          <w:spacing w:val="-8"/>
        </w:rPr>
        <w:t> </w:t>
      </w:r>
      <w:r>
        <w:rPr>
          <w:color w:val="231F20"/>
        </w:rPr>
        <w:t>quindi</w:t>
      </w:r>
      <w:r>
        <w:rPr>
          <w:color w:val="231F20"/>
          <w:spacing w:val="-8"/>
        </w:rPr>
        <w:t> </w:t>
      </w:r>
      <w:r>
        <w:rPr>
          <w:color w:val="231F20"/>
        </w:rPr>
        <w:t>nella</w:t>
      </w:r>
      <w:r>
        <w:rPr>
          <w:color w:val="231F20"/>
          <w:spacing w:val="-8"/>
        </w:rPr>
        <w:t> </w:t>
      </w:r>
      <w:r>
        <w:rPr>
          <w:color w:val="231F20"/>
        </w:rPr>
        <w:t>sua</w:t>
      </w:r>
      <w:r>
        <w:rPr>
          <w:color w:val="231F20"/>
          <w:spacing w:val="-8"/>
        </w:rPr>
        <w:t> </w:t>
      </w:r>
      <w:r>
        <w:rPr>
          <w:color w:val="231F20"/>
        </w:rPr>
        <w:t>esclusiva competenza»</w:t>
      </w:r>
      <w:r>
        <w:rPr>
          <w:color w:val="231F20"/>
          <w:position w:val="8"/>
          <w:sz w:val="14"/>
        </w:rPr>
        <w:t>163</w:t>
      </w:r>
      <w:r>
        <w:rPr>
          <w:color w:val="231F20"/>
        </w:rPr>
        <w:t>.</w:t>
      </w:r>
      <w:r>
        <w:rPr>
          <w:color w:val="231F20"/>
          <w:spacing w:val="-2"/>
        </w:rPr>
        <w:t> </w:t>
      </w:r>
      <w:r>
        <w:rPr>
          <w:color w:val="231F20"/>
        </w:rPr>
        <w:t>Tuttavia la situazione della società </w:t>
      </w:r>
      <w:r>
        <w:rPr>
          <w:i/>
          <w:color w:val="231F20"/>
        </w:rPr>
        <w:t>Silcompa </w:t>
      </w:r>
      <w:r>
        <w:rPr>
          <w:color w:val="231F20"/>
        </w:rPr>
        <w:t>si presentava alquanto singolare - per non dire anomala – in quanto due Stati membri (Italia e Grecia) facevano valere due crediti tributari concorrenti derivanti dalle</w:t>
      </w:r>
      <w:r>
        <w:rPr>
          <w:color w:val="231F20"/>
          <w:spacing w:val="-6"/>
        </w:rPr>
        <w:t> </w:t>
      </w:r>
      <w:r>
        <w:rPr>
          <w:color w:val="231F20"/>
        </w:rPr>
        <w:t>stesse</w:t>
      </w:r>
      <w:r>
        <w:rPr>
          <w:color w:val="231F20"/>
          <w:spacing w:val="-6"/>
        </w:rPr>
        <w:t> </w:t>
      </w:r>
      <w:r>
        <w:rPr>
          <w:color w:val="231F20"/>
        </w:rPr>
        <w:t>operazioni</w:t>
      </w:r>
      <w:r>
        <w:rPr>
          <w:color w:val="231F20"/>
          <w:spacing w:val="-6"/>
        </w:rPr>
        <w:t> </w:t>
      </w:r>
      <w:r>
        <w:rPr>
          <w:color w:val="231F20"/>
        </w:rPr>
        <w:t>di</w:t>
      </w:r>
      <w:r>
        <w:rPr>
          <w:color w:val="231F20"/>
          <w:spacing w:val="-6"/>
        </w:rPr>
        <w:t> </w:t>
      </w:r>
      <w:r>
        <w:rPr>
          <w:color w:val="231F20"/>
        </w:rPr>
        <w:t>esportazione</w:t>
      </w:r>
      <w:r>
        <w:rPr>
          <w:color w:val="231F20"/>
          <w:spacing w:val="-6"/>
        </w:rPr>
        <w:t> </w:t>
      </w:r>
      <w:r>
        <w:rPr>
          <w:color w:val="231F20"/>
        </w:rPr>
        <w:t>di</w:t>
      </w:r>
      <w:r>
        <w:rPr>
          <w:color w:val="231F20"/>
          <w:spacing w:val="-6"/>
        </w:rPr>
        <w:t> </w:t>
      </w:r>
      <w:r>
        <w:rPr>
          <w:color w:val="231F20"/>
        </w:rPr>
        <w:t>prodotti</w:t>
      </w:r>
      <w:r>
        <w:rPr>
          <w:color w:val="231F20"/>
          <w:spacing w:val="-6"/>
        </w:rPr>
        <w:t> </w:t>
      </w:r>
      <w:r>
        <w:rPr>
          <w:color w:val="231F20"/>
        </w:rPr>
        <w:t>soggetti</w:t>
      </w:r>
      <w:r>
        <w:rPr>
          <w:color w:val="231F20"/>
          <w:spacing w:val="-6"/>
        </w:rPr>
        <w:t> </w:t>
      </w:r>
      <w:r>
        <w:rPr>
          <w:color w:val="231F20"/>
        </w:rPr>
        <w:t>ad</w:t>
      </w:r>
      <w:r>
        <w:rPr>
          <w:color w:val="231F20"/>
          <w:spacing w:val="-6"/>
        </w:rPr>
        <w:t> </w:t>
      </w:r>
      <w:r>
        <w:rPr>
          <w:color w:val="231F20"/>
        </w:rPr>
        <w:t>accisa</w:t>
      </w:r>
      <w:r>
        <w:rPr>
          <w:color w:val="231F20"/>
          <w:spacing w:val="-6"/>
        </w:rPr>
        <w:t> </w:t>
      </w:r>
      <w:r>
        <w:rPr>
          <w:color w:val="231F20"/>
        </w:rPr>
        <w:t>da</w:t>
      </w:r>
      <w:r>
        <w:rPr>
          <w:color w:val="231F20"/>
          <w:spacing w:val="-6"/>
        </w:rPr>
        <w:t> </w:t>
      </w:r>
      <w:r>
        <w:rPr>
          <w:color w:val="231F20"/>
        </w:rPr>
        <w:t>uno Stato</w:t>
      </w:r>
      <w:r>
        <w:rPr>
          <w:color w:val="231F20"/>
          <w:spacing w:val="-15"/>
        </w:rPr>
        <w:t> </w:t>
      </w:r>
      <w:r>
        <w:rPr>
          <w:color w:val="231F20"/>
        </w:rPr>
        <w:t>membro</w:t>
      </w:r>
      <w:r>
        <w:rPr>
          <w:color w:val="231F20"/>
          <w:spacing w:val="-15"/>
        </w:rPr>
        <w:t> </w:t>
      </w:r>
      <w:r>
        <w:rPr>
          <w:color w:val="231F20"/>
        </w:rPr>
        <w:t>all’altro.</w:t>
      </w:r>
      <w:r>
        <w:rPr>
          <w:color w:val="231F20"/>
          <w:spacing w:val="-15"/>
        </w:rPr>
        <w:t> </w:t>
      </w:r>
      <w:r>
        <w:rPr>
          <w:color w:val="231F20"/>
        </w:rPr>
        <w:t>Al</w:t>
      </w:r>
      <w:r>
        <w:rPr>
          <w:color w:val="231F20"/>
          <w:spacing w:val="-15"/>
        </w:rPr>
        <w:t> </w:t>
      </w:r>
      <w:r>
        <w:rPr>
          <w:color w:val="231F20"/>
        </w:rPr>
        <w:t>riguardo,</w:t>
      </w:r>
      <w:r>
        <w:rPr>
          <w:color w:val="231F20"/>
          <w:spacing w:val="-15"/>
        </w:rPr>
        <w:t> </w:t>
      </w:r>
      <w:r>
        <w:rPr>
          <w:color w:val="231F20"/>
        </w:rPr>
        <w:t>i</w:t>
      </w:r>
      <w:r>
        <w:rPr>
          <w:color w:val="231F20"/>
          <w:spacing w:val="-15"/>
        </w:rPr>
        <w:t> </w:t>
      </w:r>
      <w:r>
        <w:rPr>
          <w:color w:val="231F20"/>
        </w:rPr>
        <w:t>giudici</w:t>
      </w:r>
      <w:r>
        <w:rPr>
          <w:color w:val="231F20"/>
          <w:spacing w:val="-15"/>
        </w:rPr>
        <w:t> </w:t>
      </w:r>
      <w:r>
        <w:rPr>
          <w:color w:val="231F20"/>
        </w:rPr>
        <w:t>dell’Unione</w:t>
      </w:r>
      <w:r>
        <w:rPr>
          <w:color w:val="231F20"/>
          <w:spacing w:val="-15"/>
        </w:rPr>
        <w:t> </w:t>
      </w:r>
      <w:r>
        <w:rPr>
          <w:color w:val="231F20"/>
        </w:rPr>
        <w:t>hanno</w:t>
      </w:r>
      <w:r>
        <w:rPr>
          <w:color w:val="231F20"/>
          <w:spacing w:val="-15"/>
        </w:rPr>
        <w:t> </w:t>
      </w:r>
      <w:r>
        <w:rPr>
          <w:color w:val="231F20"/>
        </w:rPr>
        <w:t>definito</w:t>
      </w:r>
      <w:r>
        <w:rPr>
          <w:color w:val="231F20"/>
          <w:spacing w:val="-15"/>
        </w:rPr>
        <w:t> </w:t>
      </w:r>
      <w:r>
        <w:rPr>
          <w:color w:val="231F20"/>
        </w:rPr>
        <w:t>in termini chiarissimi «inconcepibile» che «al titolo esecutivo che consente il recupero</w:t>
      </w:r>
      <w:r>
        <w:rPr>
          <w:color w:val="231F20"/>
          <w:spacing w:val="-3"/>
        </w:rPr>
        <w:t> </w:t>
      </w:r>
      <w:r>
        <w:rPr>
          <w:color w:val="231F20"/>
        </w:rPr>
        <w:t>del</w:t>
      </w:r>
      <w:r>
        <w:rPr>
          <w:color w:val="231F20"/>
          <w:spacing w:val="-3"/>
        </w:rPr>
        <w:t> </w:t>
      </w:r>
      <w:r>
        <w:rPr>
          <w:color w:val="231F20"/>
        </w:rPr>
        <w:t>credito</w:t>
      </w:r>
      <w:r>
        <w:rPr>
          <w:color w:val="231F20"/>
          <w:spacing w:val="-3"/>
        </w:rPr>
        <w:t> </w:t>
      </w:r>
      <w:r>
        <w:rPr>
          <w:color w:val="231F20"/>
        </w:rPr>
        <w:t>sia</w:t>
      </w:r>
      <w:r>
        <w:rPr>
          <w:color w:val="231F20"/>
          <w:spacing w:val="-3"/>
        </w:rPr>
        <w:t> </w:t>
      </w:r>
      <w:r>
        <w:rPr>
          <w:color w:val="231F20"/>
        </w:rPr>
        <w:t>data</w:t>
      </w:r>
      <w:r>
        <w:rPr>
          <w:color w:val="231F20"/>
          <w:spacing w:val="-3"/>
        </w:rPr>
        <w:t> </w:t>
      </w:r>
      <w:r>
        <w:rPr>
          <w:color w:val="231F20"/>
        </w:rPr>
        <w:t>esecuzione</w:t>
      </w:r>
      <w:r>
        <w:rPr>
          <w:color w:val="231F20"/>
          <w:spacing w:val="-3"/>
        </w:rPr>
        <w:t> </w:t>
      </w:r>
      <w:r>
        <w:rPr>
          <w:color w:val="231F20"/>
        </w:rPr>
        <w:t>nello</w:t>
      </w:r>
      <w:r>
        <w:rPr>
          <w:color w:val="231F20"/>
          <w:spacing w:val="-3"/>
        </w:rPr>
        <w:t> </w:t>
      </w:r>
      <w:r>
        <w:rPr>
          <w:color w:val="231F20"/>
        </w:rPr>
        <w:t>Stato</w:t>
      </w:r>
      <w:r>
        <w:rPr>
          <w:color w:val="231F20"/>
          <w:spacing w:val="-3"/>
        </w:rPr>
        <w:t> </w:t>
      </w:r>
      <w:r>
        <w:rPr>
          <w:color w:val="231F20"/>
        </w:rPr>
        <w:t>membro</w:t>
      </w:r>
      <w:r>
        <w:rPr>
          <w:color w:val="231F20"/>
          <w:spacing w:val="-3"/>
        </w:rPr>
        <w:t> </w:t>
      </w:r>
      <w:r>
        <w:rPr>
          <w:color w:val="231F20"/>
        </w:rPr>
        <w:t>in</w:t>
      </w:r>
      <w:r>
        <w:rPr>
          <w:color w:val="231F20"/>
          <w:spacing w:val="-3"/>
        </w:rPr>
        <w:t> </w:t>
      </w:r>
      <w:r>
        <w:rPr>
          <w:color w:val="231F20"/>
        </w:rPr>
        <w:t>cui</w:t>
      </w:r>
      <w:r>
        <w:rPr>
          <w:color w:val="231F20"/>
          <w:spacing w:val="-3"/>
        </w:rPr>
        <w:t> </w:t>
      </w:r>
      <w:r>
        <w:rPr>
          <w:color w:val="231F20"/>
        </w:rPr>
        <w:t>ha</w:t>
      </w:r>
      <w:r>
        <w:rPr>
          <w:color w:val="231F20"/>
          <w:spacing w:val="-3"/>
        </w:rPr>
        <w:t> </w:t>
      </w:r>
      <w:r>
        <w:rPr>
          <w:color w:val="231F20"/>
        </w:rPr>
        <w:t>sede l’autorità adita, se detta esecuzione è tale da condurre ad una situazione</w:t>
      </w:r>
      <w:r>
        <w:rPr>
          <w:color w:val="231F20"/>
          <w:spacing w:val="80"/>
        </w:rPr>
        <w:t> </w:t>
      </w:r>
      <w:r>
        <w:rPr>
          <w:color w:val="231F20"/>
        </w:rPr>
        <w:t>in cui si potrebbe procedere, in violazione della direttiva 92/12/CEE, alla doppia riscossione dei diritti di accisa gravanti sostanzialmente sulle stesse operazioni relative ai medesimi prodotti»</w:t>
      </w:r>
      <w:r>
        <w:rPr>
          <w:color w:val="231F20"/>
          <w:position w:val="8"/>
          <w:sz w:val="14"/>
        </w:rPr>
        <w:t>164</w:t>
      </w:r>
      <w:r>
        <w:rPr>
          <w:color w:val="231F20"/>
        </w:rPr>
        <w:t>. Al fine di evitare che si verifi- chi una simile situazione di doppio assoggettamento ad accisa degli stessi prodotti in relazione alle medesime operazioni imponibili poste in essere dallo</w:t>
      </w:r>
      <w:r>
        <w:rPr>
          <w:color w:val="231F20"/>
          <w:spacing w:val="-13"/>
        </w:rPr>
        <w:t> </w:t>
      </w:r>
      <w:r>
        <w:rPr>
          <w:color w:val="231F20"/>
        </w:rPr>
        <w:t>stesso</w:t>
      </w:r>
      <w:r>
        <w:rPr>
          <w:color w:val="231F20"/>
          <w:spacing w:val="-13"/>
        </w:rPr>
        <w:t> </w:t>
      </w:r>
      <w:r>
        <w:rPr>
          <w:color w:val="231F20"/>
        </w:rPr>
        <w:t>debitore</w:t>
      </w:r>
      <w:r>
        <w:rPr>
          <w:color w:val="231F20"/>
          <w:spacing w:val="-13"/>
        </w:rPr>
        <w:t> </w:t>
      </w:r>
      <w:r>
        <w:rPr>
          <w:color w:val="231F20"/>
        </w:rPr>
        <w:t>d’imposta,</w:t>
      </w:r>
      <w:r>
        <w:rPr>
          <w:color w:val="231F20"/>
          <w:spacing w:val="-13"/>
        </w:rPr>
        <w:t> </w:t>
      </w:r>
      <w:r>
        <w:rPr>
          <w:color w:val="231F20"/>
        </w:rPr>
        <w:t>la</w:t>
      </w:r>
      <w:r>
        <w:rPr>
          <w:color w:val="231F20"/>
          <w:spacing w:val="-13"/>
        </w:rPr>
        <w:t> </w:t>
      </w:r>
      <w:r>
        <w:rPr>
          <w:color w:val="231F20"/>
        </w:rPr>
        <w:t>Corte</w:t>
      </w:r>
      <w:r>
        <w:rPr>
          <w:color w:val="231F20"/>
          <w:spacing w:val="-13"/>
        </w:rPr>
        <w:t> </w:t>
      </w:r>
      <w:r>
        <w:rPr>
          <w:color w:val="231F20"/>
        </w:rPr>
        <w:t>di</w:t>
      </w:r>
      <w:r>
        <w:rPr>
          <w:color w:val="231F20"/>
          <w:spacing w:val="-13"/>
        </w:rPr>
        <w:t> </w:t>
      </w:r>
      <w:r>
        <w:rPr>
          <w:color w:val="231F20"/>
        </w:rPr>
        <w:t>giustizia</w:t>
      </w:r>
      <w:r>
        <w:rPr>
          <w:color w:val="231F20"/>
          <w:spacing w:val="-13"/>
        </w:rPr>
        <w:t> </w:t>
      </w:r>
      <w:r>
        <w:rPr>
          <w:color w:val="231F20"/>
        </w:rPr>
        <w:t>ha</w:t>
      </w:r>
      <w:r>
        <w:rPr>
          <w:color w:val="231F20"/>
          <w:spacing w:val="-13"/>
        </w:rPr>
        <w:t> </w:t>
      </w:r>
      <w:r>
        <w:rPr>
          <w:color w:val="231F20"/>
        </w:rPr>
        <w:t>riconosciuto</w:t>
      </w:r>
      <w:r>
        <w:rPr>
          <w:color w:val="231F20"/>
          <w:spacing w:val="-13"/>
        </w:rPr>
        <w:t> </w:t>
      </w:r>
      <w:r>
        <w:rPr>
          <w:color w:val="231F20"/>
        </w:rPr>
        <w:t>in</w:t>
      </w:r>
      <w:r>
        <w:rPr>
          <w:color w:val="231F20"/>
          <w:spacing w:val="-13"/>
        </w:rPr>
        <w:t> </w:t>
      </w:r>
      <w:r>
        <w:rPr>
          <w:color w:val="231F20"/>
        </w:rPr>
        <w:t>con- clusione al giudice dello Stato membro dell’autorità adita – nella fattispe- cie:</w:t>
      </w:r>
      <w:r>
        <w:rPr>
          <w:color w:val="231F20"/>
          <w:spacing w:val="-15"/>
        </w:rPr>
        <w:t> </w:t>
      </w:r>
      <w:r>
        <w:rPr>
          <w:color w:val="231F20"/>
        </w:rPr>
        <w:t>la</w:t>
      </w:r>
      <w:r>
        <w:rPr>
          <w:color w:val="231F20"/>
          <w:spacing w:val="-15"/>
        </w:rPr>
        <w:t> </w:t>
      </w:r>
      <w:r>
        <w:rPr>
          <w:color w:val="231F20"/>
        </w:rPr>
        <w:t>Corte</w:t>
      </w:r>
      <w:r>
        <w:rPr>
          <w:color w:val="231F20"/>
          <w:spacing w:val="-15"/>
        </w:rPr>
        <w:t> </w:t>
      </w:r>
      <w:r>
        <w:rPr>
          <w:color w:val="231F20"/>
        </w:rPr>
        <w:t>di</w:t>
      </w:r>
      <w:r>
        <w:rPr>
          <w:color w:val="231F20"/>
          <w:spacing w:val="-15"/>
        </w:rPr>
        <w:t> </w:t>
      </w:r>
      <w:r>
        <w:rPr>
          <w:color w:val="231F20"/>
        </w:rPr>
        <w:t>cassazione</w:t>
      </w:r>
      <w:r>
        <w:rPr>
          <w:color w:val="231F20"/>
          <w:spacing w:val="-15"/>
        </w:rPr>
        <w:t> </w:t>
      </w:r>
      <w:r>
        <w:rPr>
          <w:color w:val="231F20"/>
        </w:rPr>
        <w:t>italiana</w:t>
      </w:r>
      <w:r>
        <w:rPr>
          <w:color w:val="231F20"/>
          <w:spacing w:val="-15"/>
        </w:rPr>
        <w:t> </w:t>
      </w:r>
      <w:r>
        <w:rPr>
          <w:color w:val="231F20"/>
        </w:rPr>
        <w:t>–</w:t>
      </w:r>
      <w:r>
        <w:rPr>
          <w:color w:val="231F20"/>
          <w:spacing w:val="-15"/>
        </w:rPr>
        <w:t> </w:t>
      </w:r>
      <w:r>
        <w:rPr>
          <w:color w:val="231F20"/>
        </w:rPr>
        <w:t>il</w:t>
      </w:r>
      <w:r>
        <w:rPr>
          <w:color w:val="231F20"/>
          <w:spacing w:val="-15"/>
        </w:rPr>
        <w:t> </w:t>
      </w:r>
      <w:r>
        <w:rPr>
          <w:color w:val="231F20"/>
        </w:rPr>
        <w:t>potere</w:t>
      </w:r>
      <w:r>
        <w:rPr>
          <w:color w:val="231F20"/>
          <w:spacing w:val="-15"/>
        </w:rPr>
        <w:t> </w:t>
      </w:r>
      <w:r>
        <w:rPr>
          <w:color w:val="231F20"/>
        </w:rPr>
        <w:t>di</w:t>
      </w:r>
      <w:r>
        <w:rPr>
          <w:color w:val="231F20"/>
          <w:spacing w:val="-15"/>
        </w:rPr>
        <w:t> </w:t>
      </w:r>
      <w:r>
        <w:rPr>
          <w:color w:val="231F20"/>
        </w:rPr>
        <w:t>rifiutare</w:t>
      </w:r>
      <w:r>
        <w:rPr>
          <w:color w:val="231F20"/>
          <w:spacing w:val="-15"/>
        </w:rPr>
        <w:t> </w:t>
      </w:r>
      <w:r>
        <w:rPr>
          <w:color w:val="231F20"/>
        </w:rPr>
        <w:t>l’assistenza</w:t>
      </w:r>
      <w:r>
        <w:rPr>
          <w:color w:val="231F20"/>
          <w:spacing w:val="-15"/>
        </w:rPr>
        <w:t> </w:t>
      </w:r>
      <w:r>
        <w:rPr>
          <w:color w:val="231F20"/>
        </w:rPr>
        <w:t>richiesta dall’amministrazione</w:t>
      </w:r>
      <w:r>
        <w:rPr>
          <w:color w:val="231F20"/>
          <w:spacing w:val="-11"/>
        </w:rPr>
        <w:t> </w:t>
      </w:r>
      <w:r>
        <w:rPr>
          <w:color w:val="231F20"/>
        </w:rPr>
        <w:t>finanziaria</w:t>
      </w:r>
      <w:r>
        <w:rPr>
          <w:color w:val="231F20"/>
          <w:spacing w:val="-11"/>
        </w:rPr>
        <w:t> </w:t>
      </w:r>
      <w:r>
        <w:rPr>
          <w:color w:val="231F20"/>
        </w:rPr>
        <w:t>di</w:t>
      </w:r>
      <w:r>
        <w:rPr>
          <w:color w:val="231F20"/>
          <w:spacing w:val="-11"/>
        </w:rPr>
        <w:t> </w:t>
      </w:r>
      <w:r>
        <w:rPr>
          <w:color w:val="231F20"/>
        </w:rPr>
        <w:t>un</w:t>
      </w:r>
      <w:r>
        <w:rPr>
          <w:color w:val="231F20"/>
          <w:spacing w:val="-11"/>
        </w:rPr>
        <w:t> </w:t>
      </w:r>
      <w:r>
        <w:rPr>
          <w:color w:val="231F20"/>
        </w:rPr>
        <w:t>altro</w:t>
      </w:r>
      <w:r>
        <w:rPr>
          <w:color w:val="231F20"/>
          <w:spacing w:val="-11"/>
        </w:rPr>
        <w:t> </w:t>
      </w:r>
      <w:r>
        <w:rPr>
          <w:color w:val="231F20"/>
        </w:rPr>
        <w:t>Stato</w:t>
      </w:r>
      <w:r>
        <w:rPr>
          <w:color w:val="231F20"/>
          <w:spacing w:val="-11"/>
        </w:rPr>
        <w:t> </w:t>
      </w:r>
      <w:r>
        <w:rPr>
          <w:color w:val="231F20"/>
        </w:rPr>
        <w:t>membro</w:t>
      </w:r>
      <w:r>
        <w:rPr>
          <w:color w:val="231F20"/>
          <w:spacing w:val="-11"/>
        </w:rPr>
        <w:t> </w:t>
      </w:r>
      <w:r>
        <w:rPr>
          <w:color w:val="231F20"/>
        </w:rPr>
        <w:t>per</w:t>
      </w:r>
      <w:r>
        <w:rPr>
          <w:color w:val="231F20"/>
          <w:spacing w:val="-11"/>
        </w:rPr>
        <w:t> </w:t>
      </w:r>
      <w:r>
        <w:rPr>
          <w:color w:val="231F20"/>
        </w:rPr>
        <w:t>procedere</w:t>
      </w:r>
      <w:r>
        <w:rPr>
          <w:color w:val="231F20"/>
          <w:spacing w:val="-11"/>
        </w:rPr>
        <w:t> </w:t>
      </w:r>
      <w:r>
        <w:rPr>
          <w:color w:val="231F20"/>
        </w:rPr>
        <w:t>al recupero dei diritti d’accisa dalla reclamati dalla stessa amministrazione al suddetto debitore d’imposta</w:t>
      </w:r>
      <w:r>
        <w:rPr>
          <w:color w:val="231F20"/>
          <w:position w:val="8"/>
          <w:sz w:val="14"/>
        </w:rPr>
        <w:t>165</w:t>
      </w:r>
      <w:r>
        <w:rPr>
          <w:color w:val="231F20"/>
        </w:rPr>
        <w:t>. Il parallelismo con la precedente sentenza </w:t>
      </w:r>
      <w:r>
        <w:rPr>
          <w:i/>
          <w:color w:val="231F20"/>
        </w:rPr>
        <w:t>Donnellan </w:t>
      </w:r>
      <w:r>
        <w:rPr>
          <w:color w:val="231F20"/>
        </w:rPr>
        <w:t>– peraltro richiamata due volte nella sentenza </w:t>
      </w:r>
      <w:r>
        <w:rPr>
          <w:i/>
          <w:color w:val="231F20"/>
        </w:rPr>
        <w:t>Silcompa </w:t>
      </w:r>
      <w:r>
        <w:rPr>
          <w:color w:val="231F20"/>
        </w:rPr>
        <w:t>– è evi- dente. In entrambi i casi - qualificati dalla Corte come «eccezionali» ma l’esperienza pratica sembra dimostrare che questi casi siano assai meno ec- cezionali</w:t>
      </w:r>
      <w:r>
        <w:rPr>
          <w:color w:val="231F20"/>
          <w:spacing w:val="-5"/>
        </w:rPr>
        <w:t> </w:t>
      </w:r>
      <w:r>
        <w:rPr>
          <w:color w:val="231F20"/>
        </w:rPr>
        <w:t>di</w:t>
      </w:r>
      <w:r>
        <w:rPr>
          <w:color w:val="231F20"/>
          <w:spacing w:val="-5"/>
        </w:rPr>
        <w:t> </w:t>
      </w:r>
      <w:r>
        <w:rPr>
          <w:color w:val="231F20"/>
        </w:rPr>
        <w:t>quanto</w:t>
      </w:r>
      <w:r>
        <w:rPr>
          <w:color w:val="231F20"/>
          <w:spacing w:val="-5"/>
        </w:rPr>
        <w:t> </w:t>
      </w:r>
      <w:r>
        <w:rPr>
          <w:color w:val="231F20"/>
        </w:rPr>
        <w:t>si</w:t>
      </w:r>
      <w:r>
        <w:rPr>
          <w:color w:val="231F20"/>
          <w:spacing w:val="-5"/>
        </w:rPr>
        <w:t> </w:t>
      </w:r>
      <w:r>
        <w:rPr>
          <w:color w:val="231F20"/>
        </w:rPr>
        <w:t>pensi</w:t>
      </w:r>
      <w:r>
        <w:rPr>
          <w:color w:val="231F20"/>
          <w:spacing w:val="-5"/>
        </w:rPr>
        <w:t> </w:t>
      </w:r>
      <w:r>
        <w:rPr>
          <w:color w:val="231F20"/>
        </w:rPr>
        <w:t>–</w:t>
      </w:r>
      <w:r>
        <w:rPr>
          <w:color w:val="231F20"/>
          <w:spacing w:val="-5"/>
        </w:rPr>
        <w:t> </w:t>
      </w:r>
      <w:r>
        <w:rPr>
          <w:color w:val="231F20"/>
        </w:rPr>
        <w:t>la</w:t>
      </w:r>
      <w:r>
        <w:rPr>
          <w:color w:val="231F20"/>
          <w:spacing w:val="-5"/>
        </w:rPr>
        <w:t> </w:t>
      </w:r>
      <w:r>
        <w:rPr>
          <w:color w:val="231F20"/>
        </w:rPr>
        <w:t>Corte</w:t>
      </w:r>
      <w:r>
        <w:rPr>
          <w:color w:val="231F20"/>
          <w:spacing w:val="-5"/>
        </w:rPr>
        <w:t> </w:t>
      </w:r>
      <w:r>
        <w:rPr>
          <w:color w:val="231F20"/>
        </w:rPr>
        <w:t>di</w:t>
      </w:r>
      <w:r>
        <w:rPr>
          <w:color w:val="231F20"/>
          <w:spacing w:val="-5"/>
        </w:rPr>
        <w:t> </w:t>
      </w:r>
      <w:r>
        <w:rPr>
          <w:color w:val="231F20"/>
        </w:rPr>
        <w:t>giustizia</w:t>
      </w:r>
      <w:r>
        <w:rPr>
          <w:color w:val="231F20"/>
          <w:spacing w:val="-5"/>
        </w:rPr>
        <w:t> </w:t>
      </w:r>
      <w:r>
        <w:rPr>
          <w:color w:val="231F20"/>
        </w:rPr>
        <w:t>ha</w:t>
      </w:r>
      <w:r>
        <w:rPr>
          <w:color w:val="231F20"/>
          <w:spacing w:val="-5"/>
        </w:rPr>
        <w:t> </w:t>
      </w:r>
      <w:r>
        <w:rPr>
          <w:color w:val="231F20"/>
        </w:rPr>
        <w:t>creato</w:t>
      </w:r>
      <w:r>
        <w:rPr>
          <w:color w:val="231F20"/>
          <w:spacing w:val="-5"/>
        </w:rPr>
        <w:t> </w:t>
      </w:r>
      <w:r>
        <w:rPr>
          <w:color w:val="231F20"/>
        </w:rPr>
        <w:t>in</w:t>
      </w:r>
      <w:r>
        <w:rPr>
          <w:color w:val="231F20"/>
          <w:spacing w:val="-5"/>
        </w:rPr>
        <w:t> </w:t>
      </w:r>
      <w:r>
        <w:rPr>
          <w:color w:val="231F20"/>
        </w:rPr>
        <w:t>via</w:t>
      </w:r>
      <w:r>
        <w:rPr>
          <w:color w:val="231F20"/>
          <w:spacing w:val="-5"/>
        </w:rPr>
        <w:t> </w:t>
      </w:r>
      <w:r>
        <w:rPr>
          <w:color w:val="231F20"/>
        </w:rPr>
        <w:t>interpre- tativa una deroga implicita all’art. 14 della direttiva (UE) 2010/24 al fine di</w:t>
      </w:r>
      <w:r>
        <w:rPr>
          <w:color w:val="231F20"/>
          <w:spacing w:val="-9"/>
        </w:rPr>
        <w:t> </w:t>
      </w:r>
      <w:r>
        <w:rPr>
          <w:color w:val="231F20"/>
        </w:rPr>
        <w:t>riconoscere</w:t>
      </w:r>
      <w:r>
        <w:rPr>
          <w:color w:val="231F20"/>
          <w:spacing w:val="-9"/>
        </w:rPr>
        <w:t> </w:t>
      </w:r>
      <w:r>
        <w:rPr>
          <w:color w:val="231F20"/>
        </w:rPr>
        <w:t>al</w:t>
      </w:r>
      <w:r>
        <w:rPr>
          <w:color w:val="231F20"/>
          <w:spacing w:val="-9"/>
        </w:rPr>
        <w:t> </w:t>
      </w:r>
      <w:r>
        <w:rPr>
          <w:color w:val="231F20"/>
        </w:rPr>
        <w:t>giudice</w:t>
      </w:r>
      <w:r>
        <w:rPr>
          <w:color w:val="231F20"/>
          <w:spacing w:val="-9"/>
        </w:rPr>
        <w:t> </w:t>
      </w:r>
      <w:r>
        <w:rPr>
          <w:color w:val="231F20"/>
        </w:rPr>
        <w:t>dello</w:t>
      </w:r>
      <w:r>
        <w:rPr>
          <w:color w:val="231F20"/>
          <w:spacing w:val="-9"/>
        </w:rPr>
        <w:t> </w:t>
      </w:r>
      <w:r>
        <w:rPr>
          <w:color w:val="231F20"/>
        </w:rPr>
        <w:t>Stato</w:t>
      </w:r>
      <w:r>
        <w:rPr>
          <w:color w:val="231F20"/>
          <w:spacing w:val="-9"/>
        </w:rPr>
        <w:t> </w:t>
      </w:r>
      <w:r>
        <w:rPr>
          <w:color w:val="231F20"/>
        </w:rPr>
        <w:t>membro</w:t>
      </w:r>
      <w:r>
        <w:rPr>
          <w:color w:val="231F20"/>
          <w:spacing w:val="-9"/>
        </w:rPr>
        <w:t> </w:t>
      </w:r>
      <w:r>
        <w:rPr>
          <w:color w:val="231F20"/>
        </w:rPr>
        <w:t>adito,</w:t>
      </w:r>
      <w:r>
        <w:rPr>
          <w:color w:val="231F20"/>
          <w:spacing w:val="-9"/>
        </w:rPr>
        <w:t> </w:t>
      </w:r>
      <w:r>
        <w:rPr>
          <w:color w:val="231F20"/>
        </w:rPr>
        <w:t>e</w:t>
      </w:r>
      <w:r>
        <w:rPr>
          <w:color w:val="231F20"/>
          <w:spacing w:val="-9"/>
        </w:rPr>
        <w:t> </w:t>
      </w:r>
      <w:r>
        <w:rPr>
          <w:color w:val="231F20"/>
        </w:rPr>
        <w:t>di</w:t>
      </w:r>
      <w:r>
        <w:rPr>
          <w:color w:val="231F20"/>
          <w:spacing w:val="-9"/>
        </w:rPr>
        <w:t> </w:t>
      </w:r>
      <w:r>
        <w:rPr>
          <w:color w:val="231F20"/>
        </w:rPr>
        <w:t>conseguenza</w:t>
      </w:r>
      <w:r>
        <w:rPr>
          <w:color w:val="231F20"/>
          <w:spacing w:val="-9"/>
        </w:rPr>
        <w:t> </w:t>
      </w:r>
      <w:r>
        <w:rPr>
          <w:color w:val="231F20"/>
        </w:rPr>
        <w:t>anche all’amministrazione</w:t>
      </w:r>
      <w:r>
        <w:rPr>
          <w:color w:val="231F20"/>
          <w:spacing w:val="-4"/>
        </w:rPr>
        <w:t> </w:t>
      </w:r>
      <w:r>
        <w:rPr>
          <w:color w:val="231F20"/>
        </w:rPr>
        <w:t>finanziaria</w:t>
      </w:r>
      <w:r>
        <w:rPr>
          <w:color w:val="231F20"/>
          <w:spacing w:val="-4"/>
        </w:rPr>
        <w:t> </w:t>
      </w:r>
      <w:r>
        <w:rPr>
          <w:color w:val="231F20"/>
        </w:rPr>
        <w:t>di</w:t>
      </w:r>
      <w:r>
        <w:rPr>
          <w:color w:val="231F20"/>
          <w:spacing w:val="-4"/>
        </w:rPr>
        <w:t> </w:t>
      </w:r>
      <w:r>
        <w:rPr>
          <w:color w:val="231F20"/>
        </w:rPr>
        <w:t>questo</w:t>
      </w:r>
      <w:r>
        <w:rPr>
          <w:color w:val="231F20"/>
          <w:spacing w:val="-4"/>
        </w:rPr>
        <w:t> </w:t>
      </w:r>
      <w:r>
        <w:rPr>
          <w:color w:val="231F20"/>
        </w:rPr>
        <w:t>stesso</w:t>
      </w:r>
      <w:r>
        <w:rPr>
          <w:color w:val="231F20"/>
          <w:spacing w:val="-4"/>
        </w:rPr>
        <w:t> </w:t>
      </w:r>
      <w:r>
        <w:rPr>
          <w:color w:val="231F20"/>
        </w:rPr>
        <w:t>Stato,</w:t>
      </w:r>
      <w:r>
        <w:rPr>
          <w:color w:val="231F20"/>
          <w:spacing w:val="-4"/>
        </w:rPr>
        <w:t> </w:t>
      </w:r>
      <w:r>
        <w:rPr>
          <w:color w:val="231F20"/>
        </w:rPr>
        <w:t>la</w:t>
      </w:r>
      <w:r>
        <w:rPr>
          <w:color w:val="231F20"/>
          <w:spacing w:val="-4"/>
        </w:rPr>
        <w:t> </w:t>
      </w:r>
      <w:r>
        <w:rPr>
          <w:color w:val="231F20"/>
        </w:rPr>
        <w:t>facoltà</w:t>
      </w:r>
      <w:r>
        <w:rPr>
          <w:color w:val="231F20"/>
          <w:spacing w:val="-4"/>
        </w:rPr>
        <w:t> </w:t>
      </w:r>
      <w:r>
        <w:rPr>
          <w:color w:val="231F20"/>
        </w:rPr>
        <w:t>di</w:t>
      </w:r>
      <w:r>
        <w:rPr>
          <w:color w:val="231F20"/>
          <w:spacing w:val="-4"/>
        </w:rPr>
        <w:t> </w:t>
      </w:r>
      <w:r>
        <w:rPr>
          <w:color w:val="231F20"/>
        </w:rPr>
        <w:t>rifiutare l’esecuzione</w:t>
      </w:r>
      <w:r>
        <w:rPr>
          <w:color w:val="231F20"/>
          <w:spacing w:val="-1"/>
        </w:rPr>
        <w:t> </w:t>
      </w:r>
      <w:r>
        <w:rPr>
          <w:color w:val="231F20"/>
        </w:rPr>
        <w:t>di un</w:t>
      </w:r>
      <w:r>
        <w:rPr>
          <w:color w:val="231F20"/>
          <w:spacing w:val="-1"/>
        </w:rPr>
        <w:t> </w:t>
      </w:r>
      <w:r>
        <w:rPr>
          <w:color w:val="231F20"/>
        </w:rPr>
        <w:t>credito tributario</w:t>
      </w:r>
      <w:r>
        <w:rPr>
          <w:color w:val="231F20"/>
          <w:spacing w:val="-1"/>
        </w:rPr>
        <w:t> </w:t>
      </w:r>
      <w:r>
        <w:rPr>
          <w:color w:val="231F20"/>
        </w:rPr>
        <w:t>di un</w:t>
      </w:r>
      <w:r>
        <w:rPr>
          <w:color w:val="231F20"/>
          <w:spacing w:val="-1"/>
        </w:rPr>
        <w:t> </w:t>
      </w:r>
      <w:r>
        <w:rPr>
          <w:color w:val="231F20"/>
        </w:rPr>
        <w:t>altro Stato</w:t>
      </w:r>
      <w:r>
        <w:rPr>
          <w:color w:val="231F20"/>
          <w:spacing w:val="-1"/>
        </w:rPr>
        <w:t> </w:t>
      </w:r>
      <w:r>
        <w:rPr>
          <w:color w:val="231F20"/>
        </w:rPr>
        <w:t>membro qualora </w:t>
      </w:r>
      <w:r>
        <w:rPr>
          <w:color w:val="231F20"/>
          <w:spacing w:val="-4"/>
        </w:rPr>
        <w:t>tale</w:t>
      </w:r>
    </w:p>
    <w:p>
      <w:pPr>
        <w:pStyle w:val="BodyText"/>
        <w:rPr>
          <w:sz w:val="7"/>
        </w:rPr>
      </w:pPr>
      <w:r>
        <w:rPr/>
        <mc:AlternateContent>
          <mc:Choice Requires="wps">
            <w:drawing>
              <wp:anchor distT="0" distB="0" distL="0" distR="0" allowOverlap="1" layoutInCell="1" locked="0" behindDoc="1" simplePos="0" relativeHeight="487661056">
                <wp:simplePos x="0" y="0"/>
                <wp:positionH relativeFrom="page">
                  <wp:posOffset>899999</wp:posOffset>
                </wp:positionH>
                <wp:positionV relativeFrom="paragraph">
                  <wp:posOffset>72177</wp:posOffset>
                </wp:positionV>
                <wp:extent cx="792480" cy="1270"/>
                <wp:effectExtent l="0" t="0" r="0" b="0"/>
                <wp:wrapTopAndBottom/>
                <wp:docPr id="234" name="Graphic 234"/>
                <wp:cNvGraphicFramePr>
                  <a:graphicFrameLocks/>
                </wp:cNvGraphicFramePr>
                <a:graphic>
                  <a:graphicData uri="http://schemas.microsoft.com/office/word/2010/wordprocessingShape">
                    <wps:wsp>
                      <wps:cNvPr id="234" name="Graphic 234"/>
                      <wps:cNvSpPr/>
                      <wps:spPr>
                        <a:xfrm>
                          <a:off x="0" y="0"/>
                          <a:ext cx="792480" cy="1270"/>
                        </a:xfrm>
                        <a:custGeom>
                          <a:avLst/>
                          <a:gdLst/>
                          <a:ahLst/>
                          <a:cxnLst/>
                          <a:rect l="l" t="t" r="r" b="b"/>
                          <a:pathLst>
                            <a:path w="792480" h="0">
                              <a:moveTo>
                                <a:pt x="0" y="0"/>
                              </a:moveTo>
                              <a:lnTo>
                                <a:pt x="791997"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shape style="position:absolute;margin-left:70.866096pt;margin-top:5.6833pt;width:62.4pt;height:.1pt;mso-position-horizontal-relative:page;mso-position-vertical-relative:paragraph;z-index:-15655424;mso-wrap-distance-left:0;mso-wrap-distance-right:0" id="docshape194" coordorigin="1417,114" coordsize="1248,0" path="m1417,114l2665,114e" filled="false" stroked="true" strokeweight=".5pt" strokecolor="#231f20">
                <v:path arrowok="t"/>
                <v:stroke dashstyle="solid"/>
                <w10:wrap type="topAndBottom"/>
              </v:shape>
            </w:pict>
          </mc:Fallback>
        </mc:AlternateContent>
      </w:r>
    </w:p>
    <w:p>
      <w:pPr>
        <w:spacing w:line="235" w:lineRule="exact" w:before="190"/>
        <w:ind w:left="157" w:right="0" w:firstLine="0"/>
        <w:jc w:val="left"/>
        <w:rPr>
          <w:sz w:val="19"/>
        </w:rPr>
      </w:pPr>
      <w:r>
        <w:rPr>
          <w:color w:val="231F20"/>
          <w:position w:val="6"/>
          <w:sz w:val="11"/>
        </w:rPr>
        <w:t>163</w:t>
      </w:r>
      <w:r>
        <w:rPr>
          <w:color w:val="231F20"/>
          <w:spacing w:val="79"/>
          <w:position w:val="6"/>
          <w:sz w:val="11"/>
        </w:rPr>
        <w:t> </w:t>
      </w:r>
      <w:r>
        <w:rPr>
          <w:color w:val="231F20"/>
          <w:sz w:val="19"/>
        </w:rPr>
        <w:t>Corte Giust.</w:t>
      </w:r>
      <w:r>
        <w:rPr>
          <w:color w:val="231F20"/>
          <w:spacing w:val="-1"/>
          <w:sz w:val="19"/>
        </w:rPr>
        <w:t> </w:t>
      </w:r>
      <w:r>
        <w:rPr>
          <w:color w:val="231F20"/>
          <w:sz w:val="19"/>
        </w:rPr>
        <w:t>UE, ult. cit., punto </w:t>
      </w:r>
      <w:r>
        <w:rPr>
          <w:color w:val="231F20"/>
          <w:spacing w:val="-5"/>
          <w:sz w:val="19"/>
        </w:rPr>
        <w:t>74.</w:t>
      </w:r>
    </w:p>
    <w:p>
      <w:pPr>
        <w:spacing w:line="228" w:lineRule="exact" w:before="0"/>
        <w:ind w:left="157" w:right="0" w:firstLine="0"/>
        <w:jc w:val="left"/>
        <w:rPr>
          <w:sz w:val="19"/>
        </w:rPr>
      </w:pPr>
      <w:r>
        <w:rPr>
          <w:color w:val="231F20"/>
          <w:position w:val="6"/>
          <w:sz w:val="11"/>
        </w:rPr>
        <w:t>164</w:t>
      </w:r>
      <w:r>
        <w:rPr>
          <w:color w:val="231F20"/>
          <w:spacing w:val="79"/>
          <w:position w:val="6"/>
          <w:sz w:val="11"/>
        </w:rPr>
        <w:t> </w:t>
      </w:r>
      <w:r>
        <w:rPr>
          <w:color w:val="231F20"/>
          <w:sz w:val="19"/>
        </w:rPr>
        <w:t>Corte Giust.</w:t>
      </w:r>
      <w:r>
        <w:rPr>
          <w:color w:val="231F20"/>
          <w:spacing w:val="-1"/>
          <w:sz w:val="19"/>
        </w:rPr>
        <w:t> </w:t>
      </w:r>
      <w:r>
        <w:rPr>
          <w:color w:val="231F20"/>
          <w:sz w:val="19"/>
        </w:rPr>
        <w:t>UE, ult. cit., punto </w:t>
      </w:r>
      <w:r>
        <w:rPr>
          <w:color w:val="231F20"/>
          <w:spacing w:val="-5"/>
          <w:sz w:val="19"/>
        </w:rPr>
        <w:t>78.</w:t>
      </w:r>
    </w:p>
    <w:p>
      <w:pPr>
        <w:spacing w:line="235" w:lineRule="exact" w:before="0"/>
        <w:ind w:left="157" w:right="0" w:firstLine="0"/>
        <w:jc w:val="left"/>
        <w:rPr>
          <w:sz w:val="19"/>
        </w:rPr>
      </w:pPr>
      <w:r>
        <w:rPr>
          <w:color w:val="231F20"/>
          <w:position w:val="6"/>
          <w:sz w:val="11"/>
        </w:rPr>
        <w:t>165</w:t>
      </w:r>
      <w:r>
        <w:rPr>
          <w:color w:val="231F20"/>
          <w:spacing w:val="79"/>
          <w:position w:val="6"/>
          <w:sz w:val="11"/>
        </w:rPr>
        <w:t> </w:t>
      </w:r>
      <w:r>
        <w:rPr>
          <w:color w:val="231F20"/>
          <w:sz w:val="19"/>
        </w:rPr>
        <w:t>Corte Giust. UE,</w:t>
      </w:r>
      <w:r>
        <w:rPr>
          <w:color w:val="231F20"/>
          <w:spacing w:val="-1"/>
          <w:sz w:val="19"/>
        </w:rPr>
        <w:t> </w:t>
      </w:r>
      <w:r>
        <w:rPr>
          <w:color w:val="231F20"/>
          <w:sz w:val="19"/>
        </w:rPr>
        <w:t>ult. cit., punti 79 e </w:t>
      </w:r>
      <w:r>
        <w:rPr>
          <w:color w:val="231F20"/>
          <w:spacing w:val="-5"/>
          <w:sz w:val="19"/>
        </w:rPr>
        <w:t>84.</w:t>
      </w:r>
    </w:p>
    <w:p>
      <w:pPr>
        <w:spacing w:after="0" w:line="235" w:lineRule="exact"/>
        <w:jc w:val="left"/>
        <w:rPr>
          <w:sz w:val="19"/>
        </w:rPr>
        <w:sectPr>
          <w:pgSz w:w="9640" w:h="13610"/>
          <w:pgMar w:header="0" w:footer="625" w:top="1260" w:bottom="820" w:left="1260" w:right="1240"/>
        </w:sectPr>
      </w:pPr>
    </w:p>
    <w:p>
      <w:pPr>
        <w:pStyle w:val="BodyText"/>
        <w:spacing w:line="225" w:lineRule="auto" w:before="117"/>
        <w:ind w:left="100" w:right="174"/>
        <w:jc w:val="both"/>
      </w:pPr>
      <w:r>
        <w:rPr>
          <w:color w:val="231F20"/>
        </w:rPr>
        <w:t>esecuzione</w:t>
      </w:r>
      <w:r>
        <w:rPr>
          <w:color w:val="231F20"/>
          <w:spacing w:val="-1"/>
        </w:rPr>
        <w:t> </w:t>
      </w:r>
      <w:r>
        <w:rPr>
          <w:color w:val="231F20"/>
        </w:rPr>
        <w:t>comporti</w:t>
      </w:r>
      <w:r>
        <w:rPr>
          <w:color w:val="231F20"/>
          <w:spacing w:val="-1"/>
        </w:rPr>
        <w:t> </w:t>
      </w:r>
      <w:r>
        <w:rPr>
          <w:color w:val="231F20"/>
        </w:rPr>
        <w:t>la</w:t>
      </w:r>
      <w:r>
        <w:rPr>
          <w:color w:val="231F20"/>
          <w:spacing w:val="-1"/>
        </w:rPr>
        <w:t> </w:t>
      </w:r>
      <w:r>
        <w:rPr>
          <w:color w:val="231F20"/>
        </w:rPr>
        <w:t>violazione,</w:t>
      </w:r>
      <w:r>
        <w:rPr>
          <w:color w:val="231F20"/>
          <w:spacing w:val="-1"/>
        </w:rPr>
        <w:t> </w:t>
      </w:r>
      <w:r>
        <w:rPr>
          <w:color w:val="231F20"/>
        </w:rPr>
        <w:t>o</w:t>
      </w:r>
      <w:r>
        <w:rPr>
          <w:color w:val="231F20"/>
          <w:spacing w:val="-1"/>
        </w:rPr>
        <w:t> </w:t>
      </w:r>
      <w:r>
        <w:rPr>
          <w:color w:val="231F20"/>
        </w:rPr>
        <w:t>di</w:t>
      </w:r>
      <w:r>
        <w:rPr>
          <w:color w:val="231F20"/>
          <w:spacing w:val="-1"/>
        </w:rPr>
        <w:t> </w:t>
      </w:r>
      <w:r>
        <w:rPr>
          <w:color w:val="231F20"/>
        </w:rPr>
        <w:t>un</w:t>
      </w:r>
      <w:r>
        <w:rPr>
          <w:color w:val="231F20"/>
          <w:spacing w:val="-1"/>
        </w:rPr>
        <w:t> </w:t>
      </w:r>
      <w:r>
        <w:rPr>
          <w:color w:val="231F20"/>
        </w:rPr>
        <w:t>diritto</w:t>
      </w:r>
      <w:r>
        <w:rPr>
          <w:color w:val="231F20"/>
          <w:spacing w:val="-1"/>
        </w:rPr>
        <w:t> </w:t>
      </w:r>
      <w:r>
        <w:rPr>
          <w:color w:val="231F20"/>
        </w:rPr>
        <w:t>garantito</w:t>
      </w:r>
      <w:r>
        <w:rPr>
          <w:color w:val="231F20"/>
          <w:spacing w:val="-1"/>
        </w:rPr>
        <w:t> </w:t>
      </w:r>
      <w:r>
        <w:rPr>
          <w:color w:val="231F20"/>
        </w:rPr>
        <w:t>dalla</w:t>
      </w:r>
      <w:r>
        <w:rPr>
          <w:color w:val="231F20"/>
          <w:spacing w:val="-1"/>
        </w:rPr>
        <w:t> </w:t>
      </w:r>
      <w:r>
        <w:rPr>
          <w:color w:val="231F20"/>
        </w:rPr>
        <w:t>Carta</w:t>
      </w:r>
      <w:r>
        <w:rPr>
          <w:color w:val="231F20"/>
          <w:spacing w:val="-1"/>
        </w:rPr>
        <w:t> </w:t>
      </w:r>
      <w:r>
        <w:rPr>
          <w:color w:val="231F20"/>
        </w:rPr>
        <w:t>dei diritti</w:t>
      </w:r>
      <w:r>
        <w:rPr>
          <w:color w:val="231F20"/>
          <w:spacing w:val="-12"/>
        </w:rPr>
        <w:t> </w:t>
      </w:r>
      <w:r>
        <w:rPr>
          <w:color w:val="231F20"/>
        </w:rPr>
        <w:t>fondamentali</w:t>
      </w:r>
      <w:r>
        <w:rPr>
          <w:color w:val="231F20"/>
          <w:spacing w:val="-12"/>
        </w:rPr>
        <w:t> </w:t>
      </w:r>
      <w:r>
        <w:rPr>
          <w:color w:val="231F20"/>
        </w:rPr>
        <w:t>quale</w:t>
      </w:r>
      <w:r>
        <w:rPr>
          <w:color w:val="231F20"/>
          <w:spacing w:val="-12"/>
        </w:rPr>
        <w:t> </w:t>
      </w:r>
      <w:r>
        <w:rPr>
          <w:color w:val="231F20"/>
        </w:rPr>
        <w:t>il</w:t>
      </w:r>
      <w:r>
        <w:rPr>
          <w:color w:val="231F20"/>
          <w:spacing w:val="-12"/>
        </w:rPr>
        <w:t> </w:t>
      </w:r>
      <w:r>
        <w:rPr>
          <w:color w:val="231F20"/>
        </w:rPr>
        <w:t>diritto</w:t>
      </w:r>
      <w:r>
        <w:rPr>
          <w:color w:val="231F20"/>
          <w:spacing w:val="-12"/>
        </w:rPr>
        <w:t> </w:t>
      </w:r>
      <w:r>
        <w:rPr>
          <w:color w:val="231F20"/>
        </w:rPr>
        <w:t>ad</w:t>
      </w:r>
      <w:r>
        <w:rPr>
          <w:color w:val="231F20"/>
          <w:spacing w:val="-12"/>
        </w:rPr>
        <w:t> </w:t>
      </w:r>
      <w:r>
        <w:rPr>
          <w:color w:val="231F20"/>
        </w:rPr>
        <w:t>un</w:t>
      </w:r>
      <w:r>
        <w:rPr>
          <w:color w:val="231F20"/>
          <w:spacing w:val="-12"/>
        </w:rPr>
        <w:t> </w:t>
      </w:r>
      <w:r>
        <w:rPr>
          <w:color w:val="231F20"/>
        </w:rPr>
        <w:t>ricorso</w:t>
      </w:r>
      <w:r>
        <w:rPr>
          <w:color w:val="231F20"/>
          <w:spacing w:val="-12"/>
        </w:rPr>
        <w:t> </w:t>
      </w:r>
      <w:r>
        <w:rPr>
          <w:color w:val="231F20"/>
        </w:rPr>
        <w:t>giurisdizionale</w:t>
      </w:r>
      <w:r>
        <w:rPr>
          <w:color w:val="231F20"/>
          <w:spacing w:val="-12"/>
        </w:rPr>
        <w:t> </w:t>
      </w:r>
      <w:r>
        <w:rPr>
          <w:color w:val="231F20"/>
        </w:rPr>
        <w:t>effettivo,</w:t>
      </w:r>
      <w:r>
        <w:rPr>
          <w:color w:val="231F20"/>
          <w:spacing w:val="-12"/>
        </w:rPr>
        <w:t> </w:t>
      </w:r>
      <w:r>
        <w:rPr>
          <w:color w:val="231F20"/>
        </w:rPr>
        <w:t>o di</w:t>
      </w:r>
      <w:r>
        <w:rPr>
          <w:color w:val="231F20"/>
          <w:spacing w:val="-5"/>
        </w:rPr>
        <w:t> </w:t>
      </w:r>
      <w:r>
        <w:rPr>
          <w:color w:val="231F20"/>
        </w:rPr>
        <w:t>un</w:t>
      </w:r>
      <w:r>
        <w:rPr>
          <w:color w:val="231F20"/>
          <w:spacing w:val="-5"/>
        </w:rPr>
        <w:t> </w:t>
      </w:r>
      <w:r>
        <w:rPr>
          <w:color w:val="231F20"/>
        </w:rPr>
        <w:t>principio</w:t>
      </w:r>
      <w:r>
        <w:rPr>
          <w:color w:val="231F20"/>
          <w:spacing w:val="-5"/>
        </w:rPr>
        <w:t> </w:t>
      </w:r>
      <w:r>
        <w:rPr>
          <w:color w:val="231F20"/>
        </w:rPr>
        <w:t>generale</w:t>
      </w:r>
      <w:r>
        <w:rPr>
          <w:color w:val="231F20"/>
          <w:spacing w:val="-5"/>
        </w:rPr>
        <w:t> </w:t>
      </w:r>
      <w:r>
        <w:rPr>
          <w:color w:val="231F20"/>
        </w:rPr>
        <w:t>di</w:t>
      </w:r>
      <w:r>
        <w:rPr>
          <w:color w:val="231F20"/>
          <w:spacing w:val="-5"/>
        </w:rPr>
        <w:t> </w:t>
      </w:r>
      <w:r>
        <w:rPr>
          <w:color w:val="231F20"/>
        </w:rPr>
        <w:t>diritto</w:t>
      </w:r>
      <w:r>
        <w:rPr>
          <w:color w:val="231F20"/>
          <w:spacing w:val="-5"/>
        </w:rPr>
        <w:t> </w:t>
      </w:r>
      <w:r>
        <w:rPr>
          <w:color w:val="231F20"/>
        </w:rPr>
        <w:t>tributario</w:t>
      </w:r>
      <w:r>
        <w:rPr>
          <w:color w:val="231F20"/>
          <w:spacing w:val="-5"/>
        </w:rPr>
        <w:t> </w:t>
      </w:r>
      <w:r>
        <w:rPr>
          <w:color w:val="231F20"/>
        </w:rPr>
        <w:t>dell’Unione</w:t>
      </w:r>
      <w:r>
        <w:rPr>
          <w:color w:val="231F20"/>
          <w:spacing w:val="-5"/>
        </w:rPr>
        <w:t> </w:t>
      </w:r>
      <w:r>
        <w:rPr>
          <w:color w:val="231F20"/>
        </w:rPr>
        <w:t>quale</w:t>
      </w:r>
      <w:r>
        <w:rPr>
          <w:color w:val="231F20"/>
          <w:spacing w:val="-5"/>
        </w:rPr>
        <w:t> </w:t>
      </w:r>
      <w:r>
        <w:rPr>
          <w:color w:val="231F20"/>
        </w:rPr>
        <w:t>il</w:t>
      </w:r>
      <w:r>
        <w:rPr>
          <w:color w:val="231F20"/>
          <w:spacing w:val="-5"/>
        </w:rPr>
        <w:t> </w:t>
      </w:r>
      <w:r>
        <w:rPr>
          <w:color w:val="231F20"/>
        </w:rPr>
        <w:t>diritto</w:t>
      </w:r>
      <w:r>
        <w:rPr>
          <w:color w:val="231F20"/>
          <w:spacing w:val="-5"/>
        </w:rPr>
        <w:t> </w:t>
      </w:r>
      <w:r>
        <w:rPr>
          <w:color w:val="231F20"/>
        </w:rPr>
        <w:t>ad un</w:t>
      </w:r>
      <w:r>
        <w:rPr>
          <w:color w:val="231F20"/>
          <w:spacing w:val="-15"/>
        </w:rPr>
        <w:t> </w:t>
      </w:r>
      <w:r>
        <w:rPr>
          <w:color w:val="231F20"/>
        </w:rPr>
        <w:t>unico</w:t>
      </w:r>
      <w:r>
        <w:rPr>
          <w:color w:val="231F20"/>
          <w:spacing w:val="-15"/>
        </w:rPr>
        <w:t> </w:t>
      </w:r>
      <w:r>
        <w:rPr>
          <w:color w:val="231F20"/>
        </w:rPr>
        <w:t>assoggettamento</w:t>
      </w:r>
      <w:r>
        <w:rPr>
          <w:color w:val="231F20"/>
          <w:spacing w:val="-15"/>
        </w:rPr>
        <w:t> </w:t>
      </w:r>
      <w:r>
        <w:rPr>
          <w:color w:val="231F20"/>
        </w:rPr>
        <w:t>ad</w:t>
      </w:r>
      <w:r>
        <w:rPr>
          <w:color w:val="231F20"/>
          <w:spacing w:val="-15"/>
        </w:rPr>
        <w:t> </w:t>
      </w:r>
      <w:r>
        <w:rPr>
          <w:color w:val="231F20"/>
        </w:rPr>
        <w:t>imposta</w:t>
      </w:r>
      <w:r>
        <w:rPr>
          <w:color w:val="231F20"/>
          <w:spacing w:val="-15"/>
        </w:rPr>
        <w:t> </w:t>
      </w:r>
      <w:r>
        <w:rPr>
          <w:color w:val="231F20"/>
        </w:rPr>
        <w:t>della</w:t>
      </w:r>
      <w:r>
        <w:rPr>
          <w:color w:val="231F20"/>
          <w:spacing w:val="-15"/>
        </w:rPr>
        <w:t> </w:t>
      </w:r>
      <w:r>
        <w:rPr>
          <w:color w:val="231F20"/>
        </w:rPr>
        <w:t>stessa</w:t>
      </w:r>
      <w:r>
        <w:rPr>
          <w:color w:val="231F20"/>
          <w:spacing w:val="-15"/>
        </w:rPr>
        <w:t> </w:t>
      </w:r>
      <w:r>
        <w:rPr>
          <w:color w:val="231F20"/>
        </w:rPr>
        <w:t>operazione</w:t>
      </w:r>
      <w:r>
        <w:rPr>
          <w:color w:val="231F20"/>
          <w:spacing w:val="-15"/>
        </w:rPr>
        <w:t> </w:t>
      </w:r>
      <w:r>
        <w:rPr>
          <w:color w:val="231F20"/>
        </w:rPr>
        <w:t>imponibile</w:t>
      </w:r>
      <w:r>
        <w:rPr>
          <w:color w:val="231F20"/>
          <w:spacing w:val="-15"/>
        </w:rPr>
        <w:t> </w:t>
      </w:r>
      <w:r>
        <w:rPr>
          <w:color w:val="231F20"/>
        </w:rPr>
        <w:t>da parte un solo Stato membro.</w:t>
      </w:r>
    </w:p>
    <w:p>
      <w:pPr>
        <w:pStyle w:val="BodyText"/>
      </w:pPr>
    </w:p>
    <w:p>
      <w:pPr>
        <w:pStyle w:val="BodyText"/>
        <w:spacing w:before="25"/>
      </w:pPr>
    </w:p>
    <w:p>
      <w:pPr>
        <w:pStyle w:val="Heading3"/>
        <w:numPr>
          <w:ilvl w:val="0"/>
          <w:numId w:val="4"/>
        </w:numPr>
        <w:tabs>
          <w:tab w:pos="382" w:val="left" w:leader="none"/>
        </w:tabs>
        <w:spacing w:line="240" w:lineRule="auto" w:before="0" w:after="0"/>
        <w:ind w:left="382" w:right="0" w:hanging="282"/>
        <w:jc w:val="left"/>
        <w:rPr>
          <w:b/>
        </w:rPr>
      </w:pPr>
      <w:r>
        <w:rPr>
          <w:b/>
          <w:color w:val="231F20"/>
        </w:rPr>
        <w:t>Considerazioni </w:t>
      </w:r>
      <w:r>
        <w:rPr>
          <w:b/>
          <w:color w:val="231F20"/>
          <w:spacing w:val="-2"/>
        </w:rPr>
        <w:t>conclusive</w:t>
      </w:r>
    </w:p>
    <w:p>
      <w:pPr>
        <w:pStyle w:val="ListParagraph"/>
        <w:numPr>
          <w:ilvl w:val="1"/>
          <w:numId w:val="4"/>
        </w:numPr>
        <w:tabs>
          <w:tab w:pos="526" w:val="left" w:leader="none"/>
        </w:tabs>
        <w:spacing w:line="244" w:lineRule="auto" w:before="250" w:after="0"/>
        <w:ind w:left="100" w:right="596" w:firstLine="0"/>
        <w:jc w:val="left"/>
        <w:rPr>
          <w:b/>
          <w:sz w:val="24"/>
        </w:rPr>
      </w:pPr>
      <w:r>
        <w:rPr>
          <w:b/>
          <w:color w:val="231F20"/>
          <w:sz w:val="24"/>
        </w:rPr>
        <w:t>Integrazione delle disposizioni delle direttive e dei regolamenti con</w:t>
      </w:r>
      <w:r>
        <w:rPr>
          <w:b/>
          <w:color w:val="231F20"/>
          <w:spacing w:val="-5"/>
          <w:sz w:val="24"/>
        </w:rPr>
        <w:t> </w:t>
      </w:r>
      <w:r>
        <w:rPr>
          <w:b/>
          <w:color w:val="231F20"/>
          <w:sz w:val="24"/>
        </w:rPr>
        <w:t>principi</w:t>
      </w:r>
      <w:r>
        <w:rPr>
          <w:b/>
          <w:color w:val="231F20"/>
          <w:spacing w:val="-5"/>
          <w:sz w:val="24"/>
        </w:rPr>
        <w:t> </w:t>
      </w:r>
      <w:r>
        <w:rPr>
          <w:b/>
          <w:color w:val="231F20"/>
          <w:sz w:val="24"/>
        </w:rPr>
        <w:t>dedotti</w:t>
      </w:r>
      <w:r>
        <w:rPr>
          <w:b/>
          <w:color w:val="231F20"/>
          <w:spacing w:val="-5"/>
          <w:sz w:val="24"/>
        </w:rPr>
        <w:t> </w:t>
      </w:r>
      <w:r>
        <w:rPr>
          <w:b/>
          <w:color w:val="231F20"/>
          <w:sz w:val="24"/>
        </w:rPr>
        <w:t>dalle</w:t>
      </w:r>
      <w:r>
        <w:rPr>
          <w:b/>
          <w:color w:val="231F20"/>
          <w:spacing w:val="-5"/>
          <w:sz w:val="24"/>
        </w:rPr>
        <w:t> </w:t>
      </w:r>
      <w:r>
        <w:rPr>
          <w:b/>
          <w:color w:val="231F20"/>
          <w:sz w:val="24"/>
        </w:rPr>
        <w:t>norme</w:t>
      </w:r>
      <w:r>
        <w:rPr>
          <w:b/>
          <w:color w:val="231F20"/>
          <w:spacing w:val="-5"/>
          <w:sz w:val="24"/>
        </w:rPr>
        <w:t> </w:t>
      </w:r>
      <w:r>
        <w:rPr>
          <w:b/>
          <w:color w:val="231F20"/>
          <w:sz w:val="24"/>
        </w:rPr>
        <w:t>della</w:t>
      </w:r>
      <w:r>
        <w:rPr>
          <w:b/>
          <w:color w:val="231F20"/>
          <w:spacing w:val="-5"/>
          <w:sz w:val="24"/>
        </w:rPr>
        <w:t> </w:t>
      </w:r>
      <w:r>
        <w:rPr>
          <w:b/>
          <w:color w:val="231F20"/>
          <w:sz w:val="24"/>
        </w:rPr>
        <w:t>Carta</w:t>
      </w:r>
      <w:r>
        <w:rPr>
          <w:b/>
          <w:color w:val="231F20"/>
          <w:spacing w:val="-5"/>
          <w:sz w:val="24"/>
        </w:rPr>
        <w:t> </w:t>
      </w:r>
      <w:r>
        <w:rPr>
          <w:b/>
          <w:color w:val="231F20"/>
          <w:sz w:val="24"/>
        </w:rPr>
        <w:t>dei</w:t>
      </w:r>
      <w:r>
        <w:rPr>
          <w:b/>
          <w:color w:val="231F20"/>
          <w:spacing w:val="-5"/>
          <w:sz w:val="24"/>
        </w:rPr>
        <w:t> </w:t>
      </w:r>
      <w:r>
        <w:rPr>
          <w:b/>
          <w:color w:val="231F20"/>
          <w:sz w:val="24"/>
        </w:rPr>
        <w:t>diritti</w:t>
      </w:r>
      <w:r>
        <w:rPr>
          <w:b/>
          <w:color w:val="231F20"/>
          <w:spacing w:val="-5"/>
          <w:sz w:val="24"/>
        </w:rPr>
        <w:t> </w:t>
      </w:r>
      <w:r>
        <w:rPr>
          <w:b/>
          <w:color w:val="231F20"/>
          <w:sz w:val="24"/>
        </w:rPr>
        <w:t>fondamentali</w:t>
      </w:r>
    </w:p>
    <w:p>
      <w:pPr>
        <w:pStyle w:val="BodyText"/>
        <w:spacing w:line="225" w:lineRule="auto" w:before="263"/>
        <w:ind w:left="100" w:right="174"/>
        <w:jc w:val="both"/>
      </w:pPr>
      <w:r>
        <w:rPr>
          <w:color w:val="231F20"/>
        </w:rPr>
        <w:t>L’impressione</w:t>
      </w:r>
      <w:r>
        <w:rPr>
          <w:color w:val="231F20"/>
          <w:spacing w:val="-6"/>
        </w:rPr>
        <w:t> </w:t>
      </w:r>
      <w:r>
        <w:rPr>
          <w:color w:val="231F20"/>
        </w:rPr>
        <w:t>complessiva</w:t>
      </w:r>
      <w:r>
        <w:rPr>
          <w:color w:val="231F20"/>
          <w:spacing w:val="-6"/>
        </w:rPr>
        <w:t> </w:t>
      </w:r>
      <w:r>
        <w:rPr>
          <w:color w:val="231F20"/>
        </w:rPr>
        <w:t>che</w:t>
      </w:r>
      <w:r>
        <w:rPr>
          <w:color w:val="231F20"/>
          <w:spacing w:val="-6"/>
        </w:rPr>
        <w:t> </w:t>
      </w:r>
      <w:r>
        <w:rPr>
          <w:color w:val="231F20"/>
        </w:rPr>
        <w:t>si</w:t>
      </w:r>
      <w:r>
        <w:rPr>
          <w:color w:val="231F20"/>
          <w:spacing w:val="-6"/>
        </w:rPr>
        <w:t> </w:t>
      </w:r>
      <w:r>
        <w:rPr>
          <w:color w:val="231F20"/>
        </w:rPr>
        <w:t>ricava</w:t>
      </w:r>
      <w:r>
        <w:rPr>
          <w:color w:val="231F20"/>
          <w:spacing w:val="-6"/>
        </w:rPr>
        <w:t> </w:t>
      </w:r>
      <w:r>
        <w:rPr>
          <w:color w:val="231F20"/>
        </w:rPr>
        <w:t>dall’analisi</w:t>
      </w:r>
      <w:r>
        <w:rPr>
          <w:color w:val="231F20"/>
          <w:spacing w:val="-6"/>
        </w:rPr>
        <w:t> </w:t>
      </w:r>
      <w:r>
        <w:rPr>
          <w:color w:val="231F20"/>
        </w:rPr>
        <w:t>delle</w:t>
      </w:r>
      <w:r>
        <w:rPr>
          <w:color w:val="231F20"/>
          <w:spacing w:val="-6"/>
        </w:rPr>
        <w:t> </w:t>
      </w:r>
      <w:r>
        <w:rPr>
          <w:color w:val="231F20"/>
        </w:rPr>
        <w:t>sentenze</w:t>
      </w:r>
      <w:r>
        <w:rPr>
          <w:color w:val="231F20"/>
          <w:spacing w:val="-6"/>
        </w:rPr>
        <w:t> </w:t>
      </w:r>
      <w:r>
        <w:rPr>
          <w:color w:val="231F20"/>
        </w:rPr>
        <w:t>aventi</w:t>
      </w:r>
      <w:r>
        <w:rPr>
          <w:color w:val="231F20"/>
          <w:spacing w:val="-6"/>
        </w:rPr>
        <w:t> </w:t>
      </w:r>
      <w:r>
        <w:rPr>
          <w:color w:val="231F20"/>
        </w:rPr>
        <w:t>ad oggetto l’interpretazione dei tre principali atti legislativi dell’Unione che disciplinano la cooperazione fra le amministrazioni finanziarie degli Stati membri, è che la Corte di giustizia ha dato ancora una volta prova di una straordinaria «creatività giurisprudenziale». Si può anzi ben affermare con dovizia</w:t>
      </w:r>
      <w:r>
        <w:rPr>
          <w:color w:val="231F20"/>
          <w:spacing w:val="-12"/>
        </w:rPr>
        <w:t> </w:t>
      </w:r>
      <w:r>
        <w:rPr>
          <w:color w:val="231F20"/>
        </w:rPr>
        <w:t>di</w:t>
      </w:r>
      <w:r>
        <w:rPr>
          <w:color w:val="231F20"/>
          <w:spacing w:val="-12"/>
        </w:rPr>
        <w:t> </w:t>
      </w:r>
      <w:r>
        <w:rPr>
          <w:color w:val="231F20"/>
        </w:rPr>
        <w:t>argomenti</w:t>
      </w:r>
      <w:r>
        <w:rPr>
          <w:color w:val="231F20"/>
          <w:spacing w:val="-12"/>
        </w:rPr>
        <w:t> </w:t>
      </w:r>
      <w:r>
        <w:rPr>
          <w:color w:val="231F20"/>
        </w:rPr>
        <w:t>alla</w:t>
      </w:r>
      <w:r>
        <w:rPr>
          <w:color w:val="231F20"/>
          <w:spacing w:val="-12"/>
        </w:rPr>
        <w:t> </w:t>
      </w:r>
      <w:r>
        <w:rPr>
          <w:color w:val="231F20"/>
        </w:rPr>
        <w:t>mano,</w:t>
      </w:r>
      <w:r>
        <w:rPr>
          <w:color w:val="231F20"/>
          <w:spacing w:val="-12"/>
        </w:rPr>
        <w:t> </w:t>
      </w:r>
      <w:r>
        <w:rPr>
          <w:color w:val="231F20"/>
        </w:rPr>
        <w:t>che</w:t>
      </w:r>
      <w:r>
        <w:rPr>
          <w:color w:val="231F20"/>
          <w:spacing w:val="-12"/>
        </w:rPr>
        <w:t> </w:t>
      </w:r>
      <w:r>
        <w:rPr>
          <w:color w:val="231F20"/>
        </w:rPr>
        <w:t>accanto</w:t>
      </w:r>
      <w:r>
        <w:rPr>
          <w:color w:val="231F20"/>
          <w:spacing w:val="-12"/>
        </w:rPr>
        <w:t> </w:t>
      </w:r>
      <w:r>
        <w:rPr>
          <w:color w:val="231F20"/>
        </w:rPr>
        <w:t>alle</w:t>
      </w:r>
      <w:r>
        <w:rPr>
          <w:color w:val="231F20"/>
          <w:spacing w:val="-12"/>
        </w:rPr>
        <w:t> </w:t>
      </w:r>
      <w:r>
        <w:rPr>
          <w:color w:val="231F20"/>
        </w:rPr>
        <w:t>norme</w:t>
      </w:r>
      <w:r>
        <w:rPr>
          <w:color w:val="231F20"/>
          <w:spacing w:val="-12"/>
        </w:rPr>
        <w:t> </w:t>
      </w:r>
      <w:r>
        <w:rPr>
          <w:color w:val="231F20"/>
        </w:rPr>
        <w:t>delle</w:t>
      </w:r>
      <w:r>
        <w:rPr>
          <w:color w:val="231F20"/>
          <w:spacing w:val="-12"/>
        </w:rPr>
        <w:t> </w:t>
      </w:r>
      <w:r>
        <w:rPr>
          <w:color w:val="231F20"/>
        </w:rPr>
        <w:t>due</w:t>
      </w:r>
      <w:r>
        <w:rPr>
          <w:color w:val="231F20"/>
          <w:spacing w:val="-12"/>
        </w:rPr>
        <w:t> </w:t>
      </w:r>
      <w:r>
        <w:rPr>
          <w:color w:val="231F20"/>
        </w:rPr>
        <w:t>direttive</w:t>
      </w:r>
      <w:r>
        <w:rPr>
          <w:color w:val="231F20"/>
          <w:spacing w:val="-12"/>
        </w:rPr>
        <w:t> </w:t>
      </w:r>
      <w:r>
        <w:rPr>
          <w:color w:val="231F20"/>
        </w:rPr>
        <w:t>e del regolamento oggetto delle pronunce sopra esaminate, esiste ormai una parallela serie di importanti regole create dalla Corte stessa nelle lunghe e dettagliate</w:t>
      </w:r>
      <w:r>
        <w:rPr>
          <w:color w:val="231F20"/>
          <w:spacing w:val="-15"/>
        </w:rPr>
        <w:t> </w:t>
      </w:r>
      <w:r>
        <w:rPr>
          <w:color w:val="231F20"/>
        </w:rPr>
        <w:t>motivazioni</w:t>
      </w:r>
      <w:r>
        <w:rPr>
          <w:color w:val="231F20"/>
          <w:spacing w:val="-15"/>
        </w:rPr>
        <w:t> </w:t>
      </w:r>
      <w:r>
        <w:rPr>
          <w:color w:val="231F20"/>
        </w:rPr>
        <w:t>delle</w:t>
      </w:r>
      <w:r>
        <w:rPr>
          <w:color w:val="231F20"/>
          <w:spacing w:val="-15"/>
        </w:rPr>
        <w:t> </w:t>
      </w:r>
      <w:r>
        <w:rPr>
          <w:color w:val="231F20"/>
        </w:rPr>
        <w:t>proprie</w:t>
      </w:r>
      <w:r>
        <w:rPr>
          <w:color w:val="231F20"/>
          <w:spacing w:val="-15"/>
        </w:rPr>
        <w:t> </w:t>
      </w:r>
      <w:r>
        <w:rPr>
          <w:color w:val="231F20"/>
        </w:rPr>
        <w:t>sentenze,</w:t>
      </w:r>
      <w:r>
        <w:rPr>
          <w:color w:val="231F20"/>
          <w:spacing w:val="-15"/>
        </w:rPr>
        <w:t> </w:t>
      </w:r>
      <w:r>
        <w:rPr>
          <w:color w:val="231F20"/>
        </w:rPr>
        <w:t>regole</w:t>
      </w:r>
      <w:r>
        <w:rPr>
          <w:color w:val="231F20"/>
          <w:spacing w:val="-15"/>
        </w:rPr>
        <w:t> </w:t>
      </w:r>
      <w:r>
        <w:rPr>
          <w:color w:val="231F20"/>
        </w:rPr>
        <w:t>che</w:t>
      </w:r>
      <w:r>
        <w:rPr>
          <w:color w:val="231F20"/>
          <w:spacing w:val="-15"/>
        </w:rPr>
        <w:t> </w:t>
      </w:r>
      <w:r>
        <w:rPr>
          <w:color w:val="231F20"/>
        </w:rPr>
        <w:t>hanno</w:t>
      </w:r>
      <w:r>
        <w:rPr>
          <w:color w:val="231F20"/>
          <w:spacing w:val="-15"/>
        </w:rPr>
        <w:t> </w:t>
      </w:r>
      <w:r>
        <w:rPr>
          <w:color w:val="231F20"/>
        </w:rPr>
        <w:t>largamente completato e talvolta modificato con forza cogente la disciplina adottata dal legislatore dell’Unione. Questo è stato reso possibile dalla sovrappo- sizione, operata dai giudici europei, delle norme di rango costituzionale della Carta dei diritti fondamentali, ed in particolare degli artt. 7 (diritto alla riservatezza delle comunicazioni) e 47 (diritto ad un ricorso giurisdi- zionale effettivo), rispetto alle disposizioni degli atti di legislazione secon- daria disciplinanti la cooperazione amministrativa nel settore tributario.</w:t>
      </w:r>
      <w:r>
        <w:rPr>
          <w:color w:val="231F20"/>
          <w:spacing w:val="80"/>
        </w:rPr>
        <w:t> </w:t>
      </w:r>
      <w:r>
        <w:rPr>
          <w:color w:val="231F20"/>
        </w:rPr>
        <w:t>Si può certamente affermare che tale opera di integrazione delle direttive</w:t>
      </w:r>
      <w:r>
        <w:rPr>
          <w:color w:val="231F20"/>
          <w:spacing w:val="80"/>
        </w:rPr>
        <w:t> </w:t>
      </w:r>
      <w:r>
        <w:rPr>
          <w:color w:val="231F20"/>
        </w:rPr>
        <w:t>e del regolamento attualmente vigenti in materia sia stata provvidenziale e assolutamente</w:t>
      </w:r>
      <w:r>
        <w:rPr>
          <w:color w:val="231F20"/>
          <w:spacing w:val="-17"/>
        </w:rPr>
        <w:t> </w:t>
      </w:r>
      <w:r>
        <w:rPr>
          <w:color w:val="231F20"/>
        </w:rPr>
        <w:t>giustificata</w:t>
      </w:r>
      <w:r>
        <w:rPr>
          <w:color w:val="231F20"/>
          <w:spacing w:val="-15"/>
        </w:rPr>
        <w:t> </w:t>
      </w:r>
      <w:r>
        <w:rPr>
          <w:color w:val="231F20"/>
        </w:rPr>
        <w:t>in</w:t>
      </w:r>
      <w:r>
        <w:rPr>
          <w:color w:val="231F20"/>
          <w:spacing w:val="-15"/>
        </w:rPr>
        <w:t> </w:t>
      </w:r>
      <w:r>
        <w:rPr>
          <w:color w:val="231F20"/>
        </w:rPr>
        <w:t>quanto</w:t>
      </w:r>
      <w:r>
        <w:rPr>
          <w:color w:val="231F20"/>
          <w:spacing w:val="-15"/>
        </w:rPr>
        <w:t> </w:t>
      </w:r>
      <w:r>
        <w:rPr>
          <w:color w:val="231F20"/>
        </w:rPr>
        <w:t>emerge</w:t>
      </w:r>
      <w:r>
        <w:rPr>
          <w:color w:val="231F20"/>
          <w:spacing w:val="-15"/>
        </w:rPr>
        <w:t> </w:t>
      </w:r>
      <w:r>
        <w:rPr>
          <w:color w:val="231F20"/>
        </w:rPr>
        <w:t>dai</w:t>
      </w:r>
      <w:r>
        <w:rPr>
          <w:color w:val="231F20"/>
          <w:spacing w:val="-15"/>
        </w:rPr>
        <w:t> </w:t>
      </w:r>
      <w:r>
        <w:rPr>
          <w:color w:val="231F20"/>
        </w:rPr>
        <w:t>processi</w:t>
      </w:r>
      <w:r>
        <w:rPr>
          <w:color w:val="231F20"/>
          <w:spacing w:val="-15"/>
        </w:rPr>
        <w:t> </w:t>
      </w:r>
      <w:r>
        <w:rPr>
          <w:i/>
          <w:color w:val="231F20"/>
        </w:rPr>
        <w:t>a</w:t>
      </w:r>
      <w:r>
        <w:rPr>
          <w:i/>
          <w:color w:val="231F20"/>
          <w:spacing w:val="-15"/>
        </w:rPr>
        <w:t> </w:t>
      </w:r>
      <w:r>
        <w:rPr>
          <w:i/>
          <w:color w:val="231F20"/>
        </w:rPr>
        <w:t>quo</w:t>
      </w:r>
      <w:r>
        <w:rPr>
          <w:i/>
          <w:color w:val="231F20"/>
          <w:spacing w:val="-15"/>
        </w:rPr>
        <w:t> </w:t>
      </w:r>
      <w:r>
        <w:rPr>
          <w:color w:val="231F20"/>
        </w:rPr>
        <w:t>portati</w:t>
      </w:r>
      <w:r>
        <w:rPr>
          <w:color w:val="231F20"/>
          <w:spacing w:val="-15"/>
        </w:rPr>
        <w:t> </w:t>
      </w:r>
      <w:r>
        <w:rPr>
          <w:color w:val="231F20"/>
        </w:rPr>
        <w:t>all’at- tenzione</w:t>
      </w:r>
      <w:r>
        <w:rPr>
          <w:color w:val="231F20"/>
          <w:spacing w:val="-7"/>
        </w:rPr>
        <w:t> </w:t>
      </w:r>
      <w:r>
        <w:rPr>
          <w:color w:val="231F20"/>
        </w:rPr>
        <w:t>della</w:t>
      </w:r>
      <w:r>
        <w:rPr>
          <w:color w:val="231F20"/>
          <w:spacing w:val="-7"/>
        </w:rPr>
        <w:t> </w:t>
      </w:r>
      <w:r>
        <w:rPr>
          <w:color w:val="231F20"/>
        </w:rPr>
        <w:t>Corte</w:t>
      </w:r>
      <w:r>
        <w:rPr>
          <w:color w:val="231F20"/>
          <w:spacing w:val="-7"/>
        </w:rPr>
        <w:t> </w:t>
      </w:r>
      <w:r>
        <w:rPr>
          <w:color w:val="231F20"/>
        </w:rPr>
        <w:t>grazie</w:t>
      </w:r>
      <w:r>
        <w:rPr>
          <w:color w:val="231F20"/>
          <w:spacing w:val="-7"/>
        </w:rPr>
        <w:t> </w:t>
      </w:r>
      <w:r>
        <w:rPr>
          <w:color w:val="231F20"/>
        </w:rPr>
        <w:t>alle</w:t>
      </w:r>
      <w:r>
        <w:rPr>
          <w:color w:val="231F20"/>
          <w:spacing w:val="-7"/>
        </w:rPr>
        <w:t> </w:t>
      </w:r>
      <w:r>
        <w:rPr>
          <w:color w:val="231F20"/>
        </w:rPr>
        <w:t>questioni</w:t>
      </w:r>
      <w:r>
        <w:rPr>
          <w:color w:val="231F20"/>
          <w:spacing w:val="-7"/>
        </w:rPr>
        <w:t> </w:t>
      </w:r>
      <w:r>
        <w:rPr>
          <w:color w:val="231F20"/>
        </w:rPr>
        <w:t>pregiudiziali</w:t>
      </w:r>
      <w:r>
        <w:rPr>
          <w:color w:val="231F20"/>
          <w:spacing w:val="-7"/>
        </w:rPr>
        <w:t> </w:t>
      </w:r>
      <w:r>
        <w:rPr>
          <w:color w:val="231F20"/>
        </w:rPr>
        <w:t>dei</w:t>
      </w:r>
      <w:r>
        <w:rPr>
          <w:color w:val="231F20"/>
          <w:spacing w:val="-7"/>
        </w:rPr>
        <w:t> </w:t>
      </w:r>
      <w:r>
        <w:rPr>
          <w:color w:val="231F20"/>
        </w:rPr>
        <w:t>giudici</w:t>
      </w:r>
      <w:r>
        <w:rPr>
          <w:color w:val="231F20"/>
          <w:spacing w:val="-7"/>
        </w:rPr>
        <w:t> </w:t>
      </w:r>
      <w:r>
        <w:rPr>
          <w:color w:val="231F20"/>
        </w:rPr>
        <w:t>di</w:t>
      </w:r>
      <w:r>
        <w:rPr>
          <w:color w:val="231F20"/>
          <w:spacing w:val="-7"/>
        </w:rPr>
        <w:t> </w:t>
      </w:r>
      <w:r>
        <w:rPr>
          <w:color w:val="231F20"/>
        </w:rPr>
        <w:t>rinvio, che</w:t>
      </w:r>
      <w:r>
        <w:rPr>
          <w:color w:val="231F20"/>
          <w:spacing w:val="-15"/>
        </w:rPr>
        <w:t> </w:t>
      </w:r>
      <w:r>
        <w:rPr>
          <w:color w:val="231F20"/>
        </w:rPr>
        <w:t>nel</w:t>
      </w:r>
      <w:r>
        <w:rPr>
          <w:color w:val="231F20"/>
          <w:spacing w:val="-15"/>
        </w:rPr>
        <w:t> </w:t>
      </w:r>
      <w:r>
        <w:rPr>
          <w:color w:val="231F20"/>
        </w:rPr>
        <w:t>disciplinare</w:t>
      </w:r>
      <w:r>
        <w:rPr>
          <w:color w:val="231F20"/>
          <w:spacing w:val="-15"/>
        </w:rPr>
        <w:t> </w:t>
      </w:r>
      <w:r>
        <w:rPr>
          <w:color w:val="231F20"/>
        </w:rPr>
        <w:t>la</w:t>
      </w:r>
      <w:r>
        <w:rPr>
          <w:color w:val="231F20"/>
          <w:spacing w:val="-15"/>
        </w:rPr>
        <w:t> </w:t>
      </w:r>
      <w:r>
        <w:rPr>
          <w:color w:val="231F20"/>
        </w:rPr>
        <w:t>cooperazione</w:t>
      </w:r>
      <w:r>
        <w:rPr>
          <w:color w:val="231F20"/>
          <w:spacing w:val="-15"/>
        </w:rPr>
        <w:t> </w:t>
      </w:r>
      <w:r>
        <w:rPr>
          <w:color w:val="231F20"/>
        </w:rPr>
        <w:t>fra</w:t>
      </w:r>
      <w:r>
        <w:rPr>
          <w:color w:val="231F20"/>
          <w:spacing w:val="-15"/>
        </w:rPr>
        <w:t> </w:t>
      </w:r>
      <w:r>
        <w:rPr>
          <w:color w:val="231F20"/>
        </w:rPr>
        <w:t>amministrazioni</w:t>
      </w:r>
      <w:r>
        <w:rPr>
          <w:color w:val="231F20"/>
          <w:spacing w:val="-15"/>
        </w:rPr>
        <w:t> </w:t>
      </w:r>
      <w:r>
        <w:rPr>
          <w:color w:val="231F20"/>
        </w:rPr>
        <w:t>tributarie</w:t>
      </w:r>
      <w:r>
        <w:rPr>
          <w:color w:val="231F20"/>
          <w:spacing w:val="-15"/>
        </w:rPr>
        <w:t> </w:t>
      </w:r>
      <w:r>
        <w:rPr>
          <w:color w:val="231F20"/>
        </w:rPr>
        <w:t>nazionali il legislatore tributario dell’Unione non ha affatto preso in considerazione l’esigenza</w:t>
      </w:r>
      <w:r>
        <w:rPr>
          <w:color w:val="231F20"/>
          <w:spacing w:val="-13"/>
        </w:rPr>
        <w:t> </w:t>
      </w:r>
      <w:r>
        <w:rPr>
          <w:color w:val="231F20"/>
        </w:rPr>
        <w:t>di</w:t>
      </w:r>
      <w:r>
        <w:rPr>
          <w:color w:val="231F20"/>
          <w:spacing w:val="-13"/>
        </w:rPr>
        <w:t> </w:t>
      </w:r>
      <w:r>
        <w:rPr>
          <w:color w:val="231F20"/>
        </w:rPr>
        <w:t>tutelare</w:t>
      </w:r>
      <w:r>
        <w:rPr>
          <w:color w:val="231F20"/>
          <w:spacing w:val="-13"/>
        </w:rPr>
        <w:t> </w:t>
      </w:r>
      <w:r>
        <w:rPr>
          <w:color w:val="231F20"/>
        </w:rPr>
        <w:t>anche</w:t>
      </w:r>
      <w:r>
        <w:rPr>
          <w:color w:val="231F20"/>
          <w:spacing w:val="-13"/>
        </w:rPr>
        <w:t> </w:t>
      </w:r>
      <w:r>
        <w:rPr>
          <w:color w:val="231F20"/>
        </w:rPr>
        <w:t>i</w:t>
      </w:r>
      <w:r>
        <w:rPr>
          <w:color w:val="231F20"/>
          <w:spacing w:val="-13"/>
        </w:rPr>
        <w:t> </w:t>
      </w:r>
      <w:r>
        <w:rPr>
          <w:color w:val="231F20"/>
        </w:rPr>
        <w:t>diritti</w:t>
      </w:r>
      <w:r>
        <w:rPr>
          <w:color w:val="231F20"/>
          <w:spacing w:val="-13"/>
        </w:rPr>
        <w:t> </w:t>
      </w:r>
      <w:r>
        <w:rPr>
          <w:color w:val="231F20"/>
        </w:rPr>
        <w:t>dei</w:t>
      </w:r>
      <w:r>
        <w:rPr>
          <w:color w:val="231F20"/>
          <w:spacing w:val="-13"/>
        </w:rPr>
        <w:t> </w:t>
      </w:r>
      <w:r>
        <w:rPr>
          <w:color w:val="231F20"/>
        </w:rPr>
        <w:t>soggetti</w:t>
      </w:r>
      <w:r>
        <w:rPr>
          <w:color w:val="231F20"/>
          <w:spacing w:val="-13"/>
        </w:rPr>
        <w:t> </w:t>
      </w:r>
      <w:r>
        <w:rPr>
          <w:color w:val="231F20"/>
        </w:rPr>
        <w:t>privati</w:t>
      </w:r>
      <w:r>
        <w:rPr>
          <w:color w:val="231F20"/>
          <w:spacing w:val="-13"/>
        </w:rPr>
        <w:t> </w:t>
      </w:r>
      <w:r>
        <w:rPr>
          <w:color w:val="231F20"/>
        </w:rPr>
        <w:t>coinvolti</w:t>
      </w:r>
      <w:r>
        <w:rPr>
          <w:color w:val="231F20"/>
          <w:spacing w:val="-13"/>
        </w:rPr>
        <w:t> </w:t>
      </w:r>
      <w:r>
        <w:rPr>
          <w:color w:val="231F20"/>
        </w:rPr>
        <w:t>nelle</w:t>
      </w:r>
      <w:r>
        <w:rPr>
          <w:color w:val="231F20"/>
          <w:spacing w:val="-13"/>
        </w:rPr>
        <w:t> </w:t>
      </w:r>
      <w:r>
        <w:rPr>
          <w:color w:val="231F20"/>
        </w:rPr>
        <w:t>proce- dure</w:t>
      </w:r>
      <w:r>
        <w:rPr>
          <w:color w:val="231F20"/>
          <w:spacing w:val="-6"/>
        </w:rPr>
        <w:t> </w:t>
      </w:r>
      <w:r>
        <w:rPr>
          <w:color w:val="231F20"/>
        </w:rPr>
        <w:t>di</w:t>
      </w:r>
      <w:r>
        <w:rPr>
          <w:color w:val="231F20"/>
          <w:spacing w:val="-6"/>
        </w:rPr>
        <w:t> </w:t>
      </w:r>
      <w:r>
        <w:rPr>
          <w:color w:val="231F20"/>
        </w:rPr>
        <w:t>scambio</w:t>
      </w:r>
      <w:r>
        <w:rPr>
          <w:color w:val="231F20"/>
          <w:spacing w:val="-6"/>
        </w:rPr>
        <w:t> </w:t>
      </w:r>
      <w:r>
        <w:rPr>
          <w:color w:val="231F20"/>
        </w:rPr>
        <w:t>di</w:t>
      </w:r>
      <w:r>
        <w:rPr>
          <w:color w:val="231F20"/>
          <w:spacing w:val="-6"/>
        </w:rPr>
        <w:t> </w:t>
      </w:r>
      <w:r>
        <w:rPr>
          <w:color w:val="231F20"/>
        </w:rPr>
        <w:t>informazioni</w:t>
      </w:r>
      <w:r>
        <w:rPr>
          <w:color w:val="231F20"/>
          <w:spacing w:val="-6"/>
        </w:rPr>
        <w:t> </w:t>
      </w:r>
      <w:r>
        <w:rPr>
          <w:color w:val="231F20"/>
        </w:rPr>
        <w:t>e</w:t>
      </w:r>
      <w:r>
        <w:rPr>
          <w:color w:val="231F20"/>
          <w:spacing w:val="-6"/>
        </w:rPr>
        <w:t> </w:t>
      </w:r>
      <w:r>
        <w:rPr>
          <w:color w:val="231F20"/>
        </w:rPr>
        <w:t>più</w:t>
      </w:r>
      <w:r>
        <w:rPr>
          <w:color w:val="231F20"/>
          <w:spacing w:val="-6"/>
        </w:rPr>
        <w:t> </w:t>
      </w:r>
      <w:r>
        <w:rPr>
          <w:color w:val="231F20"/>
        </w:rPr>
        <w:t>in</w:t>
      </w:r>
      <w:r>
        <w:rPr>
          <w:color w:val="231F20"/>
          <w:spacing w:val="-6"/>
        </w:rPr>
        <w:t> </w:t>
      </w:r>
      <w:r>
        <w:rPr>
          <w:color w:val="231F20"/>
        </w:rPr>
        <w:t>generale</w:t>
      </w:r>
      <w:r>
        <w:rPr>
          <w:color w:val="231F20"/>
          <w:spacing w:val="-6"/>
        </w:rPr>
        <w:t> </w:t>
      </w:r>
      <w:r>
        <w:rPr>
          <w:color w:val="231F20"/>
        </w:rPr>
        <w:t>l’esigenza</w:t>
      </w:r>
      <w:r>
        <w:rPr>
          <w:color w:val="231F20"/>
          <w:spacing w:val="-6"/>
        </w:rPr>
        <w:t> </w:t>
      </w:r>
      <w:r>
        <w:rPr>
          <w:color w:val="231F20"/>
        </w:rPr>
        <w:t>di</w:t>
      </w:r>
      <w:r>
        <w:rPr>
          <w:color w:val="231F20"/>
          <w:spacing w:val="-6"/>
        </w:rPr>
        <w:t> </w:t>
      </w:r>
      <w:r>
        <w:rPr>
          <w:color w:val="231F20"/>
        </w:rPr>
        <w:t>assoggettare tali procedure a regole chiare e dettagliate per quanto riguarda i limiti che le amministrazioni finanziarie nazionale devono rispettare.</w:t>
      </w:r>
    </w:p>
    <w:p>
      <w:pPr>
        <w:spacing w:after="0" w:line="225" w:lineRule="auto"/>
        <w:jc w:val="both"/>
        <w:sectPr>
          <w:pgSz w:w="9640" w:h="13610"/>
          <w:pgMar w:header="0" w:footer="625" w:top="1260" w:bottom="820" w:left="1260" w:right="1240"/>
        </w:sectPr>
      </w:pPr>
    </w:p>
    <w:p>
      <w:pPr>
        <w:pStyle w:val="BodyText"/>
        <w:spacing w:line="225" w:lineRule="auto" w:before="117"/>
        <w:ind w:left="157" w:right="117" w:firstLine="340"/>
        <w:jc w:val="both"/>
      </w:pPr>
      <w:r>
        <w:rPr/>
        <mc:AlternateContent>
          <mc:Choice Requires="wps">
            <w:drawing>
              <wp:anchor distT="0" distB="0" distL="0" distR="0" allowOverlap="1" layoutInCell="1" locked="0" behindDoc="0" simplePos="0" relativeHeight="15803904">
                <wp:simplePos x="0" y="0"/>
                <wp:positionH relativeFrom="page">
                  <wp:posOffset>5608609</wp:posOffset>
                </wp:positionH>
                <wp:positionV relativeFrom="page">
                  <wp:posOffset>2376001</wp:posOffset>
                </wp:positionV>
                <wp:extent cx="511809" cy="2412365"/>
                <wp:effectExtent l="0" t="0" r="0" b="0"/>
                <wp:wrapNone/>
                <wp:docPr id="235" name="Group 235"/>
                <wp:cNvGraphicFramePr>
                  <a:graphicFrameLocks/>
                </wp:cNvGraphicFramePr>
                <a:graphic>
                  <a:graphicData uri="http://schemas.microsoft.com/office/word/2010/wordprocessingGroup">
                    <wpg:wgp>
                      <wpg:cNvPr id="235" name="Group 235"/>
                      <wpg:cNvGrpSpPr/>
                      <wpg:grpSpPr>
                        <a:xfrm>
                          <a:off x="0" y="0"/>
                          <a:ext cx="511809" cy="2412365"/>
                          <a:chExt cx="511809" cy="2412365"/>
                        </a:xfrm>
                      </wpg:grpSpPr>
                      <wps:wsp>
                        <wps:cNvPr id="236" name="Graphic 236"/>
                        <wps:cNvSpPr/>
                        <wps:spPr>
                          <a:xfrm>
                            <a:off x="7393" y="3"/>
                            <a:ext cx="504190" cy="360045"/>
                          </a:xfrm>
                          <a:custGeom>
                            <a:avLst/>
                            <a:gdLst/>
                            <a:ahLst/>
                            <a:cxnLst/>
                            <a:rect l="l" t="t" r="r" b="b"/>
                            <a:pathLst>
                              <a:path w="504190" h="360045">
                                <a:moveTo>
                                  <a:pt x="503999" y="0"/>
                                </a:moveTo>
                                <a:lnTo>
                                  <a:pt x="0" y="0"/>
                                </a:lnTo>
                                <a:lnTo>
                                  <a:pt x="0" y="359994"/>
                                </a:lnTo>
                                <a:lnTo>
                                  <a:pt x="503999" y="359994"/>
                                </a:lnTo>
                                <a:lnTo>
                                  <a:pt x="503999" y="0"/>
                                </a:lnTo>
                                <a:close/>
                              </a:path>
                            </a:pathLst>
                          </a:custGeom>
                          <a:solidFill>
                            <a:srgbClr val="939598"/>
                          </a:solidFill>
                        </wps:spPr>
                        <wps:bodyPr wrap="square" lIns="0" tIns="0" rIns="0" bIns="0" rtlCol="0">
                          <a:prstTxWarp prst="textNoShape">
                            <a:avLst/>
                          </a:prstTxWarp>
                          <a:noAutofit/>
                        </wps:bodyPr>
                      </wps:wsp>
                      <wps:wsp>
                        <wps:cNvPr id="237" name="Graphic 237"/>
                        <wps:cNvSpPr/>
                        <wps:spPr>
                          <a:xfrm>
                            <a:off x="6350" y="0"/>
                            <a:ext cx="1270" cy="2412365"/>
                          </a:xfrm>
                          <a:custGeom>
                            <a:avLst/>
                            <a:gdLst/>
                            <a:ahLst/>
                            <a:cxnLst/>
                            <a:rect l="l" t="t" r="r" b="b"/>
                            <a:pathLst>
                              <a:path w="0" h="2412365">
                                <a:moveTo>
                                  <a:pt x="0" y="0"/>
                                </a:moveTo>
                                <a:lnTo>
                                  <a:pt x="0" y="2411996"/>
                                </a:lnTo>
                              </a:path>
                            </a:pathLst>
                          </a:custGeom>
                          <a:ln w="12700">
                            <a:solidFill>
                              <a:srgbClr val="939598"/>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441.622803pt;margin-top:187.0867pt;width:40.3pt;height:189.95pt;mso-position-horizontal-relative:page;mso-position-vertical-relative:page;z-index:15803904" id="docshapegroup195" coordorigin="8832,3742" coordsize="806,3799">
                <v:rect style="position:absolute;left:8844;top:3741;width:794;height:567" id="docshape196" filled="true" fillcolor="#939598" stroked="false">
                  <v:fill type="solid"/>
                </v:rect>
                <v:line style="position:absolute" from="8842,3742" to="8842,7540" stroked="true" strokeweight="1pt" strokecolor="#939598">
                  <v:stroke dashstyle="solid"/>
                </v:line>
                <w10:wrap type="none"/>
              </v:group>
            </w:pict>
          </mc:Fallback>
        </mc:AlternateContent>
      </w:r>
      <w:r>
        <w:rPr/>
        <mc:AlternateContent>
          <mc:Choice Requires="wps">
            <w:drawing>
              <wp:anchor distT="0" distB="0" distL="0" distR="0" allowOverlap="1" layoutInCell="1" locked="0" behindDoc="0" simplePos="0" relativeHeight="15804416">
                <wp:simplePos x="0" y="0"/>
                <wp:positionH relativeFrom="page">
                  <wp:posOffset>5635147</wp:posOffset>
                </wp:positionH>
                <wp:positionV relativeFrom="page">
                  <wp:posOffset>2795300</wp:posOffset>
                </wp:positionV>
                <wp:extent cx="299720" cy="1995805"/>
                <wp:effectExtent l="0" t="0" r="0" b="0"/>
                <wp:wrapNone/>
                <wp:docPr id="238" name="Textbox 238"/>
                <wp:cNvGraphicFramePr>
                  <a:graphicFrameLocks/>
                </wp:cNvGraphicFramePr>
                <a:graphic>
                  <a:graphicData uri="http://schemas.microsoft.com/office/word/2010/wordprocessingShape">
                    <wps:wsp>
                      <wps:cNvPr id="238" name="Textbox 238"/>
                      <wps:cNvSpPr txBox="1"/>
                      <wps:spPr>
                        <a:xfrm>
                          <a:off x="0" y="0"/>
                          <a:ext cx="299720" cy="1995805"/>
                        </a:xfrm>
                        <a:prstGeom prst="rect">
                          <a:avLst/>
                        </a:prstGeom>
                      </wps:spPr>
                      <wps:txbx>
                        <w:txbxContent>
                          <w:p>
                            <w:pPr>
                              <w:spacing w:before="20"/>
                              <w:ind w:left="20" w:right="0" w:firstLine="0"/>
                              <w:jc w:val="left"/>
                              <w:rPr>
                                <w:rFonts w:ascii="Minion Pro"/>
                                <w:sz w:val="32"/>
                              </w:rPr>
                            </w:pPr>
                            <w:r>
                              <w:rPr>
                                <w:rFonts w:ascii="Minion Pro"/>
                                <w:color w:val="231F20"/>
                                <w:sz w:val="32"/>
                              </w:rPr>
                              <w:t>Commented</w:t>
                            </w:r>
                            <w:r>
                              <w:rPr>
                                <w:rFonts w:ascii="Minion Pro"/>
                                <w:color w:val="231F20"/>
                                <w:spacing w:val="-10"/>
                                <w:sz w:val="32"/>
                              </w:rPr>
                              <w:t> </w:t>
                            </w:r>
                            <w:r>
                              <w:rPr>
                                <w:rFonts w:ascii="Minion Pro"/>
                                <w:color w:val="231F20"/>
                                <w:spacing w:val="-2"/>
                                <w:sz w:val="32"/>
                              </w:rPr>
                              <w:t>documents</w:t>
                            </w:r>
                          </w:p>
                        </w:txbxContent>
                      </wps:txbx>
                      <wps:bodyPr wrap="square" lIns="0" tIns="0" rIns="0" bIns="0" rtlCol="0" vert="vert">
                        <a:noAutofit/>
                      </wps:bodyPr>
                    </wps:wsp>
                  </a:graphicData>
                </a:graphic>
              </wp:anchor>
            </w:drawing>
          </mc:Choice>
          <mc:Fallback>
            <w:pict>
              <v:shape style="position:absolute;margin-left:443.712402pt;margin-top:220.102402pt;width:23.6pt;height:157.15pt;mso-position-horizontal-relative:page;mso-position-vertical-relative:page;z-index:15804416" type="#_x0000_t202" id="docshape197" filled="false" stroked="false">
                <v:textbox inset="0,0,0,0" style="layout-flow:vertical">
                  <w:txbxContent>
                    <w:p>
                      <w:pPr>
                        <w:spacing w:before="20"/>
                        <w:ind w:left="20" w:right="0" w:firstLine="0"/>
                        <w:jc w:val="left"/>
                        <w:rPr>
                          <w:rFonts w:ascii="Minion Pro"/>
                          <w:sz w:val="32"/>
                        </w:rPr>
                      </w:pPr>
                      <w:r>
                        <w:rPr>
                          <w:rFonts w:ascii="Minion Pro"/>
                          <w:color w:val="231F20"/>
                          <w:sz w:val="32"/>
                        </w:rPr>
                        <w:t>Commented</w:t>
                      </w:r>
                      <w:r>
                        <w:rPr>
                          <w:rFonts w:ascii="Minion Pro"/>
                          <w:color w:val="231F20"/>
                          <w:spacing w:val="-10"/>
                          <w:sz w:val="32"/>
                        </w:rPr>
                        <w:t> </w:t>
                      </w:r>
                      <w:r>
                        <w:rPr>
                          <w:rFonts w:ascii="Minion Pro"/>
                          <w:color w:val="231F20"/>
                          <w:spacing w:val="-2"/>
                          <w:sz w:val="32"/>
                        </w:rPr>
                        <w:t>documents</w:t>
                      </w:r>
                    </w:p>
                  </w:txbxContent>
                </v:textbox>
                <w10:wrap type="none"/>
              </v:shape>
            </w:pict>
          </mc:Fallback>
        </mc:AlternateContent>
      </w:r>
      <w:r>
        <w:rPr>
          <w:color w:val="231F20"/>
        </w:rPr>
        <w:t>Non vi è dubbio che il punto di partenza di tale meritoria opera di integrazione della legislazione dell’Unione riguardante la cooperazione </w:t>
      </w:r>
      <w:r>
        <w:rPr>
          <w:color w:val="231F20"/>
        </w:rPr>
        <w:t>fra amministrazioni</w:t>
      </w:r>
      <w:r>
        <w:rPr>
          <w:color w:val="231F20"/>
          <w:spacing w:val="-3"/>
        </w:rPr>
        <w:t> </w:t>
      </w:r>
      <w:r>
        <w:rPr>
          <w:color w:val="231F20"/>
        </w:rPr>
        <w:t>tributarie</w:t>
      </w:r>
      <w:r>
        <w:rPr>
          <w:color w:val="231F20"/>
          <w:spacing w:val="-3"/>
        </w:rPr>
        <w:t> </w:t>
      </w:r>
      <w:r>
        <w:rPr>
          <w:color w:val="231F20"/>
        </w:rPr>
        <w:t>sia</w:t>
      </w:r>
      <w:r>
        <w:rPr>
          <w:color w:val="231F20"/>
          <w:spacing w:val="-3"/>
        </w:rPr>
        <w:t> </w:t>
      </w:r>
      <w:r>
        <w:rPr>
          <w:color w:val="231F20"/>
        </w:rPr>
        <w:t>stata</w:t>
      </w:r>
      <w:r>
        <w:rPr>
          <w:color w:val="231F20"/>
          <w:spacing w:val="-3"/>
        </w:rPr>
        <w:t> </w:t>
      </w:r>
      <w:r>
        <w:rPr>
          <w:color w:val="231F20"/>
        </w:rPr>
        <w:t>l’affermazione,</w:t>
      </w:r>
      <w:r>
        <w:rPr>
          <w:color w:val="231F20"/>
          <w:spacing w:val="-3"/>
        </w:rPr>
        <w:t> </w:t>
      </w:r>
      <w:r>
        <w:rPr>
          <w:color w:val="231F20"/>
        </w:rPr>
        <w:t>contenuta</w:t>
      </w:r>
      <w:r>
        <w:rPr>
          <w:color w:val="231F20"/>
          <w:spacing w:val="-3"/>
        </w:rPr>
        <w:t> </w:t>
      </w:r>
      <w:r>
        <w:rPr>
          <w:color w:val="231F20"/>
        </w:rPr>
        <w:t>nella</w:t>
      </w:r>
      <w:r>
        <w:rPr>
          <w:color w:val="231F20"/>
          <w:spacing w:val="-3"/>
        </w:rPr>
        <w:t> </w:t>
      </w:r>
      <w:r>
        <w:rPr>
          <w:color w:val="231F20"/>
        </w:rPr>
        <w:t>senten- za</w:t>
      </w:r>
      <w:r>
        <w:rPr>
          <w:color w:val="231F20"/>
          <w:spacing w:val="-7"/>
        </w:rPr>
        <w:t> </w:t>
      </w:r>
      <w:r>
        <w:rPr>
          <w:i/>
          <w:color w:val="231F20"/>
        </w:rPr>
        <w:t>Berlioz</w:t>
      </w:r>
      <w:r>
        <w:rPr>
          <w:color w:val="231F20"/>
        </w:rPr>
        <w:t>,</w:t>
      </w:r>
      <w:r>
        <w:rPr>
          <w:color w:val="231F20"/>
          <w:spacing w:val="-7"/>
        </w:rPr>
        <w:t> </w:t>
      </w:r>
      <w:r>
        <w:rPr>
          <w:color w:val="231F20"/>
        </w:rPr>
        <w:t>della</w:t>
      </w:r>
      <w:r>
        <w:rPr>
          <w:color w:val="231F20"/>
          <w:spacing w:val="-7"/>
        </w:rPr>
        <w:t> </w:t>
      </w:r>
      <w:r>
        <w:rPr>
          <w:color w:val="231F20"/>
        </w:rPr>
        <w:t>piena</w:t>
      </w:r>
      <w:r>
        <w:rPr>
          <w:color w:val="231F20"/>
          <w:spacing w:val="-7"/>
        </w:rPr>
        <w:t> </w:t>
      </w:r>
      <w:r>
        <w:rPr>
          <w:color w:val="231F20"/>
        </w:rPr>
        <w:t>applicabilità</w:t>
      </w:r>
      <w:r>
        <w:rPr>
          <w:color w:val="231F20"/>
          <w:spacing w:val="-7"/>
        </w:rPr>
        <w:t> </w:t>
      </w:r>
      <w:r>
        <w:rPr>
          <w:color w:val="231F20"/>
        </w:rPr>
        <w:t>della</w:t>
      </w:r>
      <w:r>
        <w:rPr>
          <w:color w:val="231F20"/>
          <w:spacing w:val="-7"/>
        </w:rPr>
        <w:t> </w:t>
      </w:r>
      <w:r>
        <w:rPr>
          <w:color w:val="231F20"/>
        </w:rPr>
        <w:t>Carta</w:t>
      </w:r>
      <w:r>
        <w:rPr>
          <w:color w:val="231F20"/>
          <w:spacing w:val="-7"/>
        </w:rPr>
        <w:t> </w:t>
      </w:r>
      <w:r>
        <w:rPr>
          <w:color w:val="231F20"/>
        </w:rPr>
        <w:t>dei</w:t>
      </w:r>
      <w:r>
        <w:rPr>
          <w:color w:val="231F20"/>
          <w:spacing w:val="-7"/>
        </w:rPr>
        <w:t> </w:t>
      </w:r>
      <w:r>
        <w:rPr>
          <w:color w:val="231F20"/>
        </w:rPr>
        <w:t>diritti</w:t>
      </w:r>
      <w:r>
        <w:rPr>
          <w:color w:val="231F20"/>
          <w:spacing w:val="-7"/>
        </w:rPr>
        <w:t> </w:t>
      </w:r>
      <w:r>
        <w:rPr>
          <w:color w:val="231F20"/>
        </w:rPr>
        <w:t>fondamentali</w:t>
      </w:r>
      <w:r>
        <w:rPr>
          <w:color w:val="231F20"/>
          <w:spacing w:val="-7"/>
        </w:rPr>
        <w:t> </w:t>
      </w:r>
      <w:r>
        <w:rPr>
          <w:color w:val="231F20"/>
        </w:rPr>
        <w:t>non solo</w:t>
      </w:r>
      <w:r>
        <w:rPr>
          <w:color w:val="231F20"/>
          <w:spacing w:val="-8"/>
        </w:rPr>
        <w:t> </w:t>
      </w:r>
      <w:r>
        <w:rPr>
          <w:color w:val="231F20"/>
        </w:rPr>
        <w:t>agli</w:t>
      </w:r>
      <w:r>
        <w:rPr>
          <w:color w:val="231F20"/>
          <w:spacing w:val="-8"/>
        </w:rPr>
        <w:t> </w:t>
      </w:r>
      <w:r>
        <w:rPr>
          <w:color w:val="231F20"/>
        </w:rPr>
        <w:t>atti</w:t>
      </w:r>
      <w:r>
        <w:rPr>
          <w:color w:val="231F20"/>
          <w:spacing w:val="-8"/>
        </w:rPr>
        <w:t> </w:t>
      </w:r>
      <w:r>
        <w:rPr>
          <w:color w:val="231F20"/>
        </w:rPr>
        <w:t>legislativi</w:t>
      </w:r>
      <w:r>
        <w:rPr>
          <w:color w:val="231F20"/>
          <w:spacing w:val="-8"/>
        </w:rPr>
        <w:t> </w:t>
      </w:r>
      <w:r>
        <w:rPr>
          <w:color w:val="231F20"/>
        </w:rPr>
        <w:t>dell’Unione,</w:t>
      </w:r>
      <w:r>
        <w:rPr>
          <w:color w:val="231F20"/>
          <w:spacing w:val="-8"/>
        </w:rPr>
        <w:t> </w:t>
      </w:r>
      <w:r>
        <w:rPr>
          <w:color w:val="231F20"/>
        </w:rPr>
        <w:t>ma</w:t>
      </w:r>
      <w:r>
        <w:rPr>
          <w:color w:val="231F20"/>
          <w:spacing w:val="-8"/>
        </w:rPr>
        <w:t> </w:t>
      </w:r>
      <w:r>
        <w:rPr>
          <w:color w:val="231F20"/>
        </w:rPr>
        <w:t>anche</w:t>
      </w:r>
      <w:r>
        <w:rPr>
          <w:color w:val="231F20"/>
          <w:spacing w:val="-8"/>
        </w:rPr>
        <w:t> </w:t>
      </w:r>
      <w:r>
        <w:rPr>
          <w:color w:val="231F20"/>
        </w:rPr>
        <w:t>alle</w:t>
      </w:r>
      <w:r>
        <w:rPr>
          <w:color w:val="231F20"/>
          <w:spacing w:val="-8"/>
        </w:rPr>
        <w:t> </w:t>
      </w:r>
      <w:r>
        <w:rPr>
          <w:color w:val="231F20"/>
        </w:rPr>
        <w:t>legislazioni</w:t>
      </w:r>
      <w:r>
        <w:rPr>
          <w:color w:val="231F20"/>
          <w:spacing w:val="-8"/>
        </w:rPr>
        <w:t> </w:t>
      </w:r>
      <w:r>
        <w:rPr>
          <w:color w:val="231F20"/>
        </w:rPr>
        <w:t>di</w:t>
      </w:r>
      <w:r>
        <w:rPr>
          <w:color w:val="231F20"/>
          <w:spacing w:val="-8"/>
        </w:rPr>
        <w:t> </w:t>
      </w:r>
      <w:r>
        <w:rPr>
          <w:color w:val="231F20"/>
        </w:rPr>
        <w:t>attuazione che</w:t>
      </w:r>
      <w:r>
        <w:rPr>
          <w:color w:val="231F20"/>
          <w:spacing w:val="-4"/>
        </w:rPr>
        <w:t> </w:t>
      </w:r>
      <w:r>
        <w:rPr>
          <w:color w:val="231F20"/>
        </w:rPr>
        <w:t>in</w:t>
      </w:r>
      <w:r>
        <w:rPr>
          <w:color w:val="231F20"/>
          <w:spacing w:val="-4"/>
        </w:rPr>
        <w:t> </w:t>
      </w:r>
      <w:r>
        <w:rPr>
          <w:color w:val="231F20"/>
        </w:rPr>
        <w:t>ogni</w:t>
      </w:r>
      <w:r>
        <w:rPr>
          <w:color w:val="231F20"/>
          <w:spacing w:val="-4"/>
        </w:rPr>
        <w:t> </w:t>
      </w:r>
      <w:r>
        <w:rPr>
          <w:color w:val="231F20"/>
        </w:rPr>
        <w:t>Stato</w:t>
      </w:r>
      <w:r>
        <w:rPr>
          <w:color w:val="231F20"/>
          <w:spacing w:val="-4"/>
        </w:rPr>
        <w:t> </w:t>
      </w:r>
      <w:r>
        <w:rPr>
          <w:color w:val="231F20"/>
        </w:rPr>
        <w:t>membro</w:t>
      </w:r>
      <w:r>
        <w:rPr>
          <w:color w:val="231F20"/>
          <w:spacing w:val="-4"/>
        </w:rPr>
        <w:t> </w:t>
      </w:r>
      <w:r>
        <w:rPr>
          <w:color w:val="231F20"/>
        </w:rPr>
        <w:t>regolano</w:t>
      </w:r>
      <w:r>
        <w:rPr>
          <w:color w:val="231F20"/>
          <w:spacing w:val="-4"/>
        </w:rPr>
        <w:t> </w:t>
      </w:r>
      <w:r>
        <w:rPr>
          <w:color w:val="231F20"/>
        </w:rPr>
        <w:t>lo</w:t>
      </w:r>
      <w:r>
        <w:rPr>
          <w:color w:val="231F20"/>
          <w:spacing w:val="-4"/>
        </w:rPr>
        <w:t> </w:t>
      </w:r>
      <w:r>
        <w:rPr>
          <w:color w:val="231F20"/>
        </w:rPr>
        <w:t>scambio</w:t>
      </w:r>
      <w:r>
        <w:rPr>
          <w:color w:val="231F20"/>
          <w:spacing w:val="-4"/>
        </w:rPr>
        <w:t> </w:t>
      </w:r>
      <w:r>
        <w:rPr>
          <w:color w:val="231F20"/>
        </w:rPr>
        <w:t>di</w:t>
      </w:r>
      <w:r>
        <w:rPr>
          <w:color w:val="231F20"/>
          <w:spacing w:val="-4"/>
        </w:rPr>
        <w:t> </w:t>
      </w:r>
      <w:r>
        <w:rPr>
          <w:color w:val="231F20"/>
        </w:rPr>
        <w:t>informazioni</w:t>
      </w:r>
      <w:r>
        <w:rPr>
          <w:color w:val="231F20"/>
          <w:spacing w:val="-4"/>
        </w:rPr>
        <w:t> </w:t>
      </w:r>
      <w:r>
        <w:rPr>
          <w:color w:val="231F20"/>
        </w:rPr>
        <w:t>con</w:t>
      </w:r>
      <w:r>
        <w:rPr>
          <w:color w:val="231F20"/>
          <w:spacing w:val="-4"/>
        </w:rPr>
        <w:t> </w:t>
      </w:r>
      <w:r>
        <w:rPr>
          <w:color w:val="231F20"/>
        </w:rPr>
        <w:t>le</w:t>
      </w:r>
      <w:r>
        <w:rPr>
          <w:color w:val="231F20"/>
          <w:spacing w:val="-4"/>
        </w:rPr>
        <w:t> </w:t>
      </w:r>
      <w:r>
        <w:rPr>
          <w:color w:val="231F20"/>
        </w:rPr>
        <w:t>am- ministrazioni</w:t>
      </w:r>
      <w:r>
        <w:rPr>
          <w:color w:val="231F20"/>
          <w:spacing w:val="-4"/>
        </w:rPr>
        <w:t> </w:t>
      </w:r>
      <w:r>
        <w:rPr>
          <w:color w:val="231F20"/>
        </w:rPr>
        <w:t>finanziarie</w:t>
      </w:r>
      <w:r>
        <w:rPr>
          <w:color w:val="231F20"/>
          <w:spacing w:val="-4"/>
        </w:rPr>
        <w:t> </w:t>
      </w:r>
      <w:r>
        <w:rPr>
          <w:color w:val="231F20"/>
        </w:rPr>
        <w:t>di</w:t>
      </w:r>
      <w:r>
        <w:rPr>
          <w:color w:val="231F20"/>
          <w:spacing w:val="-4"/>
        </w:rPr>
        <w:t> </w:t>
      </w:r>
      <w:r>
        <w:rPr>
          <w:color w:val="231F20"/>
        </w:rPr>
        <w:t>altri</w:t>
      </w:r>
      <w:r>
        <w:rPr>
          <w:color w:val="231F20"/>
          <w:spacing w:val="-4"/>
        </w:rPr>
        <w:t> </w:t>
      </w:r>
      <w:r>
        <w:rPr>
          <w:color w:val="231F20"/>
        </w:rPr>
        <w:t>Stati</w:t>
      </w:r>
      <w:r>
        <w:rPr>
          <w:color w:val="231F20"/>
          <w:spacing w:val="-4"/>
        </w:rPr>
        <w:t> </w:t>
      </w:r>
      <w:r>
        <w:rPr>
          <w:color w:val="231F20"/>
        </w:rPr>
        <w:t>membri.</w:t>
      </w:r>
      <w:r>
        <w:rPr>
          <w:color w:val="231F20"/>
          <w:spacing w:val="-4"/>
        </w:rPr>
        <w:t> </w:t>
      </w:r>
      <w:r>
        <w:rPr>
          <w:color w:val="231F20"/>
        </w:rPr>
        <w:t>Da</w:t>
      </w:r>
      <w:r>
        <w:rPr>
          <w:color w:val="231F20"/>
          <w:spacing w:val="-4"/>
        </w:rPr>
        <w:t> </w:t>
      </w:r>
      <w:r>
        <w:rPr>
          <w:color w:val="231F20"/>
        </w:rPr>
        <w:t>questo</w:t>
      </w:r>
      <w:r>
        <w:rPr>
          <w:color w:val="231F20"/>
          <w:spacing w:val="-4"/>
        </w:rPr>
        <w:t> </w:t>
      </w:r>
      <w:r>
        <w:rPr>
          <w:color w:val="231F20"/>
        </w:rPr>
        <w:t>importantissimo principio</w:t>
      </w:r>
      <w:r>
        <w:rPr>
          <w:color w:val="231F20"/>
          <w:spacing w:val="-12"/>
        </w:rPr>
        <w:t> </w:t>
      </w:r>
      <w:r>
        <w:rPr>
          <w:color w:val="231F20"/>
        </w:rPr>
        <w:t>interpretativo</w:t>
      </w:r>
      <w:r>
        <w:rPr>
          <w:color w:val="231F20"/>
          <w:spacing w:val="-12"/>
        </w:rPr>
        <w:t> </w:t>
      </w:r>
      <w:r>
        <w:rPr>
          <w:color w:val="231F20"/>
        </w:rPr>
        <w:t>è</w:t>
      </w:r>
      <w:r>
        <w:rPr>
          <w:color w:val="231F20"/>
          <w:spacing w:val="-12"/>
        </w:rPr>
        <w:t> </w:t>
      </w:r>
      <w:r>
        <w:rPr>
          <w:color w:val="231F20"/>
        </w:rPr>
        <w:t>derivato</w:t>
      </w:r>
      <w:r>
        <w:rPr>
          <w:color w:val="231F20"/>
          <w:spacing w:val="-12"/>
        </w:rPr>
        <w:t> </w:t>
      </w:r>
      <w:r>
        <w:rPr>
          <w:color w:val="231F20"/>
        </w:rPr>
        <w:t>sia</w:t>
      </w:r>
      <w:r>
        <w:rPr>
          <w:color w:val="231F20"/>
          <w:spacing w:val="-12"/>
        </w:rPr>
        <w:t> </w:t>
      </w:r>
      <w:r>
        <w:rPr>
          <w:color w:val="231F20"/>
        </w:rPr>
        <w:t>il</w:t>
      </w:r>
      <w:r>
        <w:rPr>
          <w:color w:val="231F20"/>
          <w:spacing w:val="-12"/>
        </w:rPr>
        <w:t> </w:t>
      </w:r>
      <w:r>
        <w:rPr>
          <w:color w:val="231F20"/>
        </w:rPr>
        <w:t>diritto,</w:t>
      </w:r>
      <w:r>
        <w:rPr>
          <w:color w:val="231F20"/>
          <w:spacing w:val="-12"/>
        </w:rPr>
        <w:t> </w:t>
      </w:r>
      <w:r>
        <w:rPr>
          <w:color w:val="231F20"/>
        </w:rPr>
        <w:t>ex</w:t>
      </w:r>
      <w:r>
        <w:rPr>
          <w:color w:val="231F20"/>
          <w:spacing w:val="-12"/>
        </w:rPr>
        <w:t> </w:t>
      </w:r>
      <w:r>
        <w:rPr>
          <w:color w:val="231F20"/>
        </w:rPr>
        <w:t>art.</w:t>
      </w:r>
      <w:r>
        <w:rPr>
          <w:color w:val="231F20"/>
          <w:spacing w:val="-12"/>
        </w:rPr>
        <w:t> </w:t>
      </w:r>
      <w:r>
        <w:rPr>
          <w:color w:val="231F20"/>
        </w:rPr>
        <w:t>47</w:t>
      </w:r>
      <w:r>
        <w:rPr>
          <w:color w:val="231F20"/>
          <w:spacing w:val="-12"/>
        </w:rPr>
        <w:t> </w:t>
      </w:r>
      <w:r>
        <w:rPr>
          <w:color w:val="231F20"/>
        </w:rPr>
        <w:t>della</w:t>
      </w:r>
      <w:r>
        <w:rPr>
          <w:color w:val="231F20"/>
          <w:spacing w:val="-12"/>
        </w:rPr>
        <w:t> </w:t>
      </w:r>
      <w:r>
        <w:rPr>
          <w:color w:val="231F20"/>
        </w:rPr>
        <w:t>Carta</w:t>
      </w:r>
      <w:r>
        <w:rPr>
          <w:color w:val="231F20"/>
          <w:spacing w:val="-12"/>
        </w:rPr>
        <w:t> </w:t>
      </w:r>
      <w:r>
        <w:rPr>
          <w:color w:val="231F20"/>
        </w:rPr>
        <w:t>dei</w:t>
      </w:r>
      <w:r>
        <w:rPr>
          <w:color w:val="231F20"/>
          <w:spacing w:val="-12"/>
        </w:rPr>
        <w:t> </w:t>
      </w:r>
      <w:r>
        <w:rPr>
          <w:color w:val="231F20"/>
        </w:rPr>
        <w:t>di- ritti fondamentali, del detentore delle informazioni di impugnare l’atto di ingiunzione dell’autorità interpellata, sia l’individuazione del solo motivo di</w:t>
      </w:r>
      <w:r>
        <w:rPr>
          <w:color w:val="231F20"/>
          <w:spacing w:val="-4"/>
        </w:rPr>
        <w:t> </w:t>
      </w:r>
      <w:r>
        <w:rPr>
          <w:color w:val="231F20"/>
        </w:rPr>
        <w:t>ricorso</w:t>
      </w:r>
      <w:r>
        <w:rPr>
          <w:color w:val="231F20"/>
          <w:spacing w:val="-4"/>
        </w:rPr>
        <w:t> </w:t>
      </w:r>
      <w:r>
        <w:rPr>
          <w:color w:val="231F20"/>
        </w:rPr>
        <w:t>che</w:t>
      </w:r>
      <w:r>
        <w:rPr>
          <w:color w:val="231F20"/>
          <w:spacing w:val="-4"/>
        </w:rPr>
        <w:t> </w:t>
      </w:r>
      <w:r>
        <w:rPr>
          <w:color w:val="231F20"/>
        </w:rPr>
        <w:t>il</w:t>
      </w:r>
      <w:r>
        <w:rPr>
          <w:color w:val="231F20"/>
          <w:spacing w:val="-4"/>
        </w:rPr>
        <w:t> </w:t>
      </w:r>
      <w:r>
        <w:rPr>
          <w:color w:val="231F20"/>
        </w:rPr>
        <w:t>detentore</w:t>
      </w:r>
      <w:r>
        <w:rPr>
          <w:color w:val="231F20"/>
          <w:spacing w:val="-4"/>
        </w:rPr>
        <w:t> </w:t>
      </w:r>
      <w:r>
        <w:rPr>
          <w:color w:val="231F20"/>
        </w:rPr>
        <w:t>di</w:t>
      </w:r>
      <w:r>
        <w:rPr>
          <w:color w:val="231F20"/>
          <w:spacing w:val="-4"/>
        </w:rPr>
        <w:t> </w:t>
      </w:r>
      <w:r>
        <w:rPr>
          <w:color w:val="231F20"/>
        </w:rPr>
        <w:t>informazioni</w:t>
      </w:r>
      <w:r>
        <w:rPr>
          <w:color w:val="231F20"/>
          <w:spacing w:val="-4"/>
        </w:rPr>
        <w:t> </w:t>
      </w:r>
      <w:r>
        <w:rPr>
          <w:color w:val="231F20"/>
        </w:rPr>
        <w:t>può</w:t>
      </w:r>
      <w:r>
        <w:rPr>
          <w:color w:val="231F20"/>
          <w:spacing w:val="-4"/>
        </w:rPr>
        <w:t> </w:t>
      </w:r>
      <w:r>
        <w:rPr>
          <w:color w:val="231F20"/>
        </w:rPr>
        <w:t>invocare</w:t>
      </w:r>
      <w:r>
        <w:rPr>
          <w:color w:val="231F20"/>
          <w:spacing w:val="-4"/>
        </w:rPr>
        <w:t> </w:t>
      </w:r>
      <w:r>
        <w:rPr>
          <w:color w:val="231F20"/>
        </w:rPr>
        <w:t>dinanzi</w:t>
      </w:r>
      <w:r>
        <w:rPr>
          <w:color w:val="231F20"/>
          <w:spacing w:val="-4"/>
        </w:rPr>
        <w:t> </w:t>
      </w:r>
      <w:r>
        <w:rPr>
          <w:color w:val="231F20"/>
        </w:rPr>
        <w:t>al</w:t>
      </w:r>
      <w:r>
        <w:rPr>
          <w:color w:val="231F20"/>
          <w:spacing w:val="-4"/>
        </w:rPr>
        <w:t> </w:t>
      </w:r>
      <w:r>
        <w:rPr>
          <w:color w:val="231F20"/>
        </w:rPr>
        <w:t>giudice, vale a dire l’assenza di «prevedibile pertinenza» delle informazioni richie- ste</w:t>
      </w:r>
      <w:r>
        <w:rPr>
          <w:color w:val="231F20"/>
          <w:spacing w:val="-5"/>
        </w:rPr>
        <w:t> </w:t>
      </w:r>
      <w:r>
        <w:rPr>
          <w:color w:val="231F20"/>
        </w:rPr>
        <w:t>rispetto</w:t>
      </w:r>
      <w:r>
        <w:rPr>
          <w:color w:val="231F20"/>
          <w:spacing w:val="-5"/>
        </w:rPr>
        <w:t> </w:t>
      </w:r>
      <w:r>
        <w:rPr>
          <w:color w:val="231F20"/>
        </w:rPr>
        <w:t>alle</w:t>
      </w:r>
      <w:r>
        <w:rPr>
          <w:color w:val="231F20"/>
          <w:spacing w:val="-5"/>
        </w:rPr>
        <w:t> </w:t>
      </w:r>
      <w:r>
        <w:rPr>
          <w:color w:val="231F20"/>
        </w:rPr>
        <w:t>finalità</w:t>
      </w:r>
      <w:r>
        <w:rPr>
          <w:color w:val="231F20"/>
          <w:spacing w:val="-5"/>
        </w:rPr>
        <w:t> </w:t>
      </w:r>
      <w:r>
        <w:rPr>
          <w:color w:val="231F20"/>
        </w:rPr>
        <w:t>dell’accertamento</w:t>
      </w:r>
      <w:r>
        <w:rPr>
          <w:color w:val="231F20"/>
          <w:spacing w:val="-5"/>
        </w:rPr>
        <w:t> </w:t>
      </w:r>
      <w:r>
        <w:rPr>
          <w:color w:val="231F20"/>
        </w:rPr>
        <w:t>tributario</w:t>
      </w:r>
      <w:r>
        <w:rPr>
          <w:color w:val="231F20"/>
          <w:spacing w:val="-5"/>
        </w:rPr>
        <w:t> </w:t>
      </w:r>
      <w:r>
        <w:rPr>
          <w:color w:val="231F20"/>
        </w:rPr>
        <w:t>in</w:t>
      </w:r>
      <w:r>
        <w:rPr>
          <w:color w:val="231F20"/>
          <w:spacing w:val="-5"/>
        </w:rPr>
        <w:t> </w:t>
      </w:r>
      <w:r>
        <w:rPr>
          <w:color w:val="231F20"/>
        </w:rPr>
        <w:t>corso.</w:t>
      </w:r>
      <w:r>
        <w:rPr>
          <w:color w:val="231F20"/>
          <w:spacing w:val="-5"/>
        </w:rPr>
        <w:t> </w:t>
      </w:r>
      <w:r>
        <w:rPr>
          <w:color w:val="231F20"/>
        </w:rPr>
        <w:t>Dalla</w:t>
      </w:r>
      <w:r>
        <w:rPr>
          <w:color w:val="231F20"/>
          <w:spacing w:val="-5"/>
        </w:rPr>
        <w:t> </w:t>
      </w:r>
      <w:r>
        <w:rPr>
          <w:color w:val="231F20"/>
        </w:rPr>
        <w:t>propria definizione</w:t>
      </w:r>
      <w:r>
        <w:rPr>
          <w:color w:val="231F20"/>
          <w:spacing w:val="-10"/>
        </w:rPr>
        <w:t> </w:t>
      </w:r>
      <w:r>
        <w:rPr>
          <w:color w:val="231F20"/>
        </w:rPr>
        <w:t>di</w:t>
      </w:r>
      <w:r>
        <w:rPr>
          <w:color w:val="231F20"/>
          <w:spacing w:val="-10"/>
        </w:rPr>
        <w:t> </w:t>
      </w:r>
      <w:r>
        <w:rPr>
          <w:color w:val="231F20"/>
        </w:rPr>
        <w:t>«prevedibile</w:t>
      </w:r>
      <w:r>
        <w:rPr>
          <w:color w:val="231F20"/>
          <w:spacing w:val="-10"/>
        </w:rPr>
        <w:t> </w:t>
      </w:r>
      <w:r>
        <w:rPr>
          <w:color w:val="231F20"/>
        </w:rPr>
        <w:t>pertinenza»</w:t>
      </w:r>
      <w:r>
        <w:rPr>
          <w:color w:val="231F20"/>
          <w:spacing w:val="-10"/>
        </w:rPr>
        <w:t> </w:t>
      </w:r>
      <w:r>
        <w:rPr>
          <w:color w:val="231F20"/>
        </w:rPr>
        <w:t>delle</w:t>
      </w:r>
      <w:r>
        <w:rPr>
          <w:color w:val="231F20"/>
          <w:spacing w:val="-10"/>
        </w:rPr>
        <w:t> </w:t>
      </w:r>
      <w:r>
        <w:rPr>
          <w:color w:val="231F20"/>
        </w:rPr>
        <w:t>informazioni</w:t>
      </w:r>
      <w:r>
        <w:rPr>
          <w:color w:val="231F20"/>
          <w:spacing w:val="-10"/>
        </w:rPr>
        <w:t> </w:t>
      </w:r>
      <w:r>
        <w:rPr>
          <w:color w:val="231F20"/>
        </w:rPr>
        <w:t>richieste,</w:t>
      </w:r>
      <w:r>
        <w:rPr>
          <w:color w:val="231F20"/>
          <w:spacing w:val="-10"/>
        </w:rPr>
        <w:t> </w:t>
      </w:r>
      <w:r>
        <w:rPr>
          <w:color w:val="231F20"/>
        </w:rPr>
        <w:t>la</w:t>
      </w:r>
      <w:r>
        <w:rPr>
          <w:color w:val="231F20"/>
          <w:spacing w:val="-10"/>
        </w:rPr>
        <w:t> </w:t>
      </w:r>
      <w:r>
        <w:rPr>
          <w:color w:val="231F20"/>
        </w:rPr>
        <w:t>Cor- te ha poi esteso la sua opera integratrice delle norme della direttiva (UE) 2011/16</w:t>
      </w:r>
      <w:r>
        <w:rPr>
          <w:color w:val="231F20"/>
          <w:spacing w:val="-13"/>
        </w:rPr>
        <w:t> </w:t>
      </w:r>
      <w:r>
        <w:rPr>
          <w:color w:val="231F20"/>
        </w:rPr>
        <w:t>all’individuazione</w:t>
      </w:r>
      <w:r>
        <w:rPr>
          <w:color w:val="231F20"/>
          <w:spacing w:val="-13"/>
        </w:rPr>
        <w:t> </w:t>
      </w:r>
      <w:r>
        <w:rPr>
          <w:color w:val="231F20"/>
        </w:rPr>
        <w:t>dei</w:t>
      </w:r>
      <w:r>
        <w:rPr>
          <w:color w:val="231F20"/>
          <w:spacing w:val="-13"/>
        </w:rPr>
        <w:t> </w:t>
      </w:r>
      <w:r>
        <w:rPr>
          <w:color w:val="231F20"/>
        </w:rPr>
        <w:t>poteri</w:t>
      </w:r>
      <w:r>
        <w:rPr>
          <w:color w:val="231F20"/>
          <w:spacing w:val="-13"/>
        </w:rPr>
        <w:t> </w:t>
      </w:r>
      <w:r>
        <w:rPr>
          <w:color w:val="231F20"/>
        </w:rPr>
        <w:t>di</w:t>
      </w:r>
      <w:r>
        <w:rPr>
          <w:color w:val="231F20"/>
          <w:spacing w:val="-13"/>
        </w:rPr>
        <w:t> </w:t>
      </w:r>
      <w:r>
        <w:rPr>
          <w:color w:val="231F20"/>
        </w:rPr>
        <w:t>verifica</w:t>
      </w:r>
      <w:r>
        <w:rPr>
          <w:color w:val="231F20"/>
          <w:spacing w:val="-13"/>
        </w:rPr>
        <w:t> </w:t>
      </w:r>
      <w:r>
        <w:rPr>
          <w:color w:val="231F20"/>
        </w:rPr>
        <w:t>di</w:t>
      </w:r>
      <w:r>
        <w:rPr>
          <w:color w:val="231F20"/>
          <w:spacing w:val="-13"/>
        </w:rPr>
        <w:t> </w:t>
      </w:r>
      <w:r>
        <w:rPr>
          <w:color w:val="231F20"/>
        </w:rPr>
        <w:t>tale</w:t>
      </w:r>
      <w:r>
        <w:rPr>
          <w:color w:val="231F20"/>
          <w:spacing w:val="-13"/>
        </w:rPr>
        <w:t> </w:t>
      </w:r>
      <w:r>
        <w:rPr>
          <w:color w:val="231F20"/>
        </w:rPr>
        <w:t>condizione</w:t>
      </w:r>
      <w:r>
        <w:rPr>
          <w:color w:val="231F20"/>
          <w:spacing w:val="-13"/>
        </w:rPr>
        <w:t> </w:t>
      </w:r>
      <w:r>
        <w:rPr>
          <w:color w:val="231F20"/>
        </w:rPr>
        <w:t>tassativa della</w:t>
      </w:r>
      <w:r>
        <w:rPr>
          <w:color w:val="231F20"/>
          <w:spacing w:val="-8"/>
        </w:rPr>
        <w:t> </w:t>
      </w:r>
      <w:r>
        <w:rPr>
          <w:color w:val="231F20"/>
        </w:rPr>
        <w:t>legittimità</w:t>
      </w:r>
      <w:r>
        <w:rPr>
          <w:color w:val="231F20"/>
          <w:spacing w:val="-8"/>
        </w:rPr>
        <w:t> </w:t>
      </w:r>
      <w:r>
        <w:rPr>
          <w:color w:val="231F20"/>
        </w:rPr>
        <w:t>della</w:t>
      </w:r>
      <w:r>
        <w:rPr>
          <w:color w:val="231F20"/>
          <w:spacing w:val="-8"/>
        </w:rPr>
        <w:t> </w:t>
      </w:r>
      <w:r>
        <w:rPr>
          <w:color w:val="231F20"/>
        </w:rPr>
        <w:t>richiesta</w:t>
      </w:r>
      <w:r>
        <w:rPr>
          <w:color w:val="231F20"/>
          <w:spacing w:val="-8"/>
        </w:rPr>
        <w:t> </w:t>
      </w:r>
      <w:r>
        <w:rPr>
          <w:color w:val="231F20"/>
        </w:rPr>
        <w:t>di</w:t>
      </w:r>
      <w:r>
        <w:rPr>
          <w:color w:val="231F20"/>
          <w:spacing w:val="-8"/>
        </w:rPr>
        <w:t> </w:t>
      </w:r>
      <w:r>
        <w:rPr>
          <w:color w:val="231F20"/>
        </w:rPr>
        <w:t>informazioni,</w:t>
      </w:r>
      <w:r>
        <w:rPr>
          <w:color w:val="231F20"/>
          <w:spacing w:val="-8"/>
        </w:rPr>
        <w:t> </w:t>
      </w:r>
      <w:r>
        <w:rPr>
          <w:color w:val="231F20"/>
        </w:rPr>
        <w:t>che</w:t>
      </w:r>
      <w:r>
        <w:rPr>
          <w:color w:val="231F20"/>
          <w:spacing w:val="-8"/>
        </w:rPr>
        <w:t> </w:t>
      </w:r>
      <w:r>
        <w:rPr>
          <w:color w:val="231F20"/>
        </w:rPr>
        <w:t>spettano</w:t>
      </w:r>
      <w:r>
        <w:rPr>
          <w:color w:val="231F20"/>
          <w:spacing w:val="-8"/>
        </w:rPr>
        <w:t> </w:t>
      </w:r>
      <w:r>
        <w:rPr>
          <w:color w:val="231F20"/>
        </w:rPr>
        <w:t>sia</w:t>
      </w:r>
      <w:r>
        <w:rPr>
          <w:color w:val="231F20"/>
          <w:spacing w:val="-8"/>
        </w:rPr>
        <w:t> </w:t>
      </w:r>
      <w:r>
        <w:rPr>
          <w:color w:val="231F20"/>
        </w:rPr>
        <w:t>all’autorità tributaria adita dall’autorità richiedente, che al giudice adito con il ricorso del</w:t>
      </w:r>
      <w:r>
        <w:rPr>
          <w:color w:val="231F20"/>
          <w:spacing w:val="-1"/>
        </w:rPr>
        <w:t> </w:t>
      </w:r>
      <w:r>
        <w:rPr>
          <w:color w:val="231F20"/>
        </w:rPr>
        <w:t>detentore</w:t>
      </w:r>
      <w:r>
        <w:rPr>
          <w:color w:val="231F20"/>
          <w:spacing w:val="-1"/>
        </w:rPr>
        <w:t> </w:t>
      </w:r>
      <w:r>
        <w:rPr>
          <w:color w:val="231F20"/>
        </w:rPr>
        <w:t>delle</w:t>
      </w:r>
      <w:r>
        <w:rPr>
          <w:color w:val="231F20"/>
          <w:spacing w:val="-1"/>
        </w:rPr>
        <w:t> </w:t>
      </w:r>
      <w:r>
        <w:rPr>
          <w:color w:val="231F20"/>
        </w:rPr>
        <w:t>informazioni.</w:t>
      </w:r>
      <w:r>
        <w:rPr>
          <w:color w:val="231F20"/>
          <w:spacing w:val="-1"/>
        </w:rPr>
        <w:t> </w:t>
      </w:r>
      <w:r>
        <w:rPr>
          <w:color w:val="231F20"/>
        </w:rPr>
        <w:t>Poteri</w:t>
      </w:r>
      <w:r>
        <w:rPr>
          <w:color w:val="231F20"/>
          <w:spacing w:val="-1"/>
        </w:rPr>
        <w:t> </w:t>
      </w:r>
      <w:r>
        <w:rPr>
          <w:color w:val="231F20"/>
        </w:rPr>
        <w:t>di</w:t>
      </w:r>
      <w:r>
        <w:rPr>
          <w:color w:val="231F20"/>
          <w:spacing w:val="-1"/>
        </w:rPr>
        <w:t> </w:t>
      </w:r>
      <w:r>
        <w:rPr>
          <w:color w:val="231F20"/>
        </w:rPr>
        <w:t>verifica</w:t>
      </w:r>
      <w:r>
        <w:rPr>
          <w:color w:val="231F20"/>
          <w:spacing w:val="-1"/>
        </w:rPr>
        <w:t> </w:t>
      </w:r>
      <w:r>
        <w:rPr>
          <w:color w:val="231F20"/>
        </w:rPr>
        <w:t>ulteriormente</w:t>
      </w:r>
      <w:r>
        <w:rPr>
          <w:color w:val="231F20"/>
          <w:spacing w:val="-1"/>
        </w:rPr>
        <w:t> </w:t>
      </w:r>
      <w:r>
        <w:rPr>
          <w:color w:val="231F20"/>
        </w:rPr>
        <w:t>rafforzati con la definizione del livello di precisione delle informazioni che possono essere validamente richieste, sia dall’autorità richiedente all’autorità inter- pellata,</w:t>
      </w:r>
      <w:r>
        <w:rPr>
          <w:color w:val="231F20"/>
          <w:spacing w:val="-4"/>
        </w:rPr>
        <w:t> </w:t>
      </w:r>
      <w:r>
        <w:rPr>
          <w:color w:val="231F20"/>
        </w:rPr>
        <w:t>sia</w:t>
      </w:r>
      <w:r>
        <w:rPr>
          <w:color w:val="231F20"/>
          <w:spacing w:val="-4"/>
        </w:rPr>
        <w:t> </w:t>
      </w:r>
      <w:r>
        <w:rPr>
          <w:color w:val="231F20"/>
        </w:rPr>
        <w:t>dall’autorità</w:t>
      </w:r>
      <w:r>
        <w:rPr>
          <w:color w:val="231F20"/>
          <w:spacing w:val="-4"/>
        </w:rPr>
        <w:t> </w:t>
      </w:r>
      <w:r>
        <w:rPr>
          <w:color w:val="231F20"/>
        </w:rPr>
        <w:t>interpellata</w:t>
      </w:r>
      <w:r>
        <w:rPr>
          <w:color w:val="231F20"/>
          <w:spacing w:val="-4"/>
        </w:rPr>
        <w:t> </w:t>
      </w:r>
      <w:r>
        <w:rPr>
          <w:color w:val="231F20"/>
        </w:rPr>
        <w:t>al</w:t>
      </w:r>
      <w:r>
        <w:rPr>
          <w:color w:val="231F20"/>
          <w:spacing w:val="-4"/>
        </w:rPr>
        <w:t> </w:t>
      </w:r>
      <w:r>
        <w:rPr>
          <w:color w:val="231F20"/>
        </w:rPr>
        <w:t>soggetto</w:t>
      </w:r>
      <w:r>
        <w:rPr>
          <w:color w:val="231F20"/>
          <w:spacing w:val="-4"/>
        </w:rPr>
        <w:t> </w:t>
      </w:r>
      <w:r>
        <w:rPr>
          <w:color w:val="231F20"/>
        </w:rPr>
        <w:t>detentore</w:t>
      </w:r>
      <w:r>
        <w:rPr>
          <w:color w:val="231F20"/>
          <w:spacing w:val="-4"/>
        </w:rPr>
        <w:t> </w:t>
      </w:r>
      <w:r>
        <w:rPr>
          <w:color w:val="231F20"/>
        </w:rPr>
        <w:t>delle</w:t>
      </w:r>
      <w:r>
        <w:rPr>
          <w:color w:val="231F20"/>
          <w:spacing w:val="-4"/>
        </w:rPr>
        <w:t> </w:t>
      </w:r>
      <w:r>
        <w:rPr>
          <w:color w:val="231F20"/>
        </w:rPr>
        <w:t>informazio- ni. Questa meritoria opera di integrazione degli atti legislativi europei in materia di scambio di informazioni presenta tuttavia una grave debolezza propria a tutte le costruzioni giurisprudenziali: la sua scarsa accessibilità</w:t>
      </w:r>
      <w:r>
        <w:rPr>
          <w:color w:val="231F20"/>
          <w:spacing w:val="40"/>
        </w:rPr>
        <w:t> </w:t>
      </w:r>
      <w:r>
        <w:rPr>
          <w:color w:val="231F20"/>
        </w:rPr>
        <w:t>da parte dei soggetti interessati a far valere i principi enunciati in tali sen- tenze, che presentano peraltro quasi tutte una struttura e una motivazione estremamente</w:t>
      </w:r>
      <w:r>
        <w:rPr>
          <w:color w:val="231F20"/>
          <w:spacing w:val="-8"/>
        </w:rPr>
        <w:t> </w:t>
      </w:r>
      <w:r>
        <w:rPr>
          <w:color w:val="231F20"/>
        </w:rPr>
        <w:t>complesse.</w:t>
      </w:r>
      <w:r>
        <w:rPr>
          <w:color w:val="231F20"/>
          <w:spacing w:val="-8"/>
        </w:rPr>
        <w:t> </w:t>
      </w:r>
      <w:r>
        <w:rPr>
          <w:color w:val="231F20"/>
        </w:rPr>
        <w:t>È</w:t>
      </w:r>
      <w:r>
        <w:rPr>
          <w:color w:val="231F20"/>
          <w:spacing w:val="-8"/>
        </w:rPr>
        <w:t> </w:t>
      </w:r>
      <w:r>
        <w:rPr>
          <w:color w:val="231F20"/>
        </w:rPr>
        <w:t>quindi</w:t>
      </w:r>
      <w:r>
        <w:rPr>
          <w:color w:val="231F20"/>
          <w:spacing w:val="-8"/>
        </w:rPr>
        <w:t> </w:t>
      </w:r>
      <w:r>
        <w:rPr>
          <w:color w:val="231F20"/>
        </w:rPr>
        <w:t>necessario</w:t>
      </w:r>
      <w:r>
        <w:rPr>
          <w:color w:val="231F20"/>
          <w:spacing w:val="-8"/>
        </w:rPr>
        <w:t> </w:t>
      </w:r>
      <w:r>
        <w:rPr>
          <w:color w:val="231F20"/>
        </w:rPr>
        <w:t>che</w:t>
      </w:r>
      <w:r>
        <w:rPr>
          <w:color w:val="231F20"/>
          <w:spacing w:val="-8"/>
        </w:rPr>
        <w:t> </w:t>
      </w:r>
      <w:r>
        <w:rPr>
          <w:color w:val="231F20"/>
        </w:rPr>
        <w:t>il</w:t>
      </w:r>
      <w:r>
        <w:rPr>
          <w:color w:val="231F20"/>
          <w:spacing w:val="-8"/>
        </w:rPr>
        <w:t> </w:t>
      </w:r>
      <w:r>
        <w:rPr>
          <w:color w:val="231F20"/>
        </w:rPr>
        <w:t>legislatore</w:t>
      </w:r>
      <w:r>
        <w:rPr>
          <w:color w:val="231F20"/>
          <w:spacing w:val="-8"/>
        </w:rPr>
        <w:t> </w:t>
      </w:r>
      <w:r>
        <w:rPr>
          <w:color w:val="231F20"/>
        </w:rPr>
        <w:t>dell’Unione completi a sua volta l’opera integratrice della Corte di giustizia trasponen- do in norme legislative facilmente accessibili ai soggetti privati i principi interpretativi</w:t>
      </w:r>
      <w:r>
        <w:rPr>
          <w:color w:val="231F20"/>
          <w:spacing w:val="-6"/>
        </w:rPr>
        <w:t> </w:t>
      </w:r>
      <w:r>
        <w:rPr>
          <w:color w:val="231F20"/>
        </w:rPr>
        <w:t>elaborati</w:t>
      </w:r>
      <w:r>
        <w:rPr>
          <w:color w:val="231F20"/>
          <w:spacing w:val="-6"/>
        </w:rPr>
        <w:t> </w:t>
      </w:r>
      <w:r>
        <w:rPr>
          <w:color w:val="231F20"/>
        </w:rPr>
        <w:t>dai</w:t>
      </w:r>
      <w:r>
        <w:rPr>
          <w:color w:val="231F20"/>
          <w:spacing w:val="-6"/>
        </w:rPr>
        <w:t> </w:t>
      </w:r>
      <w:r>
        <w:rPr>
          <w:color w:val="231F20"/>
        </w:rPr>
        <w:t>giudici</w:t>
      </w:r>
      <w:r>
        <w:rPr>
          <w:color w:val="231F20"/>
          <w:spacing w:val="-6"/>
        </w:rPr>
        <w:t> </w:t>
      </w:r>
      <w:r>
        <w:rPr>
          <w:color w:val="231F20"/>
        </w:rPr>
        <w:t>dell’Unione</w:t>
      </w:r>
      <w:r>
        <w:rPr>
          <w:color w:val="231F20"/>
          <w:position w:val="8"/>
          <w:sz w:val="14"/>
        </w:rPr>
        <w:t>166</w:t>
      </w:r>
      <w:r>
        <w:rPr>
          <w:color w:val="231F20"/>
        </w:rPr>
        <w:t>.</w:t>
      </w:r>
      <w:r>
        <w:rPr>
          <w:color w:val="231F20"/>
          <w:spacing w:val="-6"/>
        </w:rPr>
        <w:t> </w:t>
      </w:r>
      <w:r>
        <w:rPr>
          <w:color w:val="231F20"/>
        </w:rPr>
        <w:t>Da</w:t>
      </w:r>
      <w:r>
        <w:rPr>
          <w:color w:val="231F20"/>
          <w:spacing w:val="-6"/>
        </w:rPr>
        <w:t> </w:t>
      </w:r>
      <w:r>
        <w:rPr>
          <w:color w:val="231F20"/>
        </w:rPr>
        <w:t>questo</w:t>
      </w:r>
      <w:r>
        <w:rPr>
          <w:color w:val="231F20"/>
          <w:spacing w:val="-6"/>
        </w:rPr>
        <w:t> </w:t>
      </w:r>
      <w:r>
        <w:rPr>
          <w:color w:val="231F20"/>
        </w:rPr>
        <w:t>punto</w:t>
      </w:r>
      <w:r>
        <w:rPr>
          <w:color w:val="231F20"/>
          <w:spacing w:val="-6"/>
        </w:rPr>
        <w:t> </w:t>
      </w:r>
      <w:r>
        <w:rPr>
          <w:color w:val="231F20"/>
        </w:rPr>
        <w:t>di</w:t>
      </w:r>
      <w:r>
        <w:rPr>
          <w:color w:val="231F20"/>
          <w:spacing w:val="-6"/>
        </w:rPr>
        <w:t> </w:t>
      </w:r>
      <w:r>
        <w:rPr>
          <w:color w:val="231F20"/>
        </w:rPr>
        <w:t>vista rappresentano</w:t>
      </w:r>
      <w:r>
        <w:rPr>
          <w:color w:val="231F20"/>
          <w:spacing w:val="-5"/>
        </w:rPr>
        <w:t> </w:t>
      </w:r>
      <w:r>
        <w:rPr>
          <w:color w:val="231F20"/>
        </w:rPr>
        <w:t>un</w:t>
      </w:r>
      <w:r>
        <w:rPr>
          <w:color w:val="231F20"/>
          <w:spacing w:val="-4"/>
        </w:rPr>
        <w:t> </w:t>
      </w:r>
      <w:r>
        <w:rPr>
          <w:color w:val="231F20"/>
        </w:rPr>
        <w:t>assai</w:t>
      </w:r>
      <w:r>
        <w:rPr>
          <w:color w:val="231F20"/>
          <w:spacing w:val="-4"/>
        </w:rPr>
        <w:t> </w:t>
      </w:r>
      <w:r>
        <w:rPr>
          <w:color w:val="231F20"/>
        </w:rPr>
        <w:t>positivo</w:t>
      </w:r>
      <w:r>
        <w:rPr>
          <w:color w:val="231F20"/>
          <w:spacing w:val="-4"/>
        </w:rPr>
        <w:t> </w:t>
      </w:r>
      <w:r>
        <w:rPr>
          <w:color w:val="231F20"/>
        </w:rPr>
        <w:t>precedente</w:t>
      </w:r>
      <w:r>
        <w:rPr>
          <w:color w:val="231F20"/>
          <w:spacing w:val="-4"/>
        </w:rPr>
        <w:t> </w:t>
      </w:r>
      <w:r>
        <w:rPr>
          <w:color w:val="231F20"/>
        </w:rPr>
        <w:t>le</w:t>
      </w:r>
      <w:r>
        <w:rPr>
          <w:color w:val="231F20"/>
          <w:spacing w:val="-4"/>
        </w:rPr>
        <w:t> </w:t>
      </w:r>
      <w:r>
        <w:rPr>
          <w:color w:val="231F20"/>
        </w:rPr>
        <w:t>due</w:t>
      </w:r>
      <w:r>
        <w:rPr>
          <w:color w:val="231F20"/>
          <w:spacing w:val="-5"/>
        </w:rPr>
        <w:t> </w:t>
      </w:r>
      <w:r>
        <w:rPr>
          <w:color w:val="231F20"/>
        </w:rPr>
        <w:t>modifiche</w:t>
      </w:r>
      <w:r>
        <w:rPr>
          <w:color w:val="231F20"/>
          <w:spacing w:val="-4"/>
        </w:rPr>
        <w:t> </w:t>
      </w:r>
      <w:r>
        <w:rPr>
          <w:color w:val="231F20"/>
        </w:rPr>
        <w:t>introdotte</w:t>
      </w:r>
      <w:r>
        <w:rPr>
          <w:color w:val="231F20"/>
          <w:spacing w:val="-4"/>
        </w:rPr>
        <w:t> </w:t>
      </w:r>
      <w:r>
        <w:rPr>
          <w:color w:val="231F20"/>
          <w:spacing w:val="-5"/>
        </w:rPr>
        <w:t>dal</w:t>
      </w:r>
    </w:p>
    <w:p>
      <w:pPr>
        <w:pStyle w:val="BodyText"/>
        <w:spacing w:before="11"/>
        <w:rPr>
          <w:sz w:val="20"/>
        </w:rPr>
      </w:pPr>
      <w:r>
        <w:rPr/>
        <mc:AlternateContent>
          <mc:Choice Requires="wps">
            <w:drawing>
              <wp:anchor distT="0" distB="0" distL="0" distR="0" allowOverlap="1" layoutInCell="1" locked="0" behindDoc="1" simplePos="0" relativeHeight="487662592">
                <wp:simplePos x="0" y="0"/>
                <wp:positionH relativeFrom="page">
                  <wp:posOffset>899999</wp:posOffset>
                </wp:positionH>
                <wp:positionV relativeFrom="paragraph">
                  <wp:posOffset>184074</wp:posOffset>
                </wp:positionV>
                <wp:extent cx="792480" cy="1270"/>
                <wp:effectExtent l="0" t="0" r="0" b="0"/>
                <wp:wrapTopAndBottom/>
                <wp:docPr id="239" name="Graphic 239"/>
                <wp:cNvGraphicFramePr>
                  <a:graphicFrameLocks/>
                </wp:cNvGraphicFramePr>
                <a:graphic>
                  <a:graphicData uri="http://schemas.microsoft.com/office/word/2010/wordprocessingShape">
                    <wps:wsp>
                      <wps:cNvPr id="239" name="Graphic 239"/>
                      <wps:cNvSpPr/>
                      <wps:spPr>
                        <a:xfrm>
                          <a:off x="0" y="0"/>
                          <a:ext cx="792480" cy="1270"/>
                        </a:xfrm>
                        <a:custGeom>
                          <a:avLst/>
                          <a:gdLst/>
                          <a:ahLst/>
                          <a:cxnLst/>
                          <a:rect l="l" t="t" r="r" b="b"/>
                          <a:pathLst>
                            <a:path w="792480" h="0">
                              <a:moveTo>
                                <a:pt x="0" y="0"/>
                              </a:moveTo>
                              <a:lnTo>
                                <a:pt x="791997"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shape style="position:absolute;margin-left:70.866096pt;margin-top:14.49404pt;width:62.4pt;height:.1pt;mso-position-horizontal-relative:page;mso-position-vertical-relative:paragraph;z-index:-15653888;mso-wrap-distance-left:0;mso-wrap-distance-right:0" id="docshape198" coordorigin="1417,290" coordsize="1248,0" path="m1417,290l2665,290e" filled="false" stroked="true" strokeweight=".5pt" strokecolor="#231f20">
                <v:path arrowok="t"/>
                <v:stroke dashstyle="solid"/>
                <w10:wrap type="topAndBottom"/>
              </v:shape>
            </w:pict>
          </mc:Fallback>
        </mc:AlternateContent>
      </w:r>
    </w:p>
    <w:p>
      <w:pPr>
        <w:spacing w:line="225" w:lineRule="auto" w:before="201"/>
        <w:ind w:left="157" w:right="118" w:firstLine="0"/>
        <w:jc w:val="both"/>
        <w:rPr>
          <w:sz w:val="19"/>
        </w:rPr>
      </w:pPr>
      <w:r>
        <w:rPr>
          <w:color w:val="231F20"/>
          <w:position w:val="6"/>
          <w:sz w:val="11"/>
        </w:rPr>
        <w:t>166</w:t>
      </w:r>
      <w:r>
        <w:rPr>
          <w:color w:val="231F20"/>
          <w:spacing w:val="40"/>
          <w:position w:val="6"/>
          <w:sz w:val="11"/>
        </w:rPr>
        <w:t> </w:t>
      </w:r>
      <w:r>
        <w:rPr>
          <w:color w:val="231F20"/>
          <w:sz w:val="19"/>
        </w:rPr>
        <w:t>Tale</w:t>
      </w:r>
      <w:r>
        <w:rPr>
          <w:color w:val="231F20"/>
          <w:spacing w:val="-4"/>
          <w:sz w:val="19"/>
        </w:rPr>
        <w:t> </w:t>
      </w:r>
      <w:r>
        <w:rPr>
          <w:color w:val="231F20"/>
          <w:sz w:val="19"/>
        </w:rPr>
        <w:t>considerazione</w:t>
      </w:r>
      <w:r>
        <w:rPr>
          <w:color w:val="231F20"/>
          <w:spacing w:val="-4"/>
          <w:sz w:val="19"/>
        </w:rPr>
        <w:t> </w:t>
      </w:r>
      <w:r>
        <w:rPr>
          <w:color w:val="231F20"/>
          <w:sz w:val="19"/>
        </w:rPr>
        <w:t>vale</w:t>
      </w:r>
      <w:r>
        <w:rPr>
          <w:color w:val="231F20"/>
          <w:spacing w:val="-4"/>
          <w:sz w:val="19"/>
        </w:rPr>
        <w:t> </w:t>
      </w:r>
      <w:r>
        <w:rPr>
          <w:color w:val="231F20"/>
          <w:sz w:val="19"/>
        </w:rPr>
        <w:t>anche</w:t>
      </w:r>
      <w:r>
        <w:rPr>
          <w:color w:val="231F20"/>
          <w:spacing w:val="-4"/>
          <w:sz w:val="19"/>
        </w:rPr>
        <w:t> </w:t>
      </w:r>
      <w:r>
        <w:rPr>
          <w:color w:val="231F20"/>
          <w:sz w:val="19"/>
        </w:rPr>
        <w:t>per</w:t>
      </w:r>
      <w:r>
        <w:rPr>
          <w:color w:val="231F20"/>
          <w:spacing w:val="-4"/>
          <w:sz w:val="19"/>
        </w:rPr>
        <w:t> </w:t>
      </w:r>
      <w:r>
        <w:rPr>
          <w:color w:val="231F20"/>
          <w:sz w:val="19"/>
        </w:rPr>
        <w:t>la</w:t>
      </w:r>
      <w:r>
        <w:rPr>
          <w:color w:val="231F20"/>
          <w:spacing w:val="-4"/>
          <w:sz w:val="19"/>
        </w:rPr>
        <w:t> </w:t>
      </w:r>
      <w:r>
        <w:rPr>
          <w:color w:val="231F20"/>
          <w:sz w:val="19"/>
        </w:rPr>
        <w:t>direttiva</w:t>
      </w:r>
      <w:r>
        <w:rPr>
          <w:color w:val="231F20"/>
          <w:spacing w:val="-4"/>
          <w:sz w:val="19"/>
        </w:rPr>
        <w:t> </w:t>
      </w:r>
      <w:r>
        <w:rPr>
          <w:color w:val="231F20"/>
          <w:sz w:val="19"/>
        </w:rPr>
        <w:t>(UE)</w:t>
      </w:r>
      <w:r>
        <w:rPr>
          <w:color w:val="231F20"/>
          <w:spacing w:val="-4"/>
          <w:sz w:val="19"/>
        </w:rPr>
        <w:t> </w:t>
      </w:r>
      <w:r>
        <w:rPr>
          <w:color w:val="231F20"/>
          <w:sz w:val="19"/>
        </w:rPr>
        <w:t>2010/24</w:t>
      </w:r>
      <w:r>
        <w:rPr>
          <w:color w:val="231F20"/>
          <w:spacing w:val="-4"/>
          <w:sz w:val="19"/>
        </w:rPr>
        <w:t> </w:t>
      </w:r>
      <w:r>
        <w:rPr>
          <w:color w:val="231F20"/>
          <w:sz w:val="19"/>
        </w:rPr>
        <w:t>con</w:t>
      </w:r>
      <w:r>
        <w:rPr>
          <w:color w:val="231F20"/>
          <w:spacing w:val="-4"/>
          <w:sz w:val="19"/>
        </w:rPr>
        <w:t> </w:t>
      </w:r>
      <w:r>
        <w:rPr>
          <w:color w:val="231F20"/>
          <w:sz w:val="19"/>
        </w:rPr>
        <w:t>riferimento</w:t>
      </w:r>
      <w:r>
        <w:rPr>
          <w:color w:val="231F20"/>
          <w:spacing w:val="-4"/>
          <w:sz w:val="19"/>
        </w:rPr>
        <w:t> </w:t>
      </w:r>
      <w:r>
        <w:rPr>
          <w:color w:val="231F20"/>
          <w:sz w:val="19"/>
        </w:rPr>
        <w:t>alla</w:t>
      </w:r>
      <w:r>
        <w:rPr>
          <w:color w:val="231F20"/>
          <w:spacing w:val="-4"/>
          <w:sz w:val="19"/>
        </w:rPr>
        <w:t> </w:t>
      </w:r>
      <w:r>
        <w:rPr>
          <w:color w:val="231F20"/>
          <w:sz w:val="19"/>
        </w:rPr>
        <w:t>sentenza </w:t>
      </w:r>
      <w:r>
        <w:rPr>
          <w:i/>
          <w:color w:val="231F20"/>
          <w:sz w:val="19"/>
        </w:rPr>
        <w:t>Donnellan</w:t>
      </w:r>
      <w:r>
        <w:rPr>
          <w:i/>
          <w:color w:val="231F20"/>
          <w:spacing w:val="-12"/>
          <w:sz w:val="19"/>
        </w:rPr>
        <w:t> </w:t>
      </w:r>
      <w:r>
        <w:rPr>
          <w:color w:val="231F20"/>
          <w:sz w:val="19"/>
        </w:rPr>
        <w:t>C-34/17,</w:t>
      </w:r>
      <w:r>
        <w:rPr>
          <w:color w:val="231F20"/>
          <w:spacing w:val="-12"/>
          <w:sz w:val="19"/>
        </w:rPr>
        <w:t> </w:t>
      </w:r>
      <w:r>
        <w:rPr>
          <w:color w:val="231F20"/>
          <w:sz w:val="19"/>
        </w:rPr>
        <w:t>laddove</w:t>
      </w:r>
      <w:r>
        <w:rPr>
          <w:color w:val="231F20"/>
          <w:spacing w:val="-12"/>
          <w:sz w:val="19"/>
        </w:rPr>
        <w:t> </w:t>
      </w:r>
      <w:r>
        <w:rPr>
          <w:color w:val="231F20"/>
          <w:sz w:val="19"/>
        </w:rPr>
        <w:t>la</w:t>
      </w:r>
      <w:r>
        <w:rPr>
          <w:color w:val="231F20"/>
          <w:spacing w:val="-12"/>
          <w:sz w:val="19"/>
        </w:rPr>
        <w:t> </w:t>
      </w:r>
      <w:r>
        <w:rPr>
          <w:color w:val="231F20"/>
          <w:sz w:val="19"/>
        </w:rPr>
        <w:t>Corte</w:t>
      </w:r>
      <w:r>
        <w:rPr>
          <w:color w:val="231F20"/>
          <w:spacing w:val="-12"/>
          <w:sz w:val="19"/>
        </w:rPr>
        <w:t> </w:t>
      </w:r>
      <w:r>
        <w:rPr>
          <w:color w:val="231F20"/>
          <w:sz w:val="19"/>
        </w:rPr>
        <w:t>di</w:t>
      </w:r>
      <w:r>
        <w:rPr>
          <w:color w:val="231F20"/>
          <w:spacing w:val="-12"/>
          <w:sz w:val="19"/>
        </w:rPr>
        <w:t> </w:t>
      </w:r>
      <w:r>
        <w:rPr>
          <w:color w:val="231F20"/>
          <w:sz w:val="19"/>
        </w:rPr>
        <w:t>giustizia</w:t>
      </w:r>
      <w:r>
        <w:rPr>
          <w:color w:val="231F20"/>
          <w:spacing w:val="-11"/>
          <w:sz w:val="19"/>
        </w:rPr>
        <w:t> </w:t>
      </w:r>
      <w:r>
        <w:rPr>
          <w:color w:val="231F20"/>
          <w:sz w:val="19"/>
        </w:rPr>
        <w:t>ha</w:t>
      </w:r>
      <w:r>
        <w:rPr>
          <w:color w:val="231F20"/>
          <w:spacing w:val="-12"/>
          <w:sz w:val="19"/>
        </w:rPr>
        <w:t> </w:t>
      </w:r>
      <w:r>
        <w:rPr>
          <w:color w:val="231F20"/>
          <w:sz w:val="19"/>
        </w:rPr>
        <w:t>aggiunto</w:t>
      </w:r>
      <w:r>
        <w:rPr>
          <w:color w:val="231F20"/>
          <w:spacing w:val="-12"/>
          <w:sz w:val="19"/>
        </w:rPr>
        <w:t> </w:t>
      </w:r>
      <w:r>
        <w:rPr>
          <w:color w:val="231F20"/>
          <w:sz w:val="19"/>
        </w:rPr>
        <w:t>per</w:t>
      </w:r>
      <w:r>
        <w:rPr>
          <w:color w:val="231F20"/>
          <w:spacing w:val="-12"/>
          <w:sz w:val="19"/>
        </w:rPr>
        <w:t> </w:t>
      </w:r>
      <w:r>
        <w:rPr>
          <w:color w:val="231F20"/>
          <w:sz w:val="19"/>
        </w:rPr>
        <w:t>lo</w:t>
      </w:r>
      <w:r>
        <w:rPr>
          <w:color w:val="231F20"/>
          <w:spacing w:val="-12"/>
          <w:sz w:val="19"/>
        </w:rPr>
        <w:t> </w:t>
      </w:r>
      <w:r>
        <w:rPr>
          <w:color w:val="231F20"/>
          <w:sz w:val="19"/>
        </w:rPr>
        <w:t>Stato</w:t>
      </w:r>
      <w:r>
        <w:rPr>
          <w:color w:val="231F20"/>
          <w:spacing w:val="-12"/>
          <w:sz w:val="19"/>
        </w:rPr>
        <w:t> </w:t>
      </w:r>
      <w:r>
        <w:rPr>
          <w:color w:val="231F20"/>
          <w:sz w:val="19"/>
        </w:rPr>
        <w:t>membro</w:t>
      </w:r>
      <w:r>
        <w:rPr>
          <w:color w:val="231F20"/>
          <w:spacing w:val="-12"/>
          <w:sz w:val="19"/>
        </w:rPr>
        <w:t> </w:t>
      </w:r>
      <w:r>
        <w:rPr>
          <w:color w:val="231F20"/>
          <w:sz w:val="19"/>
        </w:rPr>
        <w:t>dell’autorità richiedente, sulla base dell’art. 47 della Carta dei diritti fondamentali, l’obbligo di informare preventivamente il debitore d’imposta dell’esistenza stessa del relativo credito, di modo che questi abbia la possibilità, se lo ritiene opportuno di impugnarlo dinanzi ad un giudice di quello stesso Stato membro in applicazione dell’art. 11 della medesima direttiva.</w:t>
      </w:r>
    </w:p>
    <w:p>
      <w:pPr>
        <w:spacing w:after="0" w:line="225" w:lineRule="auto"/>
        <w:jc w:val="both"/>
        <w:rPr>
          <w:sz w:val="19"/>
        </w:rPr>
        <w:sectPr>
          <w:pgSz w:w="9640" w:h="13610"/>
          <w:pgMar w:header="0" w:footer="625" w:top="1260" w:bottom="820" w:left="1260" w:right="1240"/>
        </w:sectPr>
      </w:pPr>
    </w:p>
    <w:p>
      <w:pPr>
        <w:pStyle w:val="BodyText"/>
        <w:spacing w:line="225" w:lineRule="auto" w:before="117"/>
        <w:ind w:left="100" w:right="175"/>
        <w:jc w:val="both"/>
      </w:pPr>
      <w:r>
        <w:rPr>
          <w:color w:val="231F20"/>
        </w:rPr>
        <w:t>Consiglio dell’Unione nella direttiva (UE) 2011/16 per trasporre in </w:t>
      </w:r>
      <w:r>
        <w:rPr>
          <w:color w:val="231F20"/>
        </w:rPr>
        <w:t>due nuove disposizioni di tale atto, sia la definizione di «prevedibile pertinen- za»</w:t>
      </w:r>
      <w:r>
        <w:rPr>
          <w:color w:val="231F20"/>
          <w:spacing w:val="-15"/>
        </w:rPr>
        <w:t> </w:t>
      </w:r>
      <w:r>
        <w:rPr>
          <w:color w:val="231F20"/>
        </w:rPr>
        <w:t>delle</w:t>
      </w:r>
      <w:r>
        <w:rPr>
          <w:color w:val="231F20"/>
          <w:spacing w:val="-15"/>
        </w:rPr>
        <w:t> </w:t>
      </w:r>
      <w:r>
        <w:rPr>
          <w:color w:val="231F20"/>
        </w:rPr>
        <w:t>informazioni</w:t>
      </w:r>
      <w:r>
        <w:rPr>
          <w:color w:val="231F20"/>
          <w:spacing w:val="-15"/>
        </w:rPr>
        <w:t> </w:t>
      </w:r>
      <w:r>
        <w:rPr>
          <w:color w:val="231F20"/>
        </w:rPr>
        <w:t>richieste</w:t>
      </w:r>
      <w:r>
        <w:rPr>
          <w:color w:val="231F20"/>
          <w:position w:val="8"/>
          <w:sz w:val="14"/>
        </w:rPr>
        <w:t>167</w:t>
      </w:r>
      <w:r>
        <w:rPr>
          <w:color w:val="231F20"/>
        </w:rPr>
        <w:t>,</w:t>
      </w:r>
      <w:r>
        <w:rPr>
          <w:color w:val="231F20"/>
          <w:spacing w:val="-15"/>
        </w:rPr>
        <w:t> </w:t>
      </w:r>
      <w:r>
        <w:rPr>
          <w:color w:val="231F20"/>
        </w:rPr>
        <w:t>sia</w:t>
      </w:r>
      <w:r>
        <w:rPr>
          <w:color w:val="231F20"/>
          <w:spacing w:val="-15"/>
        </w:rPr>
        <w:t> </w:t>
      </w:r>
      <w:r>
        <w:rPr>
          <w:color w:val="231F20"/>
        </w:rPr>
        <w:t>l’esonero</w:t>
      </w:r>
      <w:r>
        <w:rPr>
          <w:color w:val="231F20"/>
          <w:spacing w:val="-15"/>
        </w:rPr>
        <w:t> </w:t>
      </w:r>
      <w:r>
        <w:rPr>
          <w:color w:val="231F20"/>
        </w:rPr>
        <w:t>per</w:t>
      </w:r>
      <w:r>
        <w:rPr>
          <w:color w:val="231F20"/>
          <w:spacing w:val="-15"/>
        </w:rPr>
        <w:t> </w:t>
      </w:r>
      <w:r>
        <w:rPr>
          <w:color w:val="231F20"/>
        </w:rPr>
        <w:t>l’avvocato</w:t>
      </w:r>
      <w:r>
        <w:rPr>
          <w:color w:val="231F20"/>
          <w:spacing w:val="-15"/>
        </w:rPr>
        <w:t> </w:t>
      </w:r>
      <w:r>
        <w:rPr>
          <w:color w:val="231F20"/>
        </w:rPr>
        <w:t>intermediario di notificare ad un altro intermediario il proprio obbligo di comunicare all’amministrazione il «meccanismo transfrontaliero»</w:t>
      </w:r>
      <w:r>
        <w:rPr>
          <w:color w:val="231F20"/>
          <w:position w:val="8"/>
          <w:sz w:val="14"/>
        </w:rPr>
        <w:t>168</w:t>
      </w:r>
      <w:r>
        <w:rPr>
          <w:color w:val="231F20"/>
        </w:rPr>
        <w:t>.</w:t>
      </w:r>
    </w:p>
    <w:p>
      <w:pPr>
        <w:pStyle w:val="BodyText"/>
        <w:spacing w:before="148"/>
      </w:pPr>
    </w:p>
    <w:p>
      <w:pPr>
        <w:pStyle w:val="ListParagraph"/>
        <w:numPr>
          <w:ilvl w:val="1"/>
          <w:numId w:val="4"/>
        </w:numPr>
        <w:tabs>
          <w:tab w:pos="526" w:val="left" w:leader="none"/>
        </w:tabs>
        <w:spacing w:line="244" w:lineRule="auto" w:before="0" w:after="0"/>
        <w:ind w:left="100" w:right="1560" w:firstLine="0"/>
        <w:jc w:val="left"/>
        <w:rPr>
          <w:b/>
          <w:sz w:val="24"/>
        </w:rPr>
      </w:pPr>
      <w:r>
        <w:rPr>
          <w:b/>
          <w:color w:val="231F20"/>
          <w:sz w:val="24"/>
        </w:rPr>
        <w:t>Evidenziazione</w:t>
      </w:r>
      <w:r>
        <w:rPr>
          <w:b/>
          <w:color w:val="231F20"/>
          <w:spacing w:val="-8"/>
          <w:sz w:val="24"/>
        </w:rPr>
        <w:t> </w:t>
      </w:r>
      <w:r>
        <w:rPr>
          <w:b/>
          <w:color w:val="231F20"/>
          <w:sz w:val="24"/>
        </w:rPr>
        <w:t>di</w:t>
      </w:r>
      <w:r>
        <w:rPr>
          <w:b/>
          <w:color w:val="231F20"/>
          <w:spacing w:val="-8"/>
          <w:sz w:val="24"/>
        </w:rPr>
        <w:t> </w:t>
      </w:r>
      <w:r>
        <w:rPr>
          <w:b/>
          <w:color w:val="231F20"/>
          <w:sz w:val="24"/>
        </w:rPr>
        <w:t>casi</w:t>
      </w:r>
      <w:r>
        <w:rPr>
          <w:b/>
          <w:color w:val="231F20"/>
          <w:spacing w:val="-8"/>
          <w:sz w:val="24"/>
        </w:rPr>
        <w:t> </w:t>
      </w:r>
      <w:r>
        <w:rPr>
          <w:b/>
          <w:color w:val="231F20"/>
          <w:sz w:val="24"/>
        </w:rPr>
        <w:t>anomali</w:t>
      </w:r>
      <w:r>
        <w:rPr>
          <w:b/>
          <w:color w:val="231F20"/>
          <w:spacing w:val="-8"/>
          <w:sz w:val="24"/>
        </w:rPr>
        <w:t> </w:t>
      </w:r>
      <w:r>
        <w:rPr>
          <w:b/>
          <w:color w:val="231F20"/>
          <w:sz w:val="24"/>
        </w:rPr>
        <w:t>di</w:t>
      </w:r>
      <w:r>
        <w:rPr>
          <w:b/>
          <w:color w:val="231F20"/>
          <w:spacing w:val="-8"/>
          <w:sz w:val="24"/>
        </w:rPr>
        <w:t> </w:t>
      </w:r>
      <w:r>
        <w:rPr>
          <w:b/>
          <w:color w:val="231F20"/>
          <w:sz w:val="24"/>
        </w:rPr>
        <w:t>doppia</w:t>
      </w:r>
      <w:r>
        <w:rPr>
          <w:b/>
          <w:color w:val="231F20"/>
          <w:spacing w:val="-8"/>
          <w:sz w:val="24"/>
        </w:rPr>
        <w:t> </w:t>
      </w:r>
      <w:r>
        <w:rPr>
          <w:b/>
          <w:color w:val="231F20"/>
          <w:sz w:val="24"/>
        </w:rPr>
        <w:t>imposizione anche nell’ambito dell’IVA e delle accise armonizzate</w:t>
      </w:r>
    </w:p>
    <w:p>
      <w:pPr>
        <w:pStyle w:val="BodyText"/>
        <w:spacing w:line="225" w:lineRule="auto" w:before="263"/>
        <w:ind w:left="100" w:right="174"/>
        <w:jc w:val="both"/>
      </w:pPr>
      <w:r>
        <w:rPr>
          <w:color w:val="231F20"/>
        </w:rPr>
        <w:t>Le</w:t>
      </w:r>
      <w:r>
        <w:rPr>
          <w:color w:val="231F20"/>
          <w:spacing w:val="-11"/>
        </w:rPr>
        <w:t> </w:t>
      </w:r>
      <w:r>
        <w:rPr>
          <w:color w:val="231F20"/>
        </w:rPr>
        <w:t>pronunce</w:t>
      </w:r>
      <w:r>
        <w:rPr>
          <w:color w:val="231F20"/>
          <w:spacing w:val="-11"/>
        </w:rPr>
        <w:t> </w:t>
      </w:r>
      <w:r>
        <w:rPr>
          <w:color w:val="231F20"/>
        </w:rPr>
        <w:t>della</w:t>
      </w:r>
      <w:r>
        <w:rPr>
          <w:color w:val="231F20"/>
          <w:spacing w:val="-11"/>
        </w:rPr>
        <w:t> </w:t>
      </w:r>
      <w:r>
        <w:rPr>
          <w:color w:val="231F20"/>
        </w:rPr>
        <w:t>Corte</w:t>
      </w:r>
      <w:r>
        <w:rPr>
          <w:color w:val="231F20"/>
          <w:spacing w:val="-11"/>
        </w:rPr>
        <w:t> </w:t>
      </w:r>
      <w:r>
        <w:rPr>
          <w:color w:val="231F20"/>
        </w:rPr>
        <w:t>riguardanti</w:t>
      </w:r>
      <w:r>
        <w:rPr>
          <w:color w:val="231F20"/>
          <w:spacing w:val="-11"/>
        </w:rPr>
        <w:t> </w:t>
      </w:r>
      <w:r>
        <w:rPr>
          <w:color w:val="231F20"/>
        </w:rPr>
        <w:t>il</w:t>
      </w:r>
      <w:r>
        <w:rPr>
          <w:color w:val="231F20"/>
          <w:spacing w:val="-11"/>
        </w:rPr>
        <w:t> </w:t>
      </w:r>
      <w:r>
        <w:rPr>
          <w:color w:val="231F20"/>
        </w:rPr>
        <w:t>regolamento</w:t>
      </w:r>
      <w:r>
        <w:rPr>
          <w:color w:val="231F20"/>
          <w:spacing w:val="-11"/>
        </w:rPr>
        <w:t> </w:t>
      </w:r>
      <w:r>
        <w:rPr>
          <w:color w:val="231F20"/>
        </w:rPr>
        <w:t>(UE)</w:t>
      </w:r>
      <w:r>
        <w:rPr>
          <w:color w:val="231F20"/>
          <w:spacing w:val="-11"/>
        </w:rPr>
        <w:t> </w:t>
      </w:r>
      <w:r>
        <w:rPr>
          <w:color w:val="231F20"/>
        </w:rPr>
        <w:t>904/2010</w:t>
      </w:r>
      <w:r>
        <w:rPr>
          <w:color w:val="231F20"/>
          <w:spacing w:val="-11"/>
        </w:rPr>
        <w:t> </w:t>
      </w:r>
      <w:r>
        <w:rPr>
          <w:color w:val="231F20"/>
        </w:rPr>
        <w:t>e</w:t>
      </w:r>
      <w:r>
        <w:rPr>
          <w:color w:val="231F20"/>
          <w:spacing w:val="-11"/>
        </w:rPr>
        <w:t> </w:t>
      </w:r>
      <w:r>
        <w:rPr>
          <w:color w:val="231F20"/>
        </w:rPr>
        <w:t>la</w:t>
      </w:r>
      <w:r>
        <w:rPr>
          <w:color w:val="231F20"/>
          <w:spacing w:val="-11"/>
        </w:rPr>
        <w:t> </w:t>
      </w:r>
      <w:r>
        <w:rPr>
          <w:color w:val="231F20"/>
        </w:rPr>
        <w:t>di- </w:t>
      </w:r>
      <w:r>
        <w:rPr>
          <w:color w:val="231F20"/>
          <w:spacing w:val="-2"/>
        </w:rPr>
        <w:t>rettiva</w:t>
      </w:r>
      <w:r>
        <w:rPr>
          <w:color w:val="231F20"/>
          <w:spacing w:val="-8"/>
        </w:rPr>
        <w:t> </w:t>
      </w:r>
      <w:r>
        <w:rPr>
          <w:color w:val="231F20"/>
          <w:spacing w:val="-2"/>
        </w:rPr>
        <w:t>(UE)</w:t>
      </w:r>
      <w:r>
        <w:rPr>
          <w:color w:val="231F20"/>
          <w:spacing w:val="-8"/>
        </w:rPr>
        <w:t> </w:t>
      </w:r>
      <w:r>
        <w:rPr>
          <w:color w:val="231F20"/>
          <w:spacing w:val="-2"/>
        </w:rPr>
        <w:t>2010/24</w:t>
      </w:r>
      <w:r>
        <w:rPr>
          <w:color w:val="231F20"/>
          <w:spacing w:val="-8"/>
        </w:rPr>
        <w:t> </w:t>
      </w:r>
      <w:r>
        <w:rPr>
          <w:color w:val="231F20"/>
          <w:spacing w:val="-2"/>
        </w:rPr>
        <w:t>disciplinanti</w:t>
      </w:r>
      <w:r>
        <w:rPr>
          <w:color w:val="231F20"/>
          <w:spacing w:val="-8"/>
        </w:rPr>
        <w:t> </w:t>
      </w:r>
      <w:r>
        <w:rPr>
          <w:color w:val="231F20"/>
          <w:spacing w:val="-2"/>
        </w:rPr>
        <w:t>rispettivamente</w:t>
      </w:r>
      <w:r>
        <w:rPr>
          <w:color w:val="231F20"/>
          <w:spacing w:val="-8"/>
        </w:rPr>
        <w:t> </w:t>
      </w:r>
      <w:r>
        <w:rPr>
          <w:color w:val="231F20"/>
          <w:spacing w:val="-2"/>
        </w:rPr>
        <w:t>la</w:t>
      </w:r>
      <w:r>
        <w:rPr>
          <w:color w:val="231F20"/>
          <w:spacing w:val="-8"/>
        </w:rPr>
        <w:t> </w:t>
      </w:r>
      <w:r>
        <w:rPr>
          <w:color w:val="231F20"/>
          <w:spacing w:val="-2"/>
        </w:rPr>
        <w:t>cooperazione</w:t>
      </w:r>
      <w:r>
        <w:rPr>
          <w:color w:val="231F20"/>
          <w:spacing w:val="-8"/>
        </w:rPr>
        <w:t> </w:t>
      </w:r>
      <w:r>
        <w:rPr>
          <w:color w:val="231F20"/>
          <w:spacing w:val="-2"/>
        </w:rPr>
        <w:t>ammini- </w:t>
      </w:r>
      <w:r>
        <w:rPr>
          <w:color w:val="231F20"/>
        </w:rPr>
        <w:t>strativa</w:t>
      </w:r>
      <w:r>
        <w:rPr>
          <w:color w:val="231F20"/>
          <w:spacing w:val="-15"/>
        </w:rPr>
        <w:t> </w:t>
      </w:r>
      <w:r>
        <w:rPr>
          <w:color w:val="231F20"/>
        </w:rPr>
        <w:t>nel</w:t>
      </w:r>
      <w:r>
        <w:rPr>
          <w:color w:val="231F20"/>
          <w:spacing w:val="-15"/>
        </w:rPr>
        <w:t> </w:t>
      </w:r>
      <w:r>
        <w:rPr>
          <w:color w:val="231F20"/>
        </w:rPr>
        <w:t>settore</w:t>
      </w:r>
      <w:r>
        <w:rPr>
          <w:color w:val="231F20"/>
          <w:spacing w:val="-15"/>
        </w:rPr>
        <w:t> </w:t>
      </w:r>
      <w:r>
        <w:rPr>
          <w:color w:val="231F20"/>
        </w:rPr>
        <w:t>dell’IVA</w:t>
      </w:r>
      <w:r>
        <w:rPr>
          <w:color w:val="231F20"/>
          <w:spacing w:val="-15"/>
        </w:rPr>
        <w:t> </w:t>
      </w:r>
      <w:r>
        <w:rPr>
          <w:color w:val="231F20"/>
        </w:rPr>
        <w:t>e</w:t>
      </w:r>
      <w:r>
        <w:rPr>
          <w:color w:val="231F20"/>
          <w:spacing w:val="-15"/>
        </w:rPr>
        <w:t> </w:t>
      </w:r>
      <w:r>
        <w:rPr>
          <w:color w:val="231F20"/>
        </w:rPr>
        <w:t>l’assistenza</w:t>
      </w:r>
      <w:r>
        <w:rPr>
          <w:color w:val="231F20"/>
          <w:spacing w:val="-15"/>
        </w:rPr>
        <w:t> </w:t>
      </w:r>
      <w:r>
        <w:rPr>
          <w:color w:val="231F20"/>
        </w:rPr>
        <w:t>reciproca</w:t>
      </w:r>
      <w:r>
        <w:rPr>
          <w:color w:val="231F20"/>
          <w:spacing w:val="-15"/>
        </w:rPr>
        <w:t> </w:t>
      </w:r>
      <w:r>
        <w:rPr>
          <w:color w:val="231F20"/>
        </w:rPr>
        <w:t>in</w:t>
      </w:r>
      <w:r>
        <w:rPr>
          <w:color w:val="231F20"/>
          <w:spacing w:val="-15"/>
        </w:rPr>
        <w:t> </w:t>
      </w:r>
      <w:r>
        <w:rPr>
          <w:color w:val="231F20"/>
        </w:rPr>
        <w:t>materia</w:t>
      </w:r>
      <w:r>
        <w:rPr>
          <w:color w:val="231F20"/>
          <w:spacing w:val="-15"/>
        </w:rPr>
        <w:t> </w:t>
      </w:r>
      <w:r>
        <w:rPr>
          <w:color w:val="231F20"/>
        </w:rPr>
        <w:t>di</w:t>
      </w:r>
      <w:r>
        <w:rPr>
          <w:color w:val="231F20"/>
          <w:spacing w:val="-15"/>
        </w:rPr>
        <w:t> </w:t>
      </w:r>
      <w:r>
        <w:rPr>
          <w:color w:val="231F20"/>
        </w:rPr>
        <w:t>recupero</w:t>
      </w:r>
      <w:r>
        <w:rPr>
          <w:color w:val="231F20"/>
          <w:spacing w:val="-15"/>
        </w:rPr>
        <w:t> </w:t>
      </w:r>
      <w:r>
        <w:rPr>
          <w:color w:val="231F20"/>
        </w:rPr>
        <w:t>di crediti</w:t>
      </w:r>
      <w:r>
        <w:rPr>
          <w:color w:val="231F20"/>
          <w:spacing w:val="-12"/>
        </w:rPr>
        <w:t> </w:t>
      </w:r>
      <w:r>
        <w:rPr>
          <w:color w:val="231F20"/>
        </w:rPr>
        <w:t>tributari,</w:t>
      </w:r>
      <w:r>
        <w:rPr>
          <w:color w:val="231F20"/>
          <w:spacing w:val="-12"/>
        </w:rPr>
        <w:t> </w:t>
      </w:r>
      <w:r>
        <w:rPr>
          <w:color w:val="231F20"/>
        </w:rPr>
        <w:t>hanno</w:t>
      </w:r>
      <w:r>
        <w:rPr>
          <w:color w:val="231F20"/>
          <w:spacing w:val="-12"/>
        </w:rPr>
        <w:t> </w:t>
      </w:r>
      <w:r>
        <w:rPr>
          <w:color w:val="231F20"/>
        </w:rPr>
        <w:t>posto</w:t>
      </w:r>
      <w:r>
        <w:rPr>
          <w:color w:val="231F20"/>
          <w:spacing w:val="-12"/>
        </w:rPr>
        <w:t> </w:t>
      </w:r>
      <w:r>
        <w:rPr>
          <w:color w:val="231F20"/>
        </w:rPr>
        <w:t>in</w:t>
      </w:r>
      <w:r>
        <w:rPr>
          <w:color w:val="231F20"/>
          <w:spacing w:val="-12"/>
        </w:rPr>
        <w:t> </w:t>
      </w:r>
      <w:r>
        <w:rPr>
          <w:color w:val="231F20"/>
        </w:rPr>
        <w:t>evidenza</w:t>
      </w:r>
      <w:r>
        <w:rPr>
          <w:color w:val="231F20"/>
          <w:spacing w:val="-12"/>
        </w:rPr>
        <w:t> </w:t>
      </w:r>
      <w:r>
        <w:rPr>
          <w:color w:val="231F20"/>
        </w:rPr>
        <w:t>un</w:t>
      </w:r>
      <w:r>
        <w:rPr>
          <w:color w:val="231F20"/>
          <w:spacing w:val="-12"/>
        </w:rPr>
        <w:t> </w:t>
      </w:r>
      <w:r>
        <w:rPr>
          <w:color w:val="231F20"/>
        </w:rPr>
        <w:t>altro</w:t>
      </w:r>
      <w:r>
        <w:rPr>
          <w:color w:val="231F20"/>
          <w:spacing w:val="-12"/>
        </w:rPr>
        <w:t> </w:t>
      </w:r>
      <w:r>
        <w:rPr>
          <w:color w:val="231F20"/>
        </w:rPr>
        <w:t>problema</w:t>
      </w:r>
      <w:r>
        <w:rPr>
          <w:color w:val="231F20"/>
          <w:spacing w:val="-12"/>
        </w:rPr>
        <w:t> </w:t>
      </w:r>
      <w:r>
        <w:rPr>
          <w:color w:val="231F20"/>
        </w:rPr>
        <w:t>inaspettato</w:t>
      </w:r>
      <w:r>
        <w:rPr>
          <w:color w:val="231F20"/>
          <w:spacing w:val="-12"/>
        </w:rPr>
        <w:t> </w:t>
      </w:r>
      <w:r>
        <w:rPr>
          <w:color w:val="231F20"/>
        </w:rPr>
        <w:t>nel settore</w:t>
      </w:r>
      <w:r>
        <w:rPr>
          <w:color w:val="231F20"/>
          <w:spacing w:val="-11"/>
        </w:rPr>
        <w:t> </w:t>
      </w:r>
      <w:r>
        <w:rPr>
          <w:color w:val="231F20"/>
        </w:rPr>
        <w:t>delle</w:t>
      </w:r>
      <w:r>
        <w:rPr>
          <w:color w:val="231F20"/>
          <w:spacing w:val="-11"/>
        </w:rPr>
        <w:t> </w:t>
      </w:r>
      <w:r>
        <w:rPr>
          <w:color w:val="231F20"/>
        </w:rPr>
        <w:t>imposte</w:t>
      </w:r>
      <w:r>
        <w:rPr>
          <w:color w:val="231F20"/>
          <w:spacing w:val="-11"/>
        </w:rPr>
        <w:t> </w:t>
      </w:r>
      <w:r>
        <w:rPr>
          <w:color w:val="231F20"/>
        </w:rPr>
        <w:t>armonizzate:</w:t>
      </w:r>
      <w:r>
        <w:rPr>
          <w:color w:val="231F20"/>
          <w:spacing w:val="-11"/>
        </w:rPr>
        <w:t> </w:t>
      </w:r>
      <w:r>
        <w:rPr>
          <w:color w:val="231F20"/>
        </w:rPr>
        <w:t>l’esistenza</w:t>
      </w:r>
      <w:r>
        <w:rPr>
          <w:color w:val="231F20"/>
          <w:spacing w:val="-11"/>
        </w:rPr>
        <w:t> </w:t>
      </w:r>
      <w:r>
        <w:rPr>
          <w:color w:val="231F20"/>
        </w:rPr>
        <w:t>di</w:t>
      </w:r>
      <w:r>
        <w:rPr>
          <w:color w:val="231F20"/>
          <w:spacing w:val="-11"/>
        </w:rPr>
        <w:t> </w:t>
      </w:r>
      <w:r>
        <w:rPr>
          <w:color w:val="231F20"/>
        </w:rPr>
        <w:t>casi</w:t>
      </w:r>
      <w:r>
        <w:rPr>
          <w:color w:val="231F20"/>
          <w:spacing w:val="-11"/>
        </w:rPr>
        <w:t> </w:t>
      </w:r>
      <w:r>
        <w:rPr>
          <w:color w:val="231F20"/>
        </w:rPr>
        <w:t>di</w:t>
      </w:r>
      <w:r>
        <w:rPr>
          <w:color w:val="231F20"/>
          <w:spacing w:val="-11"/>
        </w:rPr>
        <w:t> </w:t>
      </w:r>
      <w:r>
        <w:rPr>
          <w:color w:val="231F20"/>
        </w:rPr>
        <w:t>doppia</w:t>
      </w:r>
      <w:r>
        <w:rPr>
          <w:color w:val="231F20"/>
          <w:spacing w:val="-11"/>
        </w:rPr>
        <w:t> </w:t>
      </w:r>
      <w:r>
        <w:rPr>
          <w:color w:val="231F20"/>
        </w:rPr>
        <w:t>imposizione, sia</w:t>
      </w:r>
      <w:r>
        <w:rPr>
          <w:color w:val="231F20"/>
          <w:spacing w:val="-2"/>
        </w:rPr>
        <w:t> </w:t>
      </w:r>
      <w:r>
        <w:rPr>
          <w:color w:val="231F20"/>
        </w:rPr>
        <w:t>nell’ambito</w:t>
      </w:r>
      <w:r>
        <w:rPr>
          <w:color w:val="231F20"/>
          <w:spacing w:val="-2"/>
        </w:rPr>
        <w:t> </w:t>
      </w:r>
      <w:r>
        <w:rPr>
          <w:color w:val="231F20"/>
        </w:rPr>
        <w:t>dell’imposta</w:t>
      </w:r>
      <w:r>
        <w:rPr>
          <w:color w:val="231F20"/>
          <w:spacing w:val="-2"/>
        </w:rPr>
        <w:t> </w:t>
      </w:r>
      <w:r>
        <w:rPr>
          <w:color w:val="231F20"/>
        </w:rPr>
        <w:t>sul</w:t>
      </w:r>
      <w:r>
        <w:rPr>
          <w:color w:val="231F20"/>
          <w:spacing w:val="-2"/>
        </w:rPr>
        <w:t> </w:t>
      </w:r>
      <w:r>
        <w:rPr>
          <w:color w:val="231F20"/>
        </w:rPr>
        <w:t>valore</w:t>
      </w:r>
      <w:r>
        <w:rPr>
          <w:color w:val="231F20"/>
          <w:spacing w:val="-2"/>
        </w:rPr>
        <w:t> </w:t>
      </w:r>
      <w:r>
        <w:rPr>
          <w:color w:val="231F20"/>
        </w:rPr>
        <w:t>aggiunto</w:t>
      </w:r>
      <w:r>
        <w:rPr>
          <w:color w:val="231F20"/>
          <w:position w:val="8"/>
          <w:sz w:val="14"/>
        </w:rPr>
        <w:t>169</w:t>
      </w:r>
      <w:r>
        <w:rPr>
          <w:color w:val="231F20"/>
        </w:rPr>
        <w:t>,</w:t>
      </w:r>
      <w:r>
        <w:rPr>
          <w:color w:val="231F20"/>
          <w:spacing w:val="-2"/>
        </w:rPr>
        <w:t> </w:t>
      </w:r>
      <w:r>
        <w:rPr>
          <w:color w:val="231F20"/>
        </w:rPr>
        <w:t>che</w:t>
      </w:r>
      <w:r>
        <w:rPr>
          <w:color w:val="231F20"/>
          <w:spacing w:val="-2"/>
        </w:rPr>
        <w:t> </w:t>
      </w:r>
      <w:r>
        <w:rPr>
          <w:color w:val="231F20"/>
        </w:rPr>
        <w:t>in</w:t>
      </w:r>
      <w:r>
        <w:rPr>
          <w:color w:val="231F20"/>
          <w:spacing w:val="-2"/>
        </w:rPr>
        <w:t> </w:t>
      </w:r>
      <w:r>
        <w:rPr>
          <w:color w:val="231F20"/>
        </w:rPr>
        <w:t>quello</w:t>
      </w:r>
      <w:r>
        <w:rPr>
          <w:color w:val="231F20"/>
          <w:spacing w:val="-2"/>
        </w:rPr>
        <w:t> </w:t>
      </w:r>
      <w:r>
        <w:rPr>
          <w:color w:val="231F20"/>
        </w:rPr>
        <w:t>delle</w:t>
      </w:r>
      <w:r>
        <w:rPr>
          <w:color w:val="231F20"/>
          <w:spacing w:val="-2"/>
        </w:rPr>
        <w:t> </w:t>
      </w:r>
      <w:r>
        <w:rPr>
          <w:color w:val="231F20"/>
        </w:rPr>
        <w:t>acci- se</w:t>
      </w:r>
      <w:r>
        <w:rPr>
          <w:color w:val="231F20"/>
          <w:position w:val="8"/>
          <w:sz w:val="14"/>
        </w:rPr>
        <w:t>170</w:t>
      </w:r>
      <w:r>
        <w:rPr>
          <w:color w:val="231F20"/>
        </w:rPr>
        <w:t>.</w:t>
      </w:r>
      <w:r>
        <w:rPr>
          <w:color w:val="231F20"/>
          <w:spacing w:val="-2"/>
        </w:rPr>
        <w:t> </w:t>
      </w:r>
      <w:r>
        <w:rPr>
          <w:color w:val="231F20"/>
        </w:rPr>
        <w:t>Nonostante</w:t>
      </w:r>
      <w:r>
        <w:rPr>
          <w:color w:val="231F20"/>
          <w:spacing w:val="-2"/>
        </w:rPr>
        <w:t> </w:t>
      </w:r>
      <w:r>
        <w:rPr>
          <w:color w:val="231F20"/>
        </w:rPr>
        <w:t>il</w:t>
      </w:r>
      <w:r>
        <w:rPr>
          <w:color w:val="231F20"/>
          <w:spacing w:val="-2"/>
        </w:rPr>
        <w:t> </w:t>
      </w:r>
      <w:r>
        <w:rPr>
          <w:color w:val="231F20"/>
        </w:rPr>
        <w:t>fatto</w:t>
      </w:r>
      <w:r>
        <w:rPr>
          <w:color w:val="231F20"/>
          <w:spacing w:val="-2"/>
        </w:rPr>
        <w:t> </w:t>
      </w:r>
      <w:r>
        <w:rPr>
          <w:color w:val="231F20"/>
        </w:rPr>
        <w:t>che</w:t>
      </w:r>
      <w:r>
        <w:rPr>
          <w:color w:val="231F20"/>
          <w:spacing w:val="-2"/>
        </w:rPr>
        <w:t> </w:t>
      </w:r>
      <w:r>
        <w:rPr>
          <w:color w:val="231F20"/>
        </w:rPr>
        <w:t>le</w:t>
      </w:r>
      <w:r>
        <w:rPr>
          <w:color w:val="231F20"/>
          <w:spacing w:val="-2"/>
        </w:rPr>
        <w:t> </w:t>
      </w:r>
      <w:r>
        <w:rPr>
          <w:color w:val="231F20"/>
        </w:rPr>
        <w:t>direttiva</w:t>
      </w:r>
      <w:r>
        <w:rPr>
          <w:color w:val="231F20"/>
          <w:spacing w:val="-2"/>
        </w:rPr>
        <w:t> </w:t>
      </w:r>
      <w:r>
        <w:rPr>
          <w:color w:val="231F20"/>
        </w:rPr>
        <w:t>IVA</w:t>
      </w:r>
      <w:r>
        <w:rPr>
          <w:color w:val="231F20"/>
          <w:spacing w:val="-2"/>
        </w:rPr>
        <w:t> </w:t>
      </w:r>
      <w:r>
        <w:rPr>
          <w:color w:val="231F20"/>
        </w:rPr>
        <w:t>(UE)</w:t>
      </w:r>
      <w:r>
        <w:rPr>
          <w:color w:val="231F20"/>
          <w:spacing w:val="-2"/>
        </w:rPr>
        <w:t> </w:t>
      </w:r>
      <w:r>
        <w:rPr>
          <w:color w:val="231F20"/>
        </w:rPr>
        <w:t>2006/112</w:t>
      </w:r>
      <w:r>
        <w:rPr>
          <w:color w:val="231F20"/>
          <w:spacing w:val="-2"/>
        </w:rPr>
        <w:t> </w:t>
      </w:r>
      <w:r>
        <w:rPr>
          <w:color w:val="231F20"/>
        </w:rPr>
        <w:t>e</w:t>
      </w:r>
      <w:r>
        <w:rPr>
          <w:color w:val="231F20"/>
          <w:spacing w:val="-2"/>
        </w:rPr>
        <w:t> </w:t>
      </w:r>
      <w:r>
        <w:rPr>
          <w:color w:val="231F20"/>
        </w:rPr>
        <w:t>la</w:t>
      </w:r>
      <w:r>
        <w:rPr>
          <w:color w:val="231F20"/>
          <w:spacing w:val="-2"/>
        </w:rPr>
        <w:t> </w:t>
      </w:r>
      <w:r>
        <w:rPr>
          <w:color w:val="231F20"/>
        </w:rPr>
        <w:t>direttiva generale accise (UE) 2020/262 contengano numerose norme disciplinanti il luogo delle operazioni imponibili, dai casi concreti portati dai giudici di rinvio</w:t>
      </w:r>
      <w:r>
        <w:rPr>
          <w:color w:val="231F20"/>
          <w:spacing w:val="-13"/>
        </w:rPr>
        <w:t> </w:t>
      </w:r>
      <w:r>
        <w:rPr>
          <w:color w:val="231F20"/>
        </w:rPr>
        <w:t>all’attenzione</w:t>
      </w:r>
      <w:r>
        <w:rPr>
          <w:color w:val="231F20"/>
          <w:spacing w:val="-13"/>
        </w:rPr>
        <w:t> </w:t>
      </w:r>
      <w:r>
        <w:rPr>
          <w:color w:val="231F20"/>
        </w:rPr>
        <w:t>della</w:t>
      </w:r>
      <w:r>
        <w:rPr>
          <w:color w:val="231F20"/>
          <w:spacing w:val="-13"/>
        </w:rPr>
        <w:t> </w:t>
      </w:r>
      <w:r>
        <w:rPr>
          <w:color w:val="231F20"/>
        </w:rPr>
        <w:t>Corte</w:t>
      </w:r>
      <w:r>
        <w:rPr>
          <w:color w:val="231F20"/>
          <w:spacing w:val="-13"/>
        </w:rPr>
        <w:t> </w:t>
      </w:r>
      <w:r>
        <w:rPr>
          <w:color w:val="231F20"/>
        </w:rPr>
        <w:t>di</w:t>
      </w:r>
      <w:r>
        <w:rPr>
          <w:color w:val="231F20"/>
          <w:spacing w:val="-13"/>
        </w:rPr>
        <w:t> </w:t>
      </w:r>
      <w:r>
        <w:rPr>
          <w:color w:val="231F20"/>
        </w:rPr>
        <w:t>giustizia</w:t>
      </w:r>
      <w:r>
        <w:rPr>
          <w:color w:val="231F20"/>
          <w:spacing w:val="-13"/>
        </w:rPr>
        <w:t> </w:t>
      </w:r>
      <w:r>
        <w:rPr>
          <w:color w:val="231F20"/>
        </w:rPr>
        <w:t>è</w:t>
      </w:r>
      <w:r>
        <w:rPr>
          <w:color w:val="231F20"/>
          <w:spacing w:val="-13"/>
        </w:rPr>
        <w:t> </w:t>
      </w:r>
      <w:r>
        <w:rPr>
          <w:color w:val="231F20"/>
        </w:rPr>
        <w:t>risultato</w:t>
      </w:r>
      <w:r>
        <w:rPr>
          <w:color w:val="231F20"/>
          <w:spacing w:val="-13"/>
        </w:rPr>
        <w:t> </w:t>
      </w:r>
      <w:r>
        <w:rPr>
          <w:color w:val="231F20"/>
        </w:rPr>
        <w:t>che</w:t>
      </w:r>
      <w:r>
        <w:rPr>
          <w:color w:val="231F20"/>
          <w:spacing w:val="-13"/>
        </w:rPr>
        <w:t> </w:t>
      </w:r>
      <w:r>
        <w:rPr>
          <w:color w:val="231F20"/>
        </w:rPr>
        <w:t>talvolta</w:t>
      </w:r>
      <w:r>
        <w:rPr>
          <w:color w:val="231F20"/>
          <w:spacing w:val="-13"/>
        </w:rPr>
        <w:t> </w:t>
      </w:r>
      <w:r>
        <w:rPr>
          <w:color w:val="231F20"/>
        </w:rPr>
        <w:t>le</w:t>
      </w:r>
      <w:r>
        <w:rPr>
          <w:color w:val="231F20"/>
          <w:spacing w:val="-13"/>
        </w:rPr>
        <w:t> </w:t>
      </w:r>
      <w:r>
        <w:rPr>
          <w:color w:val="231F20"/>
        </w:rPr>
        <w:t>ammi- nistrazioni</w:t>
      </w:r>
      <w:r>
        <w:rPr>
          <w:color w:val="231F20"/>
          <w:spacing w:val="-5"/>
        </w:rPr>
        <w:t> </w:t>
      </w:r>
      <w:r>
        <w:rPr>
          <w:color w:val="231F20"/>
        </w:rPr>
        <w:t>di</w:t>
      </w:r>
      <w:r>
        <w:rPr>
          <w:color w:val="231F20"/>
          <w:spacing w:val="-5"/>
        </w:rPr>
        <w:t> </w:t>
      </w:r>
      <w:r>
        <w:rPr>
          <w:color w:val="231F20"/>
        </w:rPr>
        <w:t>due</w:t>
      </w:r>
      <w:r>
        <w:rPr>
          <w:color w:val="231F20"/>
          <w:spacing w:val="-5"/>
        </w:rPr>
        <w:t> </w:t>
      </w:r>
      <w:r>
        <w:rPr>
          <w:color w:val="231F20"/>
        </w:rPr>
        <w:t>Stati</w:t>
      </w:r>
      <w:r>
        <w:rPr>
          <w:color w:val="231F20"/>
          <w:spacing w:val="-5"/>
        </w:rPr>
        <w:t> </w:t>
      </w:r>
      <w:r>
        <w:rPr>
          <w:color w:val="231F20"/>
        </w:rPr>
        <w:t>membri</w:t>
      </w:r>
      <w:r>
        <w:rPr>
          <w:color w:val="231F20"/>
          <w:spacing w:val="-5"/>
        </w:rPr>
        <w:t> </w:t>
      </w:r>
      <w:r>
        <w:rPr>
          <w:color w:val="231F20"/>
        </w:rPr>
        <w:t>interpretano</w:t>
      </w:r>
      <w:r>
        <w:rPr>
          <w:color w:val="231F20"/>
          <w:spacing w:val="-5"/>
        </w:rPr>
        <w:t> </w:t>
      </w:r>
      <w:r>
        <w:rPr>
          <w:color w:val="231F20"/>
        </w:rPr>
        <w:t>in</w:t>
      </w:r>
      <w:r>
        <w:rPr>
          <w:color w:val="231F20"/>
          <w:spacing w:val="-5"/>
        </w:rPr>
        <w:t> </w:t>
      </w:r>
      <w:r>
        <w:rPr>
          <w:color w:val="231F20"/>
        </w:rPr>
        <w:t>modo</w:t>
      </w:r>
      <w:r>
        <w:rPr>
          <w:color w:val="231F20"/>
          <w:spacing w:val="-5"/>
        </w:rPr>
        <w:t> </w:t>
      </w:r>
      <w:r>
        <w:rPr>
          <w:color w:val="231F20"/>
        </w:rPr>
        <w:t>difforme</w:t>
      </w:r>
      <w:r>
        <w:rPr>
          <w:color w:val="231F20"/>
          <w:spacing w:val="-5"/>
        </w:rPr>
        <w:t> </w:t>
      </w:r>
      <w:r>
        <w:rPr>
          <w:color w:val="231F20"/>
        </w:rPr>
        <w:t>le</w:t>
      </w:r>
      <w:r>
        <w:rPr>
          <w:color w:val="231F20"/>
          <w:spacing w:val="-5"/>
        </w:rPr>
        <w:t> </w:t>
      </w:r>
      <w:r>
        <w:rPr>
          <w:color w:val="231F20"/>
        </w:rPr>
        <w:t>suddette disposizioni</w:t>
      </w:r>
      <w:r>
        <w:rPr>
          <w:color w:val="231F20"/>
          <w:spacing w:val="-5"/>
        </w:rPr>
        <w:t> </w:t>
      </w:r>
      <w:r>
        <w:rPr>
          <w:color w:val="231F20"/>
        </w:rPr>
        <w:t>delle</w:t>
      </w:r>
      <w:r>
        <w:rPr>
          <w:color w:val="231F20"/>
          <w:spacing w:val="-5"/>
        </w:rPr>
        <w:t> </w:t>
      </w:r>
      <w:r>
        <w:rPr>
          <w:color w:val="231F20"/>
        </w:rPr>
        <w:t>direttive</w:t>
      </w:r>
      <w:r>
        <w:rPr>
          <w:color w:val="231F20"/>
          <w:spacing w:val="-5"/>
        </w:rPr>
        <w:t> </w:t>
      </w:r>
      <w:r>
        <w:rPr>
          <w:color w:val="231F20"/>
        </w:rPr>
        <w:t>di</w:t>
      </w:r>
      <w:r>
        <w:rPr>
          <w:color w:val="231F20"/>
          <w:spacing w:val="-5"/>
        </w:rPr>
        <w:t> </w:t>
      </w:r>
      <w:r>
        <w:rPr>
          <w:color w:val="231F20"/>
        </w:rPr>
        <w:t>armonizzazione</w:t>
      </w:r>
      <w:r>
        <w:rPr>
          <w:color w:val="231F20"/>
          <w:spacing w:val="-5"/>
        </w:rPr>
        <w:t> </w:t>
      </w:r>
      <w:r>
        <w:rPr>
          <w:color w:val="231F20"/>
        </w:rPr>
        <w:t>con</w:t>
      </w:r>
      <w:r>
        <w:rPr>
          <w:color w:val="231F20"/>
          <w:spacing w:val="-5"/>
        </w:rPr>
        <w:t> </w:t>
      </w:r>
      <w:r>
        <w:rPr>
          <w:color w:val="231F20"/>
        </w:rPr>
        <w:t>il</w:t>
      </w:r>
      <w:r>
        <w:rPr>
          <w:color w:val="231F20"/>
          <w:spacing w:val="-5"/>
        </w:rPr>
        <w:t> </w:t>
      </w:r>
      <w:r>
        <w:rPr>
          <w:color w:val="231F20"/>
        </w:rPr>
        <w:t>risultato</w:t>
      </w:r>
      <w:r>
        <w:rPr>
          <w:color w:val="231F20"/>
          <w:spacing w:val="-5"/>
        </w:rPr>
        <w:t> </w:t>
      </w:r>
      <w:r>
        <w:rPr>
          <w:color w:val="231F20"/>
        </w:rPr>
        <w:t>di</w:t>
      </w:r>
      <w:r>
        <w:rPr>
          <w:color w:val="231F20"/>
          <w:spacing w:val="-5"/>
        </w:rPr>
        <w:t> </w:t>
      </w:r>
      <w:r>
        <w:rPr>
          <w:color w:val="231F20"/>
        </w:rPr>
        <w:t>costringere il contribuente ad adire le giurisdizioni tributarie dello Stato membro che intende</w:t>
      </w:r>
      <w:r>
        <w:rPr>
          <w:color w:val="231F20"/>
          <w:spacing w:val="-14"/>
        </w:rPr>
        <w:t> </w:t>
      </w:r>
      <w:r>
        <w:rPr>
          <w:color w:val="231F20"/>
        </w:rPr>
        <w:t>assoggettare,</w:t>
      </w:r>
      <w:r>
        <w:rPr>
          <w:color w:val="231F20"/>
          <w:spacing w:val="-14"/>
        </w:rPr>
        <w:t> </w:t>
      </w:r>
      <w:r>
        <w:rPr>
          <w:color w:val="231F20"/>
        </w:rPr>
        <w:t>o</w:t>
      </w:r>
      <w:r>
        <w:rPr>
          <w:color w:val="231F20"/>
          <w:spacing w:val="-14"/>
        </w:rPr>
        <w:t> </w:t>
      </w:r>
      <w:r>
        <w:rPr>
          <w:color w:val="231F20"/>
        </w:rPr>
        <w:t>che</w:t>
      </w:r>
      <w:r>
        <w:rPr>
          <w:color w:val="231F20"/>
          <w:spacing w:val="-14"/>
        </w:rPr>
        <w:t> </w:t>
      </w:r>
      <w:r>
        <w:rPr>
          <w:color w:val="231F20"/>
        </w:rPr>
        <w:t>ha</w:t>
      </w:r>
      <w:r>
        <w:rPr>
          <w:color w:val="231F20"/>
          <w:spacing w:val="-14"/>
        </w:rPr>
        <w:t> </w:t>
      </w:r>
      <w:r>
        <w:rPr>
          <w:color w:val="231F20"/>
        </w:rPr>
        <w:t>già</w:t>
      </w:r>
      <w:r>
        <w:rPr>
          <w:color w:val="231F20"/>
          <w:spacing w:val="-14"/>
        </w:rPr>
        <w:t> </w:t>
      </w:r>
      <w:r>
        <w:rPr>
          <w:color w:val="231F20"/>
        </w:rPr>
        <w:t>assoggettato,</w:t>
      </w:r>
      <w:r>
        <w:rPr>
          <w:color w:val="231F20"/>
          <w:spacing w:val="-14"/>
        </w:rPr>
        <w:t> </w:t>
      </w:r>
      <w:r>
        <w:rPr>
          <w:color w:val="231F20"/>
        </w:rPr>
        <w:t>la</w:t>
      </w:r>
      <w:r>
        <w:rPr>
          <w:color w:val="231F20"/>
          <w:spacing w:val="-14"/>
        </w:rPr>
        <w:t> </w:t>
      </w:r>
      <w:r>
        <w:rPr>
          <w:color w:val="231F20"/>
        </w:rPr>
        <w:t>medesima</w:t>
      </w:r>
      <w:r>
        <w:rPr>
          <w:color w:val="231F20"/>
          <w:spacing w:val="-14"/>
        </w:rPr>
        <w:t> </w:t>
      </w:r>
      <w:r>
        <w:rPr>
          <w:color w:val="231F20"/>
        </w:rPr>
        <w:t>operazione</w:t>
      </w:r>
      <w:r>
        <w:rPr>
          <w:color w:val="231F20"/>
          <w:spacing w:val="-14"/>
        </w:rPr>
        <w:t> </w:t>
      </w:r>
      <w:r>
        <w:rPr>
          <w:color w:val="231F20"/>
        </w:rPr>
        <w:t>im-</w:t>
      </w:r>
    </w:p>
    <w:p>
      <w:pPr>
        <w:pStyle w:val="BodyText"/>
        <w:spacing w:before="3"/>
        <w:rPr>
          <w:sz w:val="15"/>
        </w:rPr>
      </w:pPr>
      <w:r>
        <w:rPr/>
        <mc:AlternateContent>
          <mc:Choice Requires="wps">
            <w:drawing>
              <wp:anchor distT="0" distB="0" distL="0" distR="0" allowOverlap="1" layoutInCell="1" locked="0" behindDoc="1" simplePos="0" relativeHeight="487664128">
                <wp:simplePos x="0" y="0"/>
                <wp:positionH relativeFrom="page">
                  <wp:posOffset>864000</wp:posOffset>
                </wp:positionH>
                <wp:positionV relativeFrom="paragraph">
                  <wp:posOffset>138523</wp:posOffset>
                </wp:positionV>
                <wp:extent cx="792480" cy="1270"/>
                <wp:effectExtent l="0" t="0" r="0" b="0"/>
                <wp:wrapTopAndBottom/>
                <wp:docPr id="240" name="Graphic 240"/>
                <wp:cNvGraphicFramePr>
                  <a:graphicFrameLocks/>
                </wp:cNvGraphicFramePr>
                <a:graphic>
                  <a:graphicData uri="http://schemas.microsoft.com/office/word/2010/wordprocessingShape">
                    <wps:wsp>
                      <wps:cNvPr id="240" name="Graphic 240"/>
                      <wps:cNvSpPr/>
                      <wps:spPr>
                        <a:xfrm>
                          <a:off x="0" y="0"/>
                          <a:ext cx="792480" cy="1270"/>
                        </a:xfrm>
                        <a:custGeom>
                          <a:avLst/>
                          <a:gdLst/>
                          <a:ahLst/>
                          <a:cxnLst/>
                          <a:rect l="l" t="t" r="r" b="b"/>
                          <a:pathLst>
                            <a:path w="792480" h="0">
                              <a:moveTo>
                                <a:pt x="0" y="0"/>
                              </a:moveTo>
                              <a:lnTo>
                                <a:pt x="791997"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shape style="position:absolute;margin-left:68.031502pt;margin-top:10.90738pt;width:62.4pt;height:.1pt;mso-position-horizontal-relative:page;mso-position-vertical-relative:paragraph;z-index:-15652352;mso-wrap-distance-left:0;mso-wrap-distance-right:0" id="docshape199" coordorigin="1361,218" coordsize="1248,0" path="m1361,218l2608,218e" filled="false" stroked="true" strokeweight=".5pt" strokecolor="#231f20">
                <v:path arrowok="t"/>
                <v:stroke dashstyle="solid"/>
                <w10:wrap type="topAndBottom"/>
              </v:shape>
            </w:pict>
          </mc:Fallback>
        </mc:AlternateContent>
      </w:r>
    </w:p>
    <w:p>
      <w:pPr>
        <w:spacing w:line="225" w:lineRule="auto" w:before="201"/>
        <w:ind w:left="100" w:right="175" w:firstLine="0"/>
        <w:jc w:val="both"/>
        <w:rPr>
          <w:sz w:val="19"/>
        </w:rPr>
      </w:pPr>
      <w:r>
        <w:rPr>
          <w:color w:val="231F20"/>
          <w:position w:val="6"/>
          <w:sz w:val="11"/>
        </w:rPr>
        <w:t>167</w:t>
      </w:r>
      <w:r>
        <w:rPr>
          <w:color w:val="231F20"/>
          <w:spacing w:val="80"/>
          <w:position w:val="6"/>
          <w:sz w:val="11"/>
        </w:rPr>
        <w:t> </w:t>
      </w:r>
      <w:r>
        <w:rPr>
          <w:color w:val="231F20"/>
          <w:sz w:val="19"/>
        </w:rPr>
        <w:t>Definizione contenuta nelle sentenze </w:t>
      </w:r>
      <w:r>
        <w:rPr>
          <w:i/>
          <w:color w:val="231F20"/>
          <w:sz w:val="19"/>
        </w:rPr>
        <w:t>Berlioz </w:t>
      </w:r>
      <w:r>
        <w:rPr>
          <w:color w:val="231F20"/>
          <w:sz w:val="19"/>
        </w:rPr>
        <w:t>C-682/15 e C-245/19 «</w:t>
      </w:r>
      <w:r>
        <w:rPr>
          <w:i/>
          <w:color w:val="231F20"/>
          <w:sz w:val="19"/>
        </w:rPr>
        <w:t>B</w:t>
      </w:r>
      <w:r>
        <w:rPr>
          <w:color w:val="231F20"/>
          <w:sz w:val="19"/>
        </w:rPr>
        <w:t>» sopra esaminata. La disposizione aggiunta nella direttiva (UE) 2011/16 è l’art. 5 </w:t>
      </w:r>
      <w:r>
        <w:rPr>
          <w:i/>
          <w:color w:val="231F20"/>
          <w:sz w:val="19"/>
        </w:rPr>
        <w:t>bis </w:t>
      </w:r>
      <w:r>
        <w:rPr>
          <w:color w:val="231F20"/>
          <w:sz w:val="19"/>
        </w:rPr>
        <w:t>«Prevedibile pertinenza» (paragrafi</w:t>
      </w:r>
      <w:r>
        <w:rPr>
          <w:color w:val="231F20"/>
          <w:spacing w:val="9"/>
          <w:sz w:val="19"/>
        </w:rPr>
        <w:t> </w:t>
      </w:r>
      <w:r>
        <w:rPr>
          <w:color w:val="231F20"/>
          <w:sz w:val="19"/>
        </w:rPr>
        <w:t>1</w:t>
      </w:r>
      <w:r>
        <w:rPr>
          <w:color w:val="231F20"/>
          <w:spacing w:val="9"/>
          <w:sz w:val="19"/>
        </w:rPr>
        <w:t> </w:t>
      </w:r>
      <w:r>
        <w:rPr>
          <w:color w:val="231F20"/>
          <w:sz w:val="19"/>
        </w:rPr>
        <w:t>e</w:t>
      </w:r>
      <w:r>
        <w:rPr>
          <w:color w:val="231F20"/>
          <w:spacing w:val="9"/>
          <w:sz w:val="19"/>
        </w:rPr>
        <w:t> </w:t>
      </w:r>
      <w:r>
        <w:rPr>
          <w:color w:val="231F20"/>
          <w:sz w:val="19"/>
        </w:rPr>
        <w:t>2),</w:t>
      </w:r>
      <w:r>
        <w:rPr>
          <w:color w:val="231F20"/>
          <w:spacing w:val="9"/>
          <w:sz w:val="19"/>
        </w:rPr>
        <w:t> </w:t>
      </w:r>
      <w:r>
        <w:rPr>
          <w:color w:val="231F20"/>
          <w:sz w:val="19"/>
        </w:rPr>
        <w:t>che</w:t>
      </w:r>
      <w:r>
        <w:rPr>
          <w:color w:val="231F20"/>
          <w:spacing w:val="9"/>
          <w:sz w:val="19"/>
        </w:rPr>
        <w:t> </w:t>
      </w:r>
      <w:r>
        <w:rPr>
          <w:color w:val="231F20"/>
          <w:sz w:val="19"/>
        </w:rPr>
        <w:t>inoltre</w:t>
      </w:r>
      <w:r>
        <w:rPr>
          <w:color w:val="231F20"/>
          <w:spacing w:val="10"/>
          <w:sz w:val="19"/>
        </w:rPr>
        <w:t> </w:t>
      </w:r>
      <w:r>
        <w:rPr>
          <w:color w:val="231F20"/>
          <w:sz w:val="19"/>
        </w:rPr>
        <w:t>al</w:t>
      </w:r>
      <w:r>
        <w:rPr>
          <w:color w:val="231F20"/>
          <w:spacing w:val="9"/>
          <w:sz w:val="19"/>
        </w:rPr>
        <w:t> </w:t>
      </w:r>
      <w:r>
        <w:rPr>
          <w:color w:val="231F20"/>
          <w:sz w:val="19"/>
        </w:rPr>
        <w:t>suo</w:t>
      </w:r>
      <w:r>
        <w:rPr>
          <w:color w:val="231F20"/>
          <w:spacing w:val="9"/>
          <w:sz w:val="19"/>
        </w:rPr>
        <w:t> </w:t>
      </w:r>
      <w:r>
        <w:rPr>
          <w:color w:val="231F20"/>
          <w:sz w:val="19"/>
        </w:rPr>
        <w:t>par.</w:t>
      </w:r>
      <w:r>
        <w:rPr>
          <w:color w:val="231F20"/>
          <w:spacing w:val="9"/>
          <w:sz w:val="19"/>
        </w:rPr>
        <w:t> </w:t>
      </w:r>
      <w:r>
        <w:rPr>
          <w:color w:val="231F20"/>
          <w:sz w:val="19"/>
        </w:rPr>
        <w:t>3</w:t>
      </w:r>
      <w:r>
        <w:rPr>
          <w:color w:val="231F20"/>
          <w:spacing w:val="9"/>
          <w:sz w:val="19"/>
        </w:rPr>
        <w:t> </w:t>
      </w:r>
      <w:r>
        <w:rPr>
          <w:color w:val="231F20"/>
          <w:sz w:val="19"/>
        </w:rPr>
        <w:t>traspone</w:t>
      </w:r>
      <w:r>
        <w:rPr>
          <w:color w:val="231F20"/>
          <w:spacing w:val="9"/>
          <w:sz w:val="19"/>
        </w:rPr>
        <w:t> </w:t>
      </w:r>
      <w:r>
        <w:rPr>
          <w:color w:val="231F20"/>
          <w:sz w:val="19"/>
        </w:rPr>
        <w:t>in</w:t>
      </w:r>
      <w:r>
        <w:rPr>
          <w:color w:val="231F20"/>
          <w:spacing w:val="10"/>
          <w:sz w:val="19"/>
        </w:rPr>
        <w:t> </w:t>
      </w:r>
      <w:r>
        <w:rPr>
          <w:color w:val="231F20"/>
          <w:sz w:val="19"/>
        </w:rPr>
        <w:t>una</w:t>
      </w:r>
      <w:r>
        <w:rPr>
          <w:color w:val="231F20"/>
          <w:spacing w:val="9"/>
          <w:sz w:val="19"/>
        </w:rPr>
        <w:t> </w:t>
      </w:r>
      <w:r>
        <w:rPr>
          <w:color w:val="231F20"/>
          <w:sz w:val="19"/>
        </w:rPr>
        <w:t>norma</w:t>
      </w:r>
      <w:r>
        <w:rPr>
          <w:color w:val="231F20"/>
          <w:spacing w:val="9"/>
          <w:sz w:val="19"/>
        </w:rPr>
        <w:t> </w:t>
      </w:r>
      <w:r>
        <w:rPr>
          <w:color w:val="231F20"/>
          <w:sz w:val="19"/>
        </w:rPr>
        <w:t>legislativa</w:t>
      </w:r>
      <w:r>
        <w:rPr>
          <w:color w:val="231F20"/>
          <w:spacing w:val="9"/>
          <w:sz w:val="19"/>
        </w:rPr>
        <w:t> </w:t>
      </w:r>
      <w:r>
        <w:rPr>
          <w:color w:val="231F20"/>
          <w:sz w:val="19"/>
        </w:rPr>
        <w:t>la</w:t>
      </w:r>
      <w:r>
        <w:rPr>
          <w:color w:val="231F20"/>
          <w:spacing w:val="9"/>
          <w:sz w:val="19"/>
        </w:rPr>
        <w:t> </w:t>
      </w:r>
      <w:r>
        <w:rPr>
          <w:color w:val="231F20"/>
          <w:sz w:val="19"/>
        </w:rPr>
        <w:t>definizione</w:t>
      </w:r>
      <w:r>
        <w:rPr>
          <w:color w:val="231F20"/>
          <w:spacing w:val="9"/>
          <w:sz w:val="19"/>
        </w:rPr>
        <w:t> </w:t>
      </w:r>
      <w:r>
        <w:rPr>
          <w:color w:val="231F20"/>
          <w:spacing w:val="-5"/>
          <w:sz w:val="19"/>
        </w:rPr>
        <w:t>di</w:t>
      </w:r>
    </w:p>
    <w:p>
      <w:pPr>
        <w:spacing w:line="225" w:lineRule="auto" w:before="3"/>
        <w:ind w:left="100" w:right="174" w:firstLine="0"/>
        <w:jc w:val="both"/>
        <w:rPr>
          <w:sz w:val="19"/>
        </w:rPr>
      </w:pPr>
      <w:r>
        <w:rPr>
          <w:color w:val="231F20"/>
          <w:sz w:val="19"/>
        </w:rPr>
        <w:t>«gruppo di contribuenti che non possono essere indentificati singolarmente» elaborata </w:t>
      </w:r>
      <w:r>
        <w:rPr>
          <w:color w:val="231F20"/>
          <w:sz w:val="19"/>
        </w:rPr>
        <w:t>dalla Corte di giustizia nelle sentenze C-245/19 e C-437/19 sopra esaminate. Appare oltremodo deplorevole</w:t>
      </w:r>
      <w:r>
        <w:rPr>
          <w:color w:val="231F20"/>
          <w:spacing w:val="16"/>
          <w:sz w:val="19"/>
        </w:rPr>
        <w:t> </w:t>
      </w:r>
      <w:r>
        <w:rPr>
          <w:color w:val="231F20"/>
          <w:sz w:val="19"/>
        </w:rPr>
        <w:t>che</w:t>
      </w:r>
      <w:r>
        <w:rPr>
          <w:color w:val="231F20"/>
          <w:spacing w:val="16"/>
          <w:sz w:val="19"/>
        </w:rPr>
        <w:t> </w:t>
      </w:r>
      <w:r>
        <w:rPr>
          <w:color w:val="231F20"/>
          <w:sz w:val="19"/>
        </w:rPr>
        <w:t>la</w:t>
      </w:r>
      <w:r>
        <w:rPr>
          <w:color w:val="231F20"/>
          <w:spacing w:val="16"/>
          <w:sz w:val="19"/>
        </w:rPr>
        <w:t> </w:t>
      </w:r>
      <w:r>
        <w:rPr>
          <w:color w:val="231F20"/>
          <w:sz w:val="19"/>
        </w:rPr>
        <w:t>motivazione</w:t>
      </w:r>
      <w:r>
        <w:rPr>
          <w:color w:val="231F20"/>
          <w:spacing w:val="16"/>
          <w:sz w:val="19"/>
        </w:rPr>
        <w:t> </w:t>
      </w:r>
      <w:r>
        <w:rPr>
          <w:color w:val="231F20"/>
          <w:sz w:val="19"/>
        </w:rPr>
        <w:t>della</w:t>
      </w:r>
      <w:r>
        <w:rPr>
          <w:color w:val="231F20"/>
          <w:spacing w:val="16"/>
          <w:sz w:val="19"/>
        </w:rPr>
        <w:t> </w:t>
      </w:r>
      <w:r>
        <w:rPr>
          <w:color w:val="231F20"/>
          <w:sz w:val="19"/>
        </w:rPr>
        <w:t>direttiva</w:t>
      </w:r>
      <w:r>
        <w:rPr>
          <w:color w:val="231F20"/>
          <w:spacing w:val="16"/>
          <w:sz w:val="19"/>
        </w:rPr>
        <w:t> </w:t>
      </w:r>
      <w:r>
        <w:rPr>
          <w:color w:val="231F20"/>
          <w:sz w:val="19"/>
        </w:rPr>
        <w:t>(UE)</w:t>
      </w:r>
      <w:r>
        <w:rPr>
          <w:color w:val="231F20"/>
          <w:spacing w:val="16"/>
          <w:sz w:val="19"/>
        </w:rPr>
        <w:t> </w:t>
      </w:r>
      <w:r>
        <w:rPr>
          <w:color w:val="231F20"/>
          <w:sz w:val="19"/>
        </w:rPr>
        <w:t>2021/514</w:t>
      </w:r>
      <w:r>
        <w:rPr>
          <w:color w:val="231F20"/>
          <w:spacing w:val="16"/>
          <w:sz w:val="19"/>
        </w:rPr>
        <w:t> </w:t>
      </w:r>
      <w:r>
        <w:rPr>
          <w:color w:val="231F20"/>
          <w:sz w:val="19"/>
        </w:rPr>
        <w:t>c.d.</w:t>
      </w:r>
      <w:r>
        <w:rPr>
          <w:color w:val="231F20"/>
          <w:spacing w:val="16"/>
          <w:sz w:val="19"/>
        </w:rPr>
        <w:t> </w:t>
      </w:r>
      <w:r>
        <w:rPr>
          <w:color w:val="231F20"/>
          <w:sz w:val="19"/>
        </w:rPr>
        <w:t>DAC</w:t>
      </w:r>
      <w:r>
        <w:rPr>
          <w:color w:val="231F20"/>
          <w:spacing w:val="16"/>
          <w:sz w:val="19"/>
        </w:rPr>
        <w:t> </w:t>
      </w:r>
      <w:r>
        <w:rPr>
          <w:color w:val="231F20"/>
          <w:sz w:val="19"/>
        </w:rPr>
        <w:t>7</w:t>
      </w:r>
      <w:r>
        <w:rPr>
          <w:color w:val="231F20"/>
          <w:spacing w:val="16"/>
          <w:sz w:val="19"/>
        </w:rPr>
        <w:t> </w:t>
      </w:r>
      <w:r>
        <w:rPr>
          <w:color w:val="231F20"/>
          <w:sz w:val="19"/>
        </w:rPr>
        <w:t>che</w:t>
      </w:r>
      <w:r>
        <w:rPr>
          <w:color w:val="231F20"/>
          <w:spacing w:val="16"/>
          <w:sz w:val="19"/>
        </w:rPr>
        <w:t> </w:t>
      </w:r>
      <w:r>
        <w:rPr>
          <w:color w:val="231F20"/>
          <w:sz w:val="19"/>
        </w:rPr>
        <w:t>ha</w:t>
      </w:r>
      <w:r>
        <w:rPr>
          <w:color w:val="231F20"/>
          <w:spacing w:val="16"/>
          <w:sz w:val="19"/>
        </w:rPr>
        <w:t> </w:t>
      </w:r>
      <w:r>
        <w:rPr>
          <w:color w:val="231F20"/>
          <w:sz w:val="19"/>
        </w:rPr>
        <w:t>aggiunto il suddetto art. 5 </w:t>
      </w:r>
      <w:r>
        <w:rPr>
          <w:i/>
          <w:color w:val="231F20"/>
          <w:sz w:val="19"/>
        </w:rPr>
        <w:t>bis </w:t>
      </w:r>
      <w:r>
        <w:rPr>
          <w:color w:val="231F20"/>
          <w:sz w:val="19"/>
        </w:rPr>
        <w:t>alla direttiva di base direttiva (UE) 2011/16 c.d. DAC 1, non faccia il minimo</w:t>
      </w:r>
      <w:r>
        <w:rPr>
          <w:color w:val="231F20"/>
          <w:spacing w:val="-2"/>
          <w:sz w:val="19"/>
        </w:rPr>
        <w:t> </w:t>
      </w:r>
      <w:r>
        <w:rPr>
          <w:color w:val="231F20"/>
          <w:sz w:val="19"/>
        </w:rPr>
        <w:t>cenno,</w:t>
      </w:r>
      <w:r>
        <w:rPr>
          <w:color w:val="231F20"/>
          <w:spacing w:val="-2"/>
          <w:sz w:val="19"/>
        </w:rPr>
        <w:t> </w:t>
      </w:r>
      <w:r>
        <w:rPr>
          <w:color w:val="231F20"/>
          <w:sz w:val="19"/>
        </w:rPr>
        <w:t>ai</w:t>
      </w:r>
      <w:r>
        <w:rPr>
          <w:color w:val="231F20"/>
          <w:spacing w:val="-2"/>
          <w:sz w:val="19"/>
        </w:rPr>
        <w:t> </w:t>
      </w:r>
      <w:r>
        <w:rPr>
          <w:color w:val="231F20"/>
          <w:sz w:val="19"/>
        </w:rPr>
        <w:t>punti</w:t>
      </w:r>
      <w:r>
        <w:rPr>
          <w:color w:val="231F20"/>
          <w:spacing w:val="-2"/>
          <w:sz w:val="19"/>
        </w:rPr>
        <w:t> </w:t>
      </w:r>
      <w:r>
        <w:rPr>
          <w:color w:val="231F20"/>
          <w:sz w:val="19"/>
        </w:rPr>
        <w:t>3</w:t>
      </w:r>
      <w:r>
        <w:rPr>
          <w:color w:val="231F20"/>
          <w:spacing w:val="-2"/>
          <w:sz w:val="19"/>
        </w:rPr>
        <w:t> </w:t>
      </w:r>
      <w:r>
        <w:rPr>
          <w:color w:val="231F20"/>
          <w:sz w:val="19"/>
        </w:rPr>
        <w:t>e</w:t>
      </w:r>
      <w:r>
        <w:rPr>
          <w:color w:val="231F20"/>
          <w:spacing w:val="-2"/>
          <w:sz w:val="19"/>
        </w:rPr>
        <w:t> </w:t>
      </w:r>
      <w:r>
        <w:rPr>
          <w:color w:val="231F20"/>
          <w:sz w:val="19"/>
        </w:rPr>
        <w:t>4</w:t>
      </w:r>
      <w:r>
        <w:rPr>
          <w:color w:val="231F20"/>
          <w:spacing w:val="-2"/>
          <w:sz w:val="19"/>
        </w:rPr>
        <w:t> </w:t>
      </w:r>
      <w:r>
        <w:rPr>
          <w:color w:val="231F20"/>
          <w:sz w:val="19"/>
        </w:rPr>
        <w:t>della</w:t>
      </w:r>
      <w:r>
        <w:rPr>
          <w:color w:val="231F20"/>
          <w:spacing w:val="-2"/>
          <w:sz w:val="19"/>
        </w:rPr>
        <w:t> </w:t>
      </w:r>
      <w:r>
        <w:rPr>
          <w:color w:val="231F20"/>
          <w:sz w:val="19"/>
        </w:rPr>
        <w:t>motivazione,</w:t>
      </w:r>
      <w:r>
        <w:rPr>
          <w:color w:val="231F20"/>
          <w:spacing w:val="-2"/>
          <w:sz w:val="19"/>
        </w:rPr>
        <w:t> </w:t>
      </w:r>
      <w:r>
        <w:rPr>
          <w:color w:val="231F20"/>
          <w:sz w:val="19"/>
        </w:rPr>
        <w:t>alle</w:t>
      </w:r>
      <w:r>
        <w:rPr>
          <w:color w:val="231F20"/>
          <w:spacing w:val="-2"/>
          <w:sz w:val="19"/>
        </w:rPr>
        <w:t> </w:t>
      </w:r>
      <w:r>
        <w:rPr>
          <w:color w:val="231F20"/>
          <w:sz w:val="19"/>
        </w:rPr>
        <w:t>sentenze</w:t>
      </w:r>
      <w:r>
        <w:rPr>
          <w:color w:val="231F20"/>
          <w:spacing w:val="-2"/>
          <w:sz w:val="19"/>
        </w:rPr>
        <w:t> </w:t>
      </w:r>
      <w:r>
        <w:rPr>
          <w:color w:val="231F20"/>
          <w:sz w:val="19"/>
        </w:rPr>
        <w:t>della</w:t>
      </w:r>
      <w:r>
        <w:rPr>
          <w:color w:val="231F20"/>
          <w:spacing w:val="-2"/>
          <w:sz w:val="19"/>
        </w:rPr>
        <w:t> </w:t>
      </w:r>
      <w:r>
        <w:rPr>
          <w:color w:val="231F20"/>
          <w:sz w:val="19"/>
        </w:rPr>
        <w:t>Corte</w:t>
      </w:r>
      <w:r>
        <w:rPr>
          <w:color w:val="231F20"/>
          <w:spacing w:val="-2"/>
          <w:sz w:val="19"/>
        </w:rPr>
        <w:t> </w:t>
      </w:r>
      <w:r>
        <w:rPr>
          <w:color w:val="231F20"/>
          <w:sz w:val="19"/>
        </w:rPr>
        <w:t>di</w:t>
      </w:r>
      <w:r>
        <w:rPr>
          <w:color w:val="231F20"/>
          <w:spacing w:val="-2"/>
          <w:sz w:val="19"/>
        </w:rPr>
        <w:t> </w:t>
      </w:r>
      <w:r>
        <w:rPr>
          <w:color w:val="231F20"/>
          <w:sz w:val="19"/>
        </w:rPr>
        <w:t>cui</w:t>
      </w:r>
      <w:r>
        <w:rPr>
          <w:color w:val="231F20"/>
          <w:spacing w:val="-2"/>
          <w:sz w:val="19"/>
        </w:rPr>
        <w:t> </w:t>
      </w:r>
      <w:r>
        <w:rPr>
          <w:color w:val="231F20"/>
          <w:sz w:val="19"/>
        </w:rPr>
        <w:t>detto</w:t>
      </w:r>
      <w:r>
        <w:rPr>
          <w:color w:val="231F20"/>
          <w:spacing w:val="-2"/>
          <w:sz w:val="19"/>
        </w:rPr>
        <w:t> </w:t>
      </w:r>
      <w:r>
        <w:rPr>
          <w:color w:val="231F20"/>
          <w:sz w:val="19"/>
        </w:rPr>
        <w:t>articolo aggiunto 5 </w:t>
      </w:r>
      <w:r>
        <w:rPr>
          <w:i/>
          <w:color w:val="231F20"/>
          <w:sz w:val="19"/>
        </w:rPr>
        <w:t>bis </w:t>
      </w:r>
      <w:r>
        <w:rPr>
          <w:color w:val="231F20"/>
          <w:sz w:val="19"/>
        </w:rPr>
        <w:t>costituisce la semplice trasposizione.</w:t>
      </w:r>
    </w:p>
    <w:p>
      <w:pPr>
        <w:spacing w:line="225" w:lineRule="auto" w:before="6"/>
        <w:ind w:left="100" w:right="174" w:firstLine="0"/>
        <w:jc w:val="both"/>
        <w:rPr>
          <w:sz w:val="19"/>
        </w:rPr>
      </w:pPr>
      <w:r>
        <w:rPr>
          <w:color w:val="231F20"/>
          <w:position w:val="6"/>
          <w:sz w:val="11"/>
        </w:rPr>
        <w:t>168</w:t>
      </w:r>
      <w:r>
        <w:rPr>
          <w:color w:val="231F20"/>
          <w:spacing w:val="71"/>
          <w:position w:val="6"/>
          <w:sz w:val="11"/>
        </w:rPr>
        <w:t> </w:t>
      </w:r>
      <w:r>
        <w:rPr>
          <w:color w:val="231F20"/>
          <w:sz w:val="19"/>
        </w:rPr>
        <w:t>Si</w:t>
      </w:r>
      <w:r>
        <w:rPr>
          <w:color w:val="231F20"/>
          <w:spacing w:val="-6"/>
          <w:sz w:val="19"/>
        </w:rPr>
        <w:t> </w:t>
      </w:r>
      <w:r>
        <w:rPr>
          <w:color w:val="231F20"/>
          <w:sz w:val="19"/>
        </w:rPr>
        <w:t>tratta</w:t>
      </w:r>
      <w:r>
        <w:rPr>
          <w:color w:val="231F20"/>
          <w:spacing w:val="-6"/>
          <w:sz w:val="19"/>
        </w:rPr>
        <w:t> </w:t>
      </w:r>
      <w:r>
        <w:rPr>
          <w:color w:val="231F20"/>
          <w:sz w:val="19"/>
        </w:rPr>
        <w:t>dell’indispensabile</w:t>
      </w:r>
      <w:r>
        <w:rPr>
          <w:color w:val="231F20"/>
          <w:spacing w:val="-6"/>
          <w:sz w:val="19"/>
        </w:rPr>
        <w:t> </w:t>
      </w:r>
      <w:r>
        <w:rPr>
          <w:color w:val="231F20"/>
          <w:sz w:val="19"/>
        </w:rPr>
        <w:t>seguito</w:t>
      </w:r>
      <w:r>
        <w:rPr>
          <w:color w:val="231F20"/>
          <w:spacing w:val="-6"/>
          <w:sz w:val="19"/>
        </w:rPr>
        <w:t> </w:t>
      </w:r>
      <w:r>
        <w:rPr>
          <w:color w:val="231F20"/>
          <w:sz w:val="19"/>
        </w:rPr>
        <w:t>dato</w:t>
      </w:r>
      <w:r>
        <w:rPr>
          <w:color w:val="231F20"/>
          <w:spacing w:val="-6"/>
          <w:sz w:val="19"/>
        </w:rPr>
        <w:t> </w:t>
      </w:r>
      <w:r>
        <w:rPr>
          <w:color w:val="231F20"/>
          <w:sz w:val="19"/>
        </w:rPr>
        <w:t>dal</w:t>
      </w:r>
      <w:r>
        <w:rPr>
          <w:color w:val="231F20"/>
          <w:spacing w:val="-6"/>
          <w:sz w:val="19"/>
        </w:rPr>
        <w:t> </w:t>
      </w:r>
      <w:r>
        <w:rPr>
          <w:color w:val="231F20"/>
          <w:sz w:val="19"/>
        </w:rPr>
        <w:t>Consiglio</w:t>
      </w:r>
      <w:r>
        <w:rPr>
          <w:color w:val="231F20"/>
          <w:spacing w:val="-6"/>
          <w:sz w:val="19"/>
        </w:rPr>
        <w:t> </w:t>
      </w:r>
      <w:r>
        <w:rPr>
          <w:color w:val="231F20"/>
          <w:sz w:val="19"/>
        </w:rPr>
        <w:t>dei</w:t>
      </w:r>
      <w:r>
        <w:rPr>
          <w:color w:val="231F20"/>
          <w:spacing w:val="-6"/>
          <w:sz w:val="19"/>
        </w:rPr>
        <w:t> </w:t>
      </w:r>
      <w:r>
        <w:rPr>
          <w:color w:val="231F20"/>
          <w:sz w:val="19"/>
        </w:rPr>
        <w:t>ministri</w:t>
      </w:r>
      <w:r>
        <w:rPr>
          <w:color w:val="231F20"/>
          <w:spacing w:val="-6"/>
          <w:sz w:val="19"/>
        </w:rPr>
        <w:t> </w:t>
      </w:r>
      <w:r>
        <w:rPr>
          <w:color w:val="231F20"/>
          <w:sz w:val="19"/>
        </w:rPr>
        <w:t>UE</w:t>
      </w:r>
      <w:r>
        <w:rPr>
          <w:color w:val="231F20"/>
          <w:spacing w:val="-6"/>
          <w:sz w:val="19"/>
        </w:rPr>
        <w:t> </w:t>
      </w:r>
      <w:r>
        <w:rPr>
          <w:color w:val="231F20"/>
          <w:sz w:val="19"/>
        </w:rPr>
        <w:t>alla</w:t>
      </w:r>
      <w:r>
        <w:rPr>
          <w:color w:val="231F20"/>
          <w:spacing w:val="-6"/>
          <w:sz w:val="19"/>
        </w:rPr>
        <w:t> </w:t>
      </w:r>
      <w:r>
        <w:rPr>
          <w:color w:val="231F20"/>
          <w:sz w:val="19"/>
        </w:rPr>
        <w:t>dichiarazione</w:t>
      </w:r>
      <w:r>
        <w:rPr>
          <w:color w:val="231F20"/>
          <w:spacing w:val="-6"/>
          <w:sz w:val="19"/>
        </w:rPr>
        <w:t> </w:t>
      </w:r>
      <w:r>
        <w:rPr>
          <w:color w:val="231F20"/>
          <w:sz w:val="19"/>
        </w:rPr>
        <w:t>di </w:t>
      </w:r>
      <w:r>
        <w:rPr>
          <w:color w:val="231F20"/>
          <w:spacing w:val="-2"/>
          <w:sz w:val="19"/>
        </w:rPr>
        <w:t>invalidità</w:t>
      </w:r>
      <w:r>
        <w:rPr>
          <w:color w:val="231F20"/>
          <w:spacing w:val="-9"/>
          <w:sz w:val="19"/>
        </w:rPr>
        <w:t> </w:t>
      </w:r>
      <w:r>
        <w:rPr>
          <w:color w:val="231F20"/>
          <w:spacing w:val="-2"/>
          <w:sz w:val="19"/>
        </w:rPr>
        <w:t>del</w:t>
      </w:r>
      <w:r>
        <w:rPr>
          <w:color w:val="231F20"/>
          <w:spacing w:val="-9"/>
          <w:sz w:val="19"/>
        </w:rPr>
        <w:t> </w:t>
      </w:r>
      <w:r>
        <w:rPr>
          <w:color w:val="231F20"/>
          <w:spacing w:val="-2"/>
          <w:sz w:val="19"/>
        </w:rPr>
        <w:t>par.</w:t>
      </w:r>
      <w:r>
        <w:rPr>
          <w:color w:val="231F20"/>
          <w:spacing w:val="-9"/>
          <w:sz w:val="19"/>
        </w:rPr>
        <w:t> </w:t>
      </w:r>
      <w:r>
        <w:rPr>
          <w:color w:val="231F20"/>
          <w:spacing w:val="-2"/>
          <w:sz w:val="19"/>
        </w:rPr>
        <w:t>5</w:t>
      </w:r>
      <w:r>
        <w:rPr>
          <w:color w:val="231F20"/>
          <w:spacing w:val="-9"/>
          <w:sz w:val="19"/>
        </w:rPr>
        <w:t> </w:t>
      </w:r>
      <w:r>
        <w:rPr>
          <w:color w:val="231F20"/>
          <w:spacing w:val="-2"/>
          <w:sz w:val="19"/>
        </w:rPr>
        <w:t>dell’art.</w:t>
      </w:r>
      <w:r>
        <w:rPr>
          <w:color w:val="231F20"/>
          <w:spacing w:val="-9"/>
          <w:sz w:val="19"/>
        </w:rPr>
        <w:t> </w:t>
      </w:r>
      <w:r>
        <w:rPr>
          <w:color w:val="231F20"/>
          <w:spacing w:val="-2"/>
          <w:sz w:val="19"/>
        </w:rPr>
        <w:t>8</w:t>
      </w:r>
      <w:r>
        <w:rPr>
          <w:color w:val="231F20"/>
          <w:spacing w:val="-9"/>
          <w:sz w:val="19"/>
        </w:rPr>
        <w:t> </w:t>
      </w:r>
      <w:r>
        <w:rPr>
          <w:i/>
          <w:color w:val="231F20"/>
          <w:spacing w:val="-2"/>
          <w:sz w:val="19"/>
        </w:rPr>
        <w:t>bis</w:t>
      </w:r>
      <w:r>
        <w:rPr>
          <w:i/>
          <w:color w:val="231F20"/>
          <w:spacing w:val="-9"/>
          <w:sz w:val="19"/>
        </w:rPr>
        <w:t> </w:t>
      </w:r>
      <w:r>
        <w:rPr>
          <w:i/>
          <w:color w:val="231F20"/>
          <w:spacing w:val="-2"/>
          <w:sz w:val="19"/>
        </w:rPr>
        <w:t>ter</w:t>
      </w:r>
      <w:r>
        <w:rPr>
          <w:color w:val="231F20"/>
          <w:spacing w:val="-2"/>
          <w:sz w:val="19"/>
        </w:rPr>
        <w:t>,</w:t>
      </w:r>
      <w:r>
        <w:rPr>
          <w:color w:val="231F20"/>
          <w:spacing w:val="-9"/>
          <w:sz w:val="19"/>
        </w:rPr>
        <w:t> </w:t>
      </w:r>
      <w:r>
        <w:rPr>
          <w:color w:val="231F20"/>
          <w:spacing w:val="-2"/>
          <w:sz w:val="19"/>
        </w:rPr>
        <w:t>direttiva</w:t>
      </w:r>
      <w:r>
        <w:rPr>
          <w:color w:val="231F20"/>
          <w:spacing w:val="-9"/>
          <w:sz w:val="19"/>
        </w:rPr>
        <w:t> </w:t>
      </w:r>
      <w:r>
        <w:rPr>
          <w:color w:val="231F20"/>
          <w:spacing w:val="-2"/>
          <w:sz w:val="19"/>
        </w:rPr>
        <w:t>(UE)</w:t>
      </w:r>
      <w:r>
        <w:rPr>
          <w:color w:val="231F20"/>
          <w:spacing w:val="-9"/>
          <w:sz w:val="19"/>
        </w:rPr>
        <w:t> </w:t>
      </w:r>
      <w:r>
        <w:rPr>
          <w:color w:val="231F20"/>
          <w:spacing w:val="-2"/>
          <w:sz w:val="19"/>
        </w:rPr>
        <w:t>2011/16,</w:t>
      </w:r>
      <w:r>
        <w:rPr>
          <w:color w:val="231F20"/>
          <w:spacing w:val="-9"/>
          <w:sz w:val="19"/>
        </w:rPr>
        <w:t> </w:t>
      </w:r>
      <w:r>
        <w:rPr>
          <w:color w:val="231F20"/>
          <w:spacing w:val="-2"/>
          <w:sz w:val="19"/>
        </w:rPr>
        <w:t>contenuta</w:t>
      </w:r>
      <w:r>
        <w:rPr>
          <w:color w:val="231F20"/>
          <w:spacing w:val="-9"/>
          <w:sz w:val="19"/>
        </w:rPr>
        <w:t> </w:t>
      </w:r>
      <w:r>
        <w:rPr>
          <w:color w:val="231F20"/>
          <w:spacing w:val="-2"/>
          <w:sz w:val="19"/>
        </w:rPr>
        <w:t>nella</w:t>
      </w:r>
      <w:r>
        <w:rPr>
          <w:color w:val="231F20"/>
          <w:spacing w:val="-9"/>
          <w:sz w:val="19"/>
        </w:rPr>
        <w:t> </w:t>
      </w:r>
      <w:r>
        <w:rPr>
          <w:color w:val="231F20"/>
          <w:spacing w:val="-2"/>
          <w:sz w:val="19"/>
        </w:rPr>
        <w:t>sentenza</w:t>
      </w:r>
      <w:r>
        <w:rPr>
          <w:color w:val="231F20"/>
          <w:spacing w:val="-9"/>
          <w:sz w:val="19"/>
        </w:rPr>
        <w:t> </w:t>
      </w:r>
      <w:r>
        <w:rPr>
          <w:color w:val="231F20"/>
          <w:spacing w:val="-2"/>
          <w:sz w:val="19"/>
        </w:rPr>
        <w:t>C-694/20 </w:t>
      </w:r>
      <w:r>
        <w:rPr>
          <w:i/>
          <w:color w:val="231F20"/>
          <w:sz w:val="19"/>
        </w:rPr>
        <w:t>Ordine degli avvocati fiamminghi</w:t>
      </w:r>
      <w:r>
        <w:rPr>
          <w:color w:val="231F20"/>
          <w:sz w:val="19"/>
        </w:rPr>
        <w:t>, pure sopra esaminata. La direttiva che ha modificato il par. 5 dell’art. 8 </w:t>
      </w:r>
      <w:r>
        <w:rPr>
          <w:i/>
          <w:color w:val="231F20"/>
          <w:sz w:val="19"/>
        </w:rPr>
        <w:t>bis ter </w:t>
      </w:r>
      <w:r>
        <w:rPr>
          <w:color w:val="231F20"/>
          <w:sz w:val="19"/>
        </w:rPr>
        <w:t>della direttiva di base è l’art. 1, n. 4, lett. a), direttiva (UE) 2023/2226 c.d. DAC 8.</w:t>
      </w:r>
    </w:p>
    <w:p>
      <w:pPr>
        <w:spacing w:line="225" w:lineRule="auto" w:before="5"/>
        <w:ind w:left="100" w:right="174" w:firstLine="0"/>
        <w:jc w:val="both"/>
        <w:rPr>
          <w:sz w:val="19"/>
        </w:rPr>
      </w:pPr>
      <w:r>
        <w:rPr>
          <w:color w:val="231F20"/>
          <w:position w:val="6"/>
          <w:sz w:val="11"/>
        </w:rPr>
        <w:t>169</w:t>
      </w:r>
      <w:r>
        <w:rPr>
          <w:color w:val="231F20"/>
          <w:spacing w:val="76"/>
          <w:position w:val="6"/>
          <w:sz w:val="11"/>
        </w:rPr>
        <w:t> </w:t>
      </w:r>
      <w:r>
        <w:rPr>
          <w:color w:val="231F20"/>
          <w:sz w:val="19"/>
        </w:rPr>
        <w:t>Corte</w:t>
      </w:r>
      <w:r>
        <w:rPr>
          <w:color w:val="231F20"/>
          <w:spacing w:val="-1"/>
          <w:sz w:val="19"/>
        </w:rPr>
        <w:t> </w:t>
      </w:r>
      <w:r>
        <w:rPr>
          <w:color w:val="231F20"/>
          <w:sz w:val="19"/>
        </w:rPr>
        <w:t>Giust.</w:t>
      </w:r>
      <w:r>
        <w:rPr>
          <w:color w:val="231F20"/>
          <w:spacing w:val="-1"/>
          <w:sz w:val="19"/>
        </w:rPr>
        <w:t> </w:t>
      </w:r>
      <w:r>
        <w:rPr>
          <w:color w:val="231F20"/>
          <w:sz w:val="19"/>
        </w:rPr>
        <w:t>UE,</w:t>
      </w:r>
      <w:r>
        <w:rPr>
          <w:color w:val="231F20"/>
          <w:spacing w:val="-1"/>
          <w:sz w:val="19"/>
        </w:rPr>
        <w:t> </w:t>
      </w:r>
      <w:r>
        <w:rPr>
          <w:color w:val="231F20"/>
          <w:sz w:val="19"/>
        </w:rPr>
        <w:t>sent.</w:t>
      </w:r>
      <w:r>
        <w:rPr>
          <w:color w:val="231F20"/>
          <w:spacing w:val="-1"/>
          <w:sz w:val="19"/>
        </w:rPr>
        <w:t> </w:t>
      </w:r>
      <w:r>
        <w:rPr>
          <w:color w:val="231F20"/>
          <w:sz w:val="19"/>
        </w:rPr>
        <w:t>del</w:t>
      </w:r>
      <w:r>
        <w:rPr>
          <w:color w:val="231F20"/>
          <w:spacing w:val="-1"/>
          <w:sz w:val="19"/>
        </w:rPr>
        <w:t> </w:t>
      </w:r>
      <w:r>
        <w:rPr>
          <w:color w:val="231F20"/>
          <w:sz w:val="19"/>
        </w:rPr>
        <w:t>17</w:t>
      </w:r>
      <w:r>
        <w:rPr>
          <w:color w:val="231F20"/>
          <w:spacing w:val="-1"/>
          <w:sz w:val="19"/>
        </w:rPr>
        <w:t> </w:t>
      </w:r>
      <w:r>
        <w:rPr>
          <w:color w:val="231F20"/>
          <w:sz w:val="19"/>
        </w:rPr>
        <w:t>dicembre</w:t>
      </w:r>
      <w:r>
        <w:rPr>
          <w:color w:val="231F20"/>
          <w:spacing w:val="-1"/>
          <w:sz w:val="19"/>
        </w:rPr>
        <w:t> </w:t>
      </w:r>
      <w:r>
        <w:rPr>
          <w:color w:val="231F20"/>
          <w:sz w:val="19"/>
        </w:rPr>
        <w:t>2015,</w:t>
      </w:r>
      <w:r>
        <w:rPr>
          <w:color w:val="231F20"/>
          <w:spacing w:val="-1"/>
          <w:sz w:val="19"/>
        </w:rPr>
        <w:t> </w:t>
      </w:r>
      <w:r>
        <w:rPr>
          <w:color w:val="231F20"/>
          <w:sz w:val="19"/>
        </w:rPr>
        <w:t>C-419/14,</w:t>
      </w:r>
      <w:r>
        <w:rPr>
          <w:color w:val="231F20"/>
          <w:spacing w:val="-1"/>
          <w:sz w:val="19"/>
        </w:rPr>
        <w:t> </w:t>
      </w:r>
      <w:r>
        <w:rPr>
          <w:color w:val="231F20"/>
          <w:sz w:val="19"/>
        </w:rPr>
        <w:t>cit</w:t>
      </w:r>
      <w:r>
        <w:rPr>
          <w:i/>
          <w:color w:val="231F20"/>
          <w:sz w:val="19"/>
        </w:rPr>
        <w:t>.</w:t>
      </w:r>
      <w:r>
        <w:rPr>
          <w:i/>
          <w:color w:val="231F20"/>
          <w:spacing w:val="-1"/>
          <w:sz w:val="19"/>
        </w:rPr>
        <w:t> </w:t>
      </w:r>
      <w:r>
        <w:rPr>
          <w:color w:val="231F20"/>
          <w:sz w:val="19"/>
        </w:rPr>
        <w:t>e</w:t>
      </w:r>
      <w:r>
        <w:rPr>
          <w:color w:val="231F20"/>
          <w:spacing w:val="-1"/>
          <w:sz w:val="19"/>
        </w:rPr>
        <w:t> </w:t>
      </w:r>
      <w:r>
        <w:rPr>
          <w:color w:val="231F20"/>
          <w:sz w:val="19"/>
        </w:rPr>
        <w:t>Corte</w:t>
      </w:r>
      <w:r>
        <w:rPr>
          <w:color w:val="231F20"/>
          <w:spacing w:val="-1"/>
          <w:sz w:val="19"/>
        </w:rPr>
        <w:t> </w:t>
      </w:r>
      <w:r>
        <w:rPr>
          <w:color w:val="231F20"/>
          <w:sz w:val="19"/>
        </w:rPr>
        <w:t>Giust.</w:t>
      </w:r>
      <w:r>
        <w:rPr>
          <w:color w:val="231F20"/>
          <w:spacing w:val="-1"/>
          <w:sz w:val="19"/>
        </w:rPr>
        <w:t> </w:t>
      </w:r>
      <w:r>
        <w:rPr>
          <w:color w:val="231F20"/>
          <w:sz w:val="19"/>
        </w:rPr>
        <w:t>UE,</w:t>
      </w:r>
      <w:r>
        <w:rPr>
          <w:color w:val="231F20"/>
          <w:spacing w:val="-1"/>
          <w:sz w:val="19"/>
        </w:rPr>
        <w:t> </w:t>
      </w:r>
      <w:r>
        <w:rPr>
          <w:color w:val="231F20"/>
          <w:sz w:val="19"/>
        </w:rPr>
        <w:t>sent.</w:t>
      </w:r>
      <w:r>
        <w:rPr>
          <w:color w:val="231F20"/>
          <w:spacing w:val="-1"/>
          <w:sz w:val="19"/>
        </w:rPr>
        <w:t> </w:t>
      </w:r>
      <w:r>
        <w:rPr>
          <w:color w:val="231F20"/>
          <w:sz w:val="19"/>
        </w:rPr>
        <w:t>del 18 giugno 2020, C-276/18, cit.</w:t>
      </w:r>
    </w:p>
    <w:p>
      <w:pPr>
        <w:spacing w:line="233" w:lineRule="exact" w:before="0"/>
        <w:ind w:left="100" w:right="0" w:firstLine="0"/>
        <w:jc w:val="both"/>
        <w:rPr>
          <w:sz w:val="19"/>
        </w:rPr>
      </w:pPr>
      <w:r>
        <w:rPr>
          <w:color w:val="231F20"/>
          <w:position w:val="6"/>
          <w:sz w:val="11"/>
        </w:rPr>
        <w:t>170</w:t>
      </w:r>
      <w:r>
        <w:rPr>
          <w:color w:val="231F20"/>
          <w:spacing w:val="79"/>
          <w:position w:val="6"/>
          <w:sz w:val="11"/>
        </w:rPr>
        <w:t> </w:t>
      </w:r>
      <w:r>
        <w:rPr>
          <w:color w:val="231F20"/>
          <w:sz w:val="19"/>
        </w:rPr>
        <w:t>Corte Giust. UE, sent.</w:t>
      </w:r>
      <w:r>
        <w:rPr>
          <w:color w:val="231F20"/>
          <w:spacing w:val="-1"/>
          <w:sz w:val="19"/>
        </w:rPr>
        <w:t> </w:t>
      </w:r>
      <w:r>
        <w:rPr>
          <w:color w:val="231F20"/>
          <w:sz w:val="19"/>
        </w:rPr>
        <w:t>del 24 febbraio 2021, C-95/19, </w:t>
      </w:r>
      <w:r>
        <w:rPr>
          <w:color w:val="231F20"/>
          <w:spacing w:val="-4"/>
          <w:sz w:val="19"/>
        </w:rPr>
        <w:t>cit.</w:t>
      </w:r>
    </w:p>
    <w:p>
      <w:pPr>
        <w:spacing w:after="0" w:line="233" w:lineRule="exact"/>
        <w:jc w:val="both"/>
        <w:rPr>
          <w:sz w:val="19"/>
        </w:rPr>
        <w:sectPr>
          <w:pgSz w:w="9640" w:h="13610"/>
          <w:pgMar w:header="0" w:footer="625" w:top="1260" w:bottom="820" w:left="1260" w:right="1240"/>
        </w:sectPr>
      </w:pPr>
    </w:p>
    <w:p>
      <w:pPr>
        <w:pStyle w:val="BodyText"/>
        <w:spacing w:line="225" w:lineRule="auto" w:before="117"/>
        <w:ind w:left="157" w:right="117"/>
        <w:jc w:val="both"/>
      </w:pPr>
      <w:r>
        <w:rPr/>
        <mc:AlternateContent>
          <mc:Choice Requires="wps">
            <w:drawing>
              <wp:anchor distT="0" distB="0" distL="0" distR="0" allowOverlap="1" layoutInCell="1" locked="0" behindDoc="0" simplePos="0" relativeHeight="15805952">
                <wp:simplePos x="0" y="0"/>
                <wp:positionH relativeFrom="page">
                  <wp:posOffset>5608609</wp:posOffset>
                </wp:positionH>
                <wp:positionV relativeFrom="page">
                  <wp:posOffset>2376001</wp:posOffset>
                </wp:positionV>
                <wp:extent cx="511809" cy="2412365"/>
                <wp:effectExtent l="0" t="0" r="0" b="0"/>
                <wp:wrapNone/>
                <wp:docPr id="241" name="Group 241"/>
                <wp:cNvGraphicFramePr>
                  <a:graphicFrameLocks/>
                </wp:cNvGraphicFramePr>
                <a:graphic>
                  <a:graphicData uri="http://schemas.microsoft.com/office/word/2010/wordprocessingGroup">
                    <wpg:wgp>
                      <wpg:cNvPr id="241" name="Group 241"/>
                      <wpg:cNvGrpSpPr/>
                      <wpg:grpSpPr>
                        <a:xfrm>
                          <a:off x="0" y="0"/>
                          <a:ext cx="511809" cy="2412365"/>
                          <a:chExt cx="511809" cy="2412365"/>
                        </a:xfrm>
                      </wpg:grpSpPr>
                      <wps:wsp>
                        <wps:cNvPr id="242" name="Graphic 242"/>
                        <wps:cNvSpPr/>
                        <wps:spPr>
                          <a:xfrm>
                            <a:off x="7393" y="3"/>
                            <a:ext cx="504190" cy="360045"/>
                          </a:xfrm>
                          <a:custGeom>
                            <a:avLst/>
                            <a:gdLst/>
                            <a:ahLst/>
                            <a:cxnLst/>
                            <a:rect l="l" t="t" r="r" b="b"/>
                            <a:pathLst>
                              <a:path w="504190" h="360045">
                                <a:moveTo>
                                  <a:pt x="503999" y="0"/>
                                </a:moveTo>
                                <a:lnTo>
                                  <a:pt x="0" y="0"/>
                                </a:lnTo>
                                <a:lnTo>
                                  <a:pt x="0" y="359994"/>
                                </a:lnTo>
                                <a:lnTo>
                                  <a:pt x="503999" y="359994"/>
                                </a:lnTo>
                                <a:lnTo>
                                  <a:pt x="503999" y="0"/>
                                </a:lnTo>
                                <a:close/>
                              </a:path>
                            </a:pathLst>
                          </a:custGeom>
                          <a:solidFill>
                            <a:srgbClr val="939598"/>
                          </a:solidFill>
                        </wps:spPr>
                        <wps:bodyPr wrap="square" lIns="0" tIns="0" rIns="0" bIns="0" rtlCol="0">
                          <a:prstTxWarp prst="textNoShape">
                            <a:avLst/>
                          </a:prstTxWarp>
                          <a:noAutofit/>
                        </wps:bodyPr>
                      </wps:wsp>
                      <wps:wsp>
                        <wps:cNvPr id="243" name="Graphic 243"/>
                        <wps:cNvSpPr/>
                        <wps:spPr>
                          <a:xfrm>
                            <a:off x="6350" y="0"/>
                            <a:ext cx="1270" cy="2412365"/>
                          </a:xfrm>
                          <a:custGeom>
                            <a:avLst/>
                            <a:gdLst/>
                            <a:ahLst/>
                            <a:cxnLst/>
                            <a:rect l="l" t="t" r="r" b="b"/>
                            <a:pathLst>
                              <a:path w="0" h="2412365">
                                <a:moveTo>
                                  <a:pt x="0" y="0"/>
                                </a:moveTo>
                                <a:lnTo>
                                  <a:pt x="0" y="2411996"/>
                                </a:lnTo>
                              </a:path>
                            </a:pathLst>
                          </a:custGeom>
                          <a:ln w="12700">
                            <a:solidFill>
                              <a:srgbClr val="939598"/>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441.622803pt;margin-top:187.0867pt;width:40.3pt;height:189.95pt;mso-position-horizontal-relative:page;mso-position-vertical-relative:page;z-index:15805952" id="docshapegroup200" coordorigin="8832,3742" coordsize="806,3799">
                <v:rect style="position:absolute;left:8844;top:3741;width:794;height:567" id="docshape201" filled="true" fillcolor="#939598" stroked="false">
                  <v:fill type="solid"/>
                </v:rect>
                <v:line style="position:absolute" from="8842,3742" to="8842,7540" stroked="true" strokeweight="1pt" strokecolor="#939598">
                  <v:stroke dashstyle="solid"/>
                </v:line>
                <w10:wrap type="none"/>
              </v:group>
            </w:pict>
          </mc:Fallback>
        </mc:AlternateContent>
      </w:r>
      <w:r>
        <w:rPr/>
        <mc:AlternateContent>
          <mc:Choice Requires="wps">
            <w:drawing>
              <wp:anchor distT="0" distB="0" distL="0" distR="0" allowOverlap="1" layoutInCell="1" locked="0" behindDoc="0" simplePos="0" relativeHeight="15806464">
                <wp:simplePos x="0" y="0"/>
                <wp:positionH relativeFrom="page">
                  <wp:posOffset>5635147</wp:posOffset>
                </wp:positionH>
                <wp:positionV relativeFrom="page">
                  <wp:posOffset>2795300</wp:posOffset>
                </wp:positionV>
                <wp:extent cx="299720" cy="1995805"/>
                <wp:effectExtent l="0" t="0" r="0" b="0"/>
                <wp:wrapNone/>
                <wp:docPr id="244" name="Textbox 244"/>
                <wp:cNvGraphicFramePr>
                  <a:graphicFrameLocks/>
                </wp:cNvGraphicFramePr>
                <a:graphic>
                  <a:graphicData uri="http://schemas.microsoft.com/office/word/2010/wordprocessingShape">
                    <wps:wsp>
                      <wps:cNvPr id="244" name="Textbox 244"/>
                      <wps:cNvSpPr txBox="1"/>
                      <wps:spPr>
                        <a:xfrm>
                          <a:off x="0" y="0"/>
                          <a:ext cx="299720" cy="1995805"/>
                        </a:xfrm>
                        <a:prstGeom prst="rect">
                          <a:avLst/>
                        </a:prstGeom>
                      </wps:spPr>
                      <wps:txbx>
                        <w:txbxContent>
                          <w:p>
                            <w:pPr>
                              <w:spacing w:before="20"/>
                              <w:ind w:left="20" w:right="0" w:firstLine="0"/>
                              <w:jc w:val="left"/>
                              <w:rPr>
                                <w:rFonts w:ascii="Minion Pro"/>
                                <w:sz w:val="32"/>
                              </w:rPr>
                            </w:pPr>
                            <w:r>
                              <w:rPr>
                                <w:rFonts w:ascii="Minion Pro"/>
                                <w:color w:val="231F20"/>
                                <w:sz w:val="32"/>
                              </w:rPr>
                              <w:t>Commented</w:t>
                            </w:r>
                            <w:r>
                              <w:rPr>
                                <w:rFonts w:ascii="Minion Pro"/>
                                <w:color w:val="231F20"/>
                                <w:spacing w:val="-10"/>
                                <w:sz w:val="32"/>
                              </w:rPr>
                              <w:t> </w:t>
                            </w:r>
                            <w:r>
                              <w:rPr>
                                <w:rFonts w:ascii="Minion Pro"/>
                                <w:color w:val="231F20"/>
                                <w:spacing w:val="-2"/>
                                <w:sz w:val="32"/>
                              </w:rPr>
                              <w:t>documents</w:t>
                            </w:r>
                          </w:p>
                        </w:txbxContent>
                      </wps:txbx>
                      <wps:bodyPr wrap="square" lIns="0" tIns="0" rIns="0" bIns="0" rtlCol="0" vert="vert">
                        <a:noAutofit/>
                      </wps:bodyPr>
                    </wps:wsp>
                  </a:graphicData>
                </a:graphic>
              </wp:anchor>
            </w:drawing>
          </mc:Choice>
          <mc:Fallback>
            <w:pict>
              <v:shape style="position:absolute;margin-left:443.712402pt;margin-top:220.102402pt;width:23.6pt;height:157.15pt;mso-position-horizontal-relative:page;mso-position-vertical-relative:page;z-index:15806464" type="#_x0000_t202" id="docshape202" filled="false" stroked="false">
                <v:textbox inset="0,0,0,0" style="layout-flow:vertical">
                  <w:txbxContent>
                    <w:p>
                      <w:pPr>
                        <w:spacing w:before="20"/>
                        <w:ind w:left="20" w:right="0" w:firstLine="0"/>
                        <w:jc w:val="left"/>
                        <w:rPr>
                          <w:rFonts w:ascii="Minion Pro"/>
                          <w:sz w:val="32"/>
                        </w:rPr>
                      </w:pPr>
                      <w:r>
                        <w:rPr>
                          <w:rFonts w:ascii="Minion Pro"/>
                          <w:color w:val="231F20"/>
                          <w:sz w:val="32"/>
                        </w:rPr>
                        <w:t>Commented</w:t>
                      </w:r>
                      <w:r>
                        <w:rPr>
                          <w:rFonts w:ascii="Minion Pro"/>
                          <w:color w:val="231F20"/>
                          <w:spacing w:val="-10"/>
                          <w:sz w:val="32"/>
                        </w:rPr>
                        <w:t> </w:t>
                      </w:r>
                      <w:r>
                        <w:rPr>
                          <w:rFonts w:ascii="Minion Pro"/>
                          <w:color w:val="231F20"/>
                          <w:spacing w:val="-2"/>
                          <w:sz w:val="32"/>
                        </w:rPr>
                        <w:t>documents</w:t>
                      </w:r>
                    </w:p>
                  </w:txbxContent>
                </v:textbox>
                <w10:wrap type="none"/>
              </v:shape>
            </w:pict>
          </mc:Fallback>
        </mc:AlternateContent>
      </w:r>
      <w:r>
        <w:rPr>
          <w:color w:val="231F20"/>
        </w:rPr>
        <w:t>ponibile</w:t>
      </w:r>
      <w:r>
        <w:rPr>
          <w:color w:val="231F20"/>
          <w:spacing w:val="-14"/>
        </w:rPr>
        <w:t> </w:t>
      </w:r>
      <w:r>
        <w:rPr>
          <w:color w:val="231F20"/>
        </w:rPr>
        <w:t>ad</w:t>
      </w:r>
      <w:r>
        <w:rPr>
          <w:color w:val="231F20"/>
          <w:spacing w:val="-14"/>
        </w:rPr>
        <w:t> </w:t>
      </w:r>
      <w:r>
        <w:rPr>
          <w:color w:val="231F20"/>
        </w:rPr>
        <w:t>una</w:t>
      </w:r>
      <w:r>
        <w:rPr>
          <w:color w:val="231F20"/>
          <w:spacing w:val="-14"/>
        </w:rPr>
        <w:t> </w:t>
      </w:r>
      <w:r>
        <w:rPr>
          <w:color w:val="231F20"/>
        </w:rPr>
        <w:t>seconda</w:t>
      </w:r>
      <w:r>
        <w:rPr>
          <w:color w:val="231F20"/>
          <w:spacing w:val="-14"/>
        </w:rPr>
        <w:t> </w:t>
      </w:r>
      <w:r>
        <w:rPr>
          <w:color w:val="231F20"/>
        </w:rPr>
        <w:t>imposizione.</w:t>
      </w:r>
      <w:r>
        <w:rPr>
          <w:color w:val="231F20"/>
          <w:spacing w:val="-14"/>
        </w:rPr>
        <w:t> </w:t>
      </w:r>
      <w:r>
        <w:rPr>
          <w:color w:val="231F20"/>
        </w:rPr>
        <w:t>Spetterà</w:t>
      </w:r>
      <w:r>
        <w:rPr>
          <w:color w:val="231F20"/>
          <w:spacing w:val="-14"/>
        </w:rPr>
        <w:t> </w:t>
      </w:r>
      <w:r>
        <w:rPr>
          <w:color w:val="231F20"/>
        </w:rPr>
        <w:t>poi</w:t>
      </w:r>
      <w:r>
        <w:rPr>
          <w:color w:val="231F20"/>
          <w:spacing w:val="-14"/>
        </w:rPr>
        <w:t> </w:t>
      </w:r>
      <w:r>
        <w:rPr>
          <w:color w:val="231F20"/>
        </w:rPr>
        <w:t>a</w:t>
      </w:r>
      <w:r>
        <w:rPr>
          <w:color w:val="231F20"/>
          <w:spacing w:val="-14"/>
        </w:rPr>
        <w:t> </w:t>
      </w:r>
      <w:r>
        <w:rPr>
          <w:color w:val="231F20"/>
        </w:rPr>
        <w:t>tali</w:t>
      </w:r>
      <w:r>
        <w:rPr>
          <w:color w:val="231F20"/>
          <w:spacing w:val="-14"/>
        </w:rPr>
        <w:t> </w:t>
      </w:r>
      <w:r>
        <w:rPr>
          <w:color w:val="231F20"/>
        </w:rPr>
        <w:t>giurisdizioni</w:t>
      </w:r>
      <w:r>
        <w:rPr>
          <w:color w:val="231F20"/>
          <w:spacing w:val="-14"/>
        </w:rPr>
        <w:t> </w:t>
      </w:r>
      <w:r>
        <w:rPr>
          <w:color w:val="231F20"/>
        </w:rPr>
        <w:t>tribu- </w:t>
      </w:r>
      <w:r>
        <w:rPr>
          <w:color w:val="231F20"/>
          <w:spacing w:val="-2"/>
        </w:rPr>
        <w:t>tarie</w:t>
      </w:r>
      <w:r>
        <w:rPr>
          <w:color w:val="231F20"/>
          <w:spacing w:val="-8"/>
        </w:rPr>
        <w:t> </w:t>
      </w:r>
      <w:r>
        <w:rPr>
          <w:color w:val="231F20"/>
          <w:spacing w:val="-2"/>
        </w:rPr>
        <w:t>chiedere</w:t>
      </w:r>
      <w:r>
        <w:rPr>
          <w:color w:val="231F20"/>
          <w:spacing w:val="-8"/>
        </w:rPr>
        <w:t> </w:t>
      </w:r>
      <w:r>
        <w:rPr>
          <w:color w:val="231F20"/>
          <w:spacing w:val="-2"/>
        </w:rPr>
        <w:t>alla</w:t>
      </w:r>
      <w:r>
        <w:rPr>
          <w:color w:val="231F20"/>
          <w:spacing w:val="-8"/>
        </w:rPr>
        <w:t> </w:t>
      </w:r>
      <w:r>
        <w:rPr>
          <w:color w:val="231F20"/>
          <w:spacing w:val="-2"/>
        </w:rPr>
        <w:t>Corte</w:t>
      </w:r>
      <w:r>
        <w:rPr>
          <w:color w:val="231F20"/>
          <w:spacing w:val="-8"/>
        </w:rPr>
        <w:t> </w:t>
      </w:r>
      <w:r>
        <w:rPr>
          <w:color w:val="231F20"/>
          <w:spacing w:val="-2"/>
        </w:rPr>
        <w:t>di</w:t>
      </w:r>
      <w:r>
        <w:rPr>
          <w:color w:val="231F20"/>
          <w:spacing w:val="-8"/>
        </w:rPr>
        <w:t> </w:t>
      </w:r>
      <w:r>
        <w:rPr>
          <w:color w:val="231F20"/>
          <w:spacing w:val="-2"/>
        </w:rPr>
        <w:t>giustizia</w:t>
      </w:r>
      <w:r>
        <w:rPr>
          <w:color w:val="231F20"/>
          <w:spacing w:val="-8"/>
        </w:rPr>
        <w:t> </w:t>
      </w:r>
      <w:r>
        <w:rPr>
          <w:color w:val="231F20"/>
          <w:spacing w:val="-2"/>
        </w:rPr>
        <w:t>di</w:t>
      </w:r>
      <w:r>
        <w:rPr>
          <w:color w:val="231F20"/>
          <w:spacing w:val="-8"/>
        </w:rPr>
        <w:t> </w:t>
      </w:r>
      <w:r>
        <w:rPr>
          <w:color w:val="231F20"/>
          <w:spacing w:val="-2"/>
        </w:rPr>
        <w:t>statuire</w:t>
      </w:r>
      <w:r>
        <w:rPr>
          <w:color w:val="231F20"/>
          <w:spacing w:val="-8"/>
        </w:rPr>
        <w:t> </w:t>
      </w:r>
      <w:r>
        <w:rPr>
          <w:color w:val="231F20"/>
          <w:spacing w:val="-2"/>
        </w:rPr>
        <w:t>in</w:t>
      </w:r>
      <w:r>
        <w:rPr>
          <w:color w:val="231F20"/>
          <w:spacing w:val="-8"/>
        </w:rPr>
        <w:t> </w:t>
      </w:r>
      <w:r>
        <w:rPr>
          <w:color w:val="231F20"/>
          <w:spacing w:val="-2"/>
        </w:rPr>
        <w:t>via</w:t>
      </w:r>
      <w:r>
        <w:rPr>
          <w:color w:val="231F20"/>
          <w:spacing w:val="-8"/>
        </w:rPr>
        <w:t> </w:t>
      </w:r>
      <w:r>
        <w:rPr>
          <w:color w:val="231F20"/>
          <w:spacing w:val="-2"/>
        </w:rPr>
        <w:t>definitiva,</w:t>
      </w:r>
      <w:r>
        <w:rPr>
          <w:color w:val="231F20"/>
          <w:spacing w:val="-8"/>
        </w:rPr>
        <w:t> </w:t>
      </w:r>
      <w:r>
        <w:rPr>
          <w:color w:val="231F20"/>
          <w:spacing w:val="-2"/>
        </w:rPr>
        <w:t>dopo</w:t>
      </w:r>
      <w:r>
        <w:rPr>
          <w:color w:val="231F20"/>
          <w:spacing w:val="-8"/>
        </w:rPr>
        <w:t> </w:t>
      </w:r>
      <w:r>
        <w:rPr>
          <w:color w:val="231F20"/>
          <w:spacing w:val="-2"/>
        </w:rPr>
        <w:t>anni</w:t>
      </w:r>
      <w:r>
        <w:rPr>
          <w:color w:val="231F20"/>
          <w:spacing w:val="-8"/>
        </w:rPr>
        <w:t> </w:t>
      </w:r>
      <w:r>
        <w:rPr>
          <w:color w:val="231F20"/>
          <w:spacing w:val="-2"/>
        </w:rPr>
        <w:t>di </w:t>
      </w:r>
      <w:r>
        <w:rPr>
          <w:color w:val="231F20"/>
        </w:rPr>
        <w:t>contenzioso,</w:t>
      </w:r>
      <w:r>
        <w:rPr>
          <w:color w:val="231F20"/>
          <w:spacing w:val="-15"/>
        </w:rPr>
        <w:t> </w:t>
      </w:r>
      <w:r>
        <w:rPr>
          <w:color w:val="231F20"/>
        </w:rPr>
        <w:t>quale</w:t>
      </w:r>
      <w:r>
        <w:rPr>
          <w:color w:val="231F20"/>
          <w:spacing w:val="-15"/>
        </w:rPr>
        <w:t> </w:t>
      </w:r>
      <w:r>
        <w:rPr>
          <w:color w:val="231F20"/>
        </w:rPr>
        <w:t>dei</w:t>
      </w:r>
      <w:r>
        <w:rPr>
          <w:color w:val="231F20"/>
          <w:spacing w:val="-15"/>
        </w:rPr>
        <w:t> </w:t>
      </w:r>
      <w:r>
        <w:rPr>
          <w:color w:val="231F20"/>
        </w:rPr>
        <w:t>due</w:t>
      </w:r>
      <w:r>
        <w:rPr>
          <w:color w:val="231F20"/>
          <w:spacing w:val="-15"/>
        </w:rPr>
        <w:t> </w:t>
      </w:r>
      <w:r>
        <w:rPr>
          <w:color w:val="231F20"/>
        </w:rPr>
        <w:t>Stati</w:t>
      </w:r>
      <w:r>
        <w:rPr>
          <w:color w:val="231F20"/>
          <w:spacing w:val="-15"/>
        </w:rPr>
        <w:t> </w:t>
      </w:r>
      <w:r>
        <w:rPr>
          <w:color w:val="231F20"/>
        </w:rPr>
        <w:t>membri</w:t>
      </w:r>
      <w:r>
        <w:rPr>
          <w:color w:val="231F20"/>
          <w:spacing w:val="-15"/>
        </w:rPr>
        <w:t> </w:t>
      </w:r>
      <w:r>
        <w:rPr>
          <w:color w:val="231F20"/>
        </w:rPr>
        <w:t>è</w:t>
      </w:r>
      <w:r>
        <w:rPr>
          <w:color w:val="231F20"/>
          <w:spacing w:val="-15"/>
        </w:rPr>
        <w:t> </w:t>
      </w:r>
      <w:r>
        <w:rPr>
          <w:color w:val="231F20"/>
        </w:rPr>
        <w:t>competente</w:t>
      </w:r>
      <w:r>
        <w:rPr>
          <w:color w:val="231F20"/>
          <w:spacing w:val="-15"/>
        </w:rPr>
        <w:t> </w:t>
      </w:r>
      <w:r>
        <w:rPr>
          <w:color w:val="231F20"/>
        </w:rPr>
        <w:t>a</w:t>
      </w:r>
      <w:r>
        <w:rPr>
          <w:color w:val="231F20"/>
          <w:spacing w:val="-15"/>
        </w:rPr>
        <w:t> </w:t>
      </w:r>
      <w:r>
        <w:rPr>
          <w:color w:val="231F20"/>
        </w:rPr>
        <w:t>percepire</w:t>
      </w:r>
      <w:r>
        <w:rPr>
          <w:color w:val="231F20"/>
          <w:spacing w:val="-15"/>
        </w:rPr>
        <w:t> </w:t>
      </w:r>
      <w:r>
        <w:rPr>
          <w:color w:val="231F20"/>
        </w:rPr>
        <w:t>l’imposta armonizzata</w:t>
      </w:r>
      <w:r>
        <w:rPr>
          <w:color w:val="231F20"/>
          <w:spacing w:val="-15"/>
        </w:rPr>
        <w:t> </w:t>
      </w:r>
      <w:r>
        <w:rPr>
          <w:color w:val="231F20"/>
        </w:rPr>
        <w:t>su</w:t>
      </w:r>
      <w:r>
        <w:rPr>
          <w:color w:val="231F20"/>
          <w:spacing w:val="-15"/>
        </w:rPr>
        <w:t> </w:t>
      </w:r>
      <w:r>
        <w:rPr>
          <w:color w:val="231F20"/>
        </w:rPr>
        <w:t>una</w:t>
      </w:r>
      <w:r>
        <w:rPr>
          <w:color w:val="231F20"/>
          <w:spacing w:val="-15"/>
        </w:rPr>
        <w:t> </w:t>
      </w:r>
      <w:r>
        <w:rPr>
          <w:color w:val="231F20"/>
        </w:rPr>
        <w:t>data</w:t>
      </w:r>
      <w:r>
        <w:rPr>
          <w:color w:val="231F20"/>
          <w:spacing w:val="-15"/>
        </w:rPr>
        <w:t> </w:t>
      </w:r>
      <w:r>
        <w:rPr>
          <w:color w:val="231F20"/>
        </w:rPr>
        <w:t>operazione</w:t>
      </w:r>
      <w:r>
        <w:rPr>
          <w:color w:val="231F20"/>
          <w:spacing w:val="-15"/>
        </w:rPr>
        <w:t> </w:t>
      </w:r>
      <w:r>
        <w:rPr>
          <w:color w:val="231F20"/>
        </w:rPr>
        <w:t>imponibile.</w:t>
      </w:r>
      <w:r>
        <w:rPr>
          <w:color w:val="231F20"/>
          <w:spacing w:val="11"/>
        </w:rPr>
        <w:t> </w:t>
      </w:r>
      <w:r>
        <w:rPr>
          <w:color w:val="231F20"/>
        </w:rPr>
        <w:t>Si</w:t>
      </w:r>
      <w:r>
        <w:rPr>
          <w:color w:val="231F20"/>
          <w:spacing w:val="-15"/>
        </w:rPr>
        <w:t> </w:t>
      </w:r>
      <w:r>
        <w:rPr>
          <w:color w:val="231F20"/>
        </w:rPr>
        <w:t>è</w:t>
      </w:r>
      <w:r>
        <w:rPr>
          <w:color w:val="231F20"/>
          <w:spacing w:val="-15"/>
        </w:rPr>
        <w:t> </w:t>
      </w:r>
      <w:r>
        <w:rPr>
          <w:color w:val="231F20"/>
        </w:rPr>
        <w:t>visto</w:t>
      </w:r>
      <w:r>
        <w:rPr>
          <w:color w:val="231F20"/>
          <w:spacing w:val="-15"/>
        </w:rPr>
        <w:t> </w:t>
      </w:r>
      <w:r>
        <w:rPr>
          <w:color w:val="231F20"/>
        </w:rPr>
        <w:t>sopra</w:t>
      </w:r>
      <w:r>
        <w:rPr>
          <w:color w:val="231F20"/>
          <w:spacing w:val="-15"/>
        </w:rPr>
        <w:t> </w:t>
      </w:r>
      <w:r>
        <w:rPr>
          <w:color w:val="231F20"/>
        </w:rPr>
        <w:t>come</w:t>
      </w:r>
      <w:r>
        <w:rPr>
          <w:color w:val="231F20"/>
          <w:spacing w:val="-15"/>
        </w:rPr>
        <w:t> </w:t>
      </w:r>
      <w:r>
        <w:rPr>
          <w:color w:val="231F20"/>
        </w:rPr>
        <w:t>in</w:t>
      </w:r>
      <w:r>
        <w:rPr>
          <w:color w:val="231F20"/>
          <w:spacing w:val="-15"/>
        </w:rPr>
        <w:t> </w:t>
      </w:r>
      <w:r>
        <w:rPr>
          <w:color w:val="231F20"/>
        </w:rPr>
        <w:t>un caso la Corte di giustizia sia pervenuta, facendo leva sulla motivazione del regolamento</w:t>
      </w:r>
      <w:r>
        <w:rPr>
          <w:color w:val="231F20"/>
          <w:spacing w:val="-13"/>
        </w:rPr>
        <w:t> </w:t>
      </w:r>
      <w:r>
        <w:rPr>
          <w:color w:val="231F20"/>
        </w:rPr>
        <w:t>(UE)</w:t>
      </w:r>
      <w:r>
        <w:rPr>
          <w:color w:val="231F20"/>
          <w:spacing w:val="-13"/>
        </w:rPr>
        <w:t> </w:t>
      </w:r>
      <w:r>
        <w:rPr>
          <w:color w:val="231F20"/>
        </w:rPr>
        <w:t>904/2010,</w:t>
      </w:r>
      <w:r>
        <w:rPr>
          <w:color w:val="231F20"/>
          <w:spacing w:val="-13"/>
        </w:rPr>
        <w:t> </w:t>
      </w:r>
      <w:r>
        <w:rPr>
          <w:color w:val="231F20"/>
        </w:rPr>
        <w:t>a</w:t>
      </w:r>
      <w:r>
        <w:rPr>
          <w:color w:val="231F20"/>
          <w:spacing w:val="-13"/>
        </w:rPr>
        <w:t> </w:t>
      </w:r>
      <w:r>
        <w:rPr>
          <w:color w:val="231F20"/>
        </w:rPr>
        <w:t>dedurre</w:t>
      </w:r>
      <w:r>
        <w:rPr>
          <w:color w:val="231F20"/>
          <w:spacing w:val="-13"/>
        </w:rPr>
        <w:t> </w:t>
      </w:r>
      <w:r>
        <w:rPr>
          <w:color w:val="231F20"/>
        </w:rPr>
        <w:t>in</w:t>
      </w:r>
      <w:r>
        <w:rPr>
          <w:color w:val="231F20"/>
          <w:spacing w:val="-13"/>
        </w:rPr>
        <w:t> </w:t>
      </w:r>
      <w:r>
        <w:rPr>
          <w:color w:val="231F20"/>
        </w:rPr>
        <w:t>via</w:t>
      </w:r>
      <w:r>
        <w:rPr>
          <w:color w:val="231F20"/>
          <w:spacing w:val="-13"/>
        </w:rPr>
        <w:t> </w:t>
      </w:r>
      <w:r>
        <w:rPr>
          <w:color w:val="231F20"/>
        </w:rPr>
        <w:t>interpretativa</w:t>
      </w:r>
      <w:r>
        <w:rPr>
          <w:color w:val="231F20"/>
          <w:spacing w:val="-13"/>
        </w:rPr>
        <w:t> </w:t>
      </w:r>
      <w:r>
        <w:rPr>
          <w:color w:val="231F20"/>
        </w:rPr>
        <w:t>almeno</w:t>
      </w:r>
      <w:r>
        <w:rPr>
          <w:color w:val="231F20"/>
          <w:spacing w:val="-13"/>
        </w:rPr>
        <w:t> </w:t>
      </w:r>
      <w:r>
        <w:rPr>
          <w:color w:val="231F20"/>
        </w:rPr>
        <w:t>un</w:t>
      </w:r>
      <w:r>
        <w:rPr>
          <w:color w:val="231F20"/>
          <w:spacing w:val="-13"/>
        </w:rPr>
        <w:t> </w:t>
      </w:r>
      <w:r>
        <w:rPr>
          <w:color w:val="231F20"/>
        </w:rPr>
        <w:t>ob- </w:t>
      </w:r>
      <w:r>
        <w:rPr>
          <w:color w:val="231F20"/>
          <w:spacing w:val="-2"/>
        </w:rPr>
        <w:t>bligo,</w:t>
      </w:r>
      <w:r>
        <w:rPr>
          <w:color w:val="231F20"/>
          <w:spacing w:val="-7"/>
        </w:rPr>
        <w:t> </w:t>
      </w:r>
      <w:r>
        <w:rPr>
          <w:color w:val="231F20"/>
          <w:spacing w:val="-2"/>
        </w:rPr>
        <w:t>per</w:t>
      </w:r>
      <w:r>
        <w:rPr>
          <w:color w:val="231F20"/>
          <w:spacing w:val="-7"/>
        </w:rPr>
        <w:t> </w:t>
      </w:r>
      <w:r>
        <w:rPr>
          <w:color w:val="231F20"/>
          <w:spacing w:val="-2"/>
        </w:rPr>
        <w:t>l’amministrazione</w:t>
      </w:r>
      <w:r>
        <w:rPr>
          <w:color w:val="231F20"/>
          <w:spacing w:val="-7"/>
        </w:rPr>
        <w:t> </w:t>
      </w:r>
      <w:r>
        <w:rPr>
          <w:color w:val="231F20"/>
          <w:spacing w:val="-2"/>
        </w:rPr>
        <w:t>che</w:t>
      </w:r>
      <w:r>
        <w:rPr>
          <w:color w:val="231F20"/>
          <w:spacing w:val="-7"/>
        </w:rPr>
        <w:t> </w:t>
      </w:r>
      <w:r>
        <w:rPr>
          <w:color w:val="231F20"/>
          <w:spacing w:val="-2"/>
        </w:rPr>
        <w:t>intendeva</w:t>
      </w:r>
      <w:r>
        <w:rPr>
          <w:color w:val="231F20"/>
          <w:spacing w:val="-7"/>
        </w:rPr>
        <w:t> </w:t>
      </w:r>
      <w:r>
        <w:rPr>
          <w:color w:val="231F20"/>
          <w:spacing w:val="-2"/>
        </w:rPr>
        <w:t>assoggettare</w:t>
      </w:r>
      <w:r>
        <w:rPr>
          <w:color w:val="231F20"/>
          <w:spacing w:val="-7"/>
        </w:rPr>
        <w:t> </w:t>
      </w:r>
      <w:r>
        <w:rPr>
          <w:color w:val="231F20"/>
          <w:spacing w:val="-2"/>
        </w:rPr>
        <w:t>ad</w:t>
      </w:r>
      <w:r>
        <w:rPr>
          <w:color w:val="231F20"/>
          <w:spacing w:val="-7"/>
        </w:rPr>
        <w:t> </w:t>
      </w:r>
      <w:r>
        <w:rPr>
          <w:color w:val="231F20"/>
          <w:spacing w:val="-2"/>
        </w:rPr>
        <w:t>IVA</w:t>
      </w:r>
      <w:r>
        <w:rPr>
          <w:color w:val="231F20"/>
          <w:spacing w:val="-7"/>
        </w:rPr>
        <w:t> </w:t>
      </w:r>
      <w:r>
        <w:rPr>
          <w:color w:val="231F20"/>
          <w:spacing w:val="-2"/>
        </w:rPr>
        <w:t>una</w:t>
      </w:r>
      <w:r>
        <w:rPr>
          <w:color w:val="231F20"/>
          <w:spacing w:val="-7"/>
        </w:rPr>
        <w:t> </w:t>
      </w:r>
      <w:r>
        <w:rPr>
          <w:color w:val="231F20"/>
          <w:spacing w:val="-2"/>
        </w:rPr>
        <w:t>seconda </w:t>
      </w:r>
      <w:r>
        <w:rPr>
          <w:color w:val="231F20"/>
        </w:rPr>
        <w:t>volta</w:t>
      </w:r>
      <w:r>
        <w:rPr>
          <w:color w:val="231F20"/>
          <w:spacing w:val="-13"/>
        </w:rPr>
        <w:t> </w:t>
      </w:r>
      <w:r>
        <w:rPr>
          <w:color w:val="231F20"/>
        </w:rPr>
        <w:t>una</w:t>
      </w:r>
      <w:r>
        <w:rPr>
          <w:color w:val="231F20"/>
          <w:spacing w:val="-13"/>
        </w:rPr>
        <w:t> </w:t>
      </w:r>
      <w:r>
        <w:rPr>
          <w:color w:val="231F20"/>
        </w:rPr>
        <w:t>prestazione</w:t>
      </w:r>
      <w:r>
        <w:rPr>
          <w:color w:val="231F20"/>
          <w:spacing w:val="-13"/>
        </w:rPr>
        <w:t> </w:t>
      </w:r>
      <w:r>
        <w:rPr>
          <w:color w:val="231F20"/>
        </w:rPr>
        <w:t>di</w:t>
      </w:r>
      <w:r>
        <w:rPr>
          <w:color w:val="231F20"/>
          <w:spacing w:val="-13"/>
        </w:rPr>
        <w:t> </w:t>
      </w:r>
      <w:r>
        <w:rPr>
          <w:color w:val="231F20"/>
        </w:rPr>
        <w:t>servizi,</w:t>
      </w:r>
      <w:r>
        <w:rPr>
          <w:color w:val="231F20"/>
          <w:spacing w:val="-13"/>
        </w:rPr>
        <w:t> </w:t>
      </w:r>
      <w:r>
        <w:rPr>
          <w:color w:val="231F20"/>
        </w:rPr>
        <w:t>di</w:t>
      </w:r>
      <w:r>
        <w:rPr>
          <w:color w:val="231F20"/>
          <w:spacing w:val="-13"/>
        </w:rPr>
        <w:t> </w:t>
      </w:r>
      <w:r>
        <w:rPr>
          <w:color w:val="231F20"/>
        </w:rPr>
        <w:t>trasmettere</w:t>
      </w:r>
      <w:r>
        <w:rPr>
          <w:color w:val="231F20"/>
          <w:spacing w:val="-13"/>
        </w:rPr>
        <w:t> </w:t>
      </w:r>
      <w:r>
        <w:rPr>
          <w:color w:val="231F20"/>
        </w:rPr>
        <w:t>una</w:t>
      </w:r>
      <w:r>
        <w:rPr>
          <w:color w:val="231F20"/>
          <w:spacing w:val="-13"/>
        </w:rPr>
        <w:t> </w:t>
      </w:r>
      <w:r>
        <w:rPr>
          <w:color w:val="231F20"/>
        </w:rPr>
        <w:t>richiesta</w:t>
      </w:r>
      <w:r>
        <w:rPr>
          <w:color w:val="231F20"/>
          <w:spacing w:val="-13"/>
        </w:rPr>
        <w:t> </w:t>
      </w:r>
      <w:r>
        <w:rPr>
          <w:color w:val="231F20"/>
        </w:rPr>
        <w:t>di</w:t>
      </w:r>
      <w:r>
        <w:rPr>
          <w:color w:val="231F20"/>
          <w:spacing w:val="-13"/>
        </w:rPr>
        <w:t> </w:t>
      </w:r>
      <w:r>
        <w:rPr>
          <w:color w:val="231F20"/>
        </w:rPr>
        <w:t>informazioni all’amministrazione</w:t>
      </w:r>
      <w:r>
        <w:rPr>
          <w:color w:val="231F20"/>
          <w:spacing w:val="-5"/>
        </w:rPr>
        <w:t> </w:t>
      </w:r>
      <w:r>
        <w:rPr>
          <w:color w:val="231F20"/>
        </w:rPr>
        <w:t>che</w:t>
      </w:r>
      <w:r>
        <w:rPr>
          <w:color w:val="231F20"/>
          <w:spacing w:val="-5"/>
        </w:rPr>
        <w:t> </w:t>
      </w:r>
      <w:r>
        <w:rPr>
          <w:color w:val="231F20"/>
        </w:rPr>
        <w:t>aveva</w:t>
      </w:r>
      <w:r>
        <w:rPr>
          <w:color w:val="231F20"/>
          <w:spacing w:val="-5"/>
        </w:rPr>
        <w:t> </w:t>
      </w:r>
      <w:r>
        <w:rPr>
          <w:color w:val="231F20"/>
        </w:rPr>
        <w:t>già</w:t>
      </w:r>
      <w:r>
        <w:rPr>
          <w:color w:val="231F20"/>
          <w:spacing w:val="-5"/>
        </w:rPr>
        <w:t> </w:t>
      </w:r>
      <w:r>
        <w:rPr>
          <w:color w:val="231F20"/>
        </w:rPr>
        <w:t>percepito</w:t>
      </w:r>
      <w:r>
        <w:rPr>
          <w:color w:val="231F20"/>
          <w:spacing w:val="-5"/>
        </w:rPr>
        <w:t> </w:t>
      </w:r>
      <w:r>
        <w:rPr>
          <w:color w:val="231F20"/>
        </w:rPr>
        <w:t>un’IVA</w:t>
      </w:r>
      <w:r>
        <w:rPr>
          <w:color w:val="231F20"/>
          <w:spacing w:val="-5"/>
        </w:rPr>
        <w:t> </w:t>
      </w:r>
      <w:r>
        <w:rPr>
          <w:color w:val="231F20"/>
        </w:rPr>
        <w:t>sulla</w:t>
      </w:r>
      <w:r>
        <w:rPr>
          <w:color w:val="231F20"/>
          <w:spacing w:val="-5"/>
        </w:rPr>
        <w:t> </w:t>
      </w:r>
      <w:r>
        <w:rPr>
          <w:color w:val="231F20"/>
        </w:rPr>
        <w:t>medesima</w:t>
      </w:r>
      <w:r>
        <w:rPr>
          <w:color w:val="231F20"/>
          <w:spacing w:val="-5"/>
        </w:rPr>
        <w:t> </w:t>
      </w:r>
      <w:r>
        <w:rPr>
          <w:color w:val="231F20"/>
        </w:rPr>
        <w:t>opera- </w:t>
      </w:r>
      <w:r>
        <w:rPr>
          <w:color w:val="231F20"/>
          <w:spacing w:val="-2"/>
        </w:rPr>
        <w:t>zione</w:t>
      </w:r>
      <w:r>
        <w:rPr>
          <w:color w:val="231F20"/>
          <w:spacing w:val="-7"/>
        </w:rPr>
        <w:t> </w:t>
      </w:r>
      <w:r>
        <w:rPr>
          <w:color w:val="231F20"/>
          <w:spacing w:val="-2"/>
        </w:rPr>
        <w:t>imponibile</w:t>
      </w:r>
      <w:r>
        <w:rPr>
          <w:color w:val="231F20"/>
          <w:spacing w:val="-2"/>
          <w:position w:val="8"/>
          <w:sz w:val="14"/>
        </w:rPr>
        <w:t>171</w:t>
      </w:r>
      <w:r>
        <w:rPr>
          <w:color w:val="231F20"/>
          <w:spacing w:val="-2"/>
        </w:rPr>
        <w:t>.</w:t>
      </w:r>
      <w:r>
        <w:rPr>
          <w:color w:val="231F20"/>
          <w:spacing w:val="-13"/>
        </w:rPr>
        <w:t> </w:t>
      </w:r>
      <w:r>
        <w:rPr>
          <w:color w:val="231F20"/>
          <w:spacing w:val="-2"/>
        </w:rPr>
        <w:t>Tuttavia</w:t>
      </w:r>
      <w:r>
        <w:rPr>
          <w:color w:val="231F20"/>
          <w:spacing w:val="-6"/>
        </w:rPr>
        <w:t> </w:t>
      </w:r>
      <w:r>
        <w:rPr>
          <w:color w:val="231F20"/>
          <w:spacing w:val="-2"/>
        </w:rPr>
        <w:t>nell’importante</w:t>
      </w:r>
      <w:r>
        <w:rPr>
          <w:color w:val="231F20"/>
          <w:spacing w:val="-6"/>
        </w:rPr>
        <w:t> </w:t>
      </w:r>
      <w:r>
        <w:rPr>
          <w:color w:val="231F20"/>
          <w:spacing w:val="-2"/>
        </w:rPr>
        <w:t>sentenza</w:t>
      </w:r>
      <w:r>
        <w:rPr>
          <w:color w:val="231F20"/>
          <w:spacing w:val="-6"/>
        </w:rPr>
        <w:t> </w:t>
      </w:r>
      <w:r>
        <w:rPr>
          <w:i/>
          <w:color w:val="231F20"/>
          <w:spacing w:val="-2"/>
        </w:rPr>
        <w:t>KrakVet</w:t>
      </w:r>
      <w:r>
        <w:rPr>
          <w:i/>
          <w:color w:val="231F20"/>
          <w:spacing w:val="-6"/>
        </w:rPr>
        <w:t> </w:t>
      </w:r>
      <w:r>
        <w:rPr>
          <w:i/>
          <w:color w:val="231F20"/>
          <w:spacing w:val="-2"/>
        </w:rPr>
        <w:t>Marek,</w:t>
      </w:r>
      <w:r>
        <w:rPr>
          <w:i/>
          <w:color w:val="231F20"/>
          <w:spacing w:val="-6"/>
        </w:rPr>
        <w:t> </w:t>
      </w:r>
      <w:r>
        <w:rPr>
          <w:color w:val="231F20"/>
          <w:spacing w:val="-2"/>
        </w:rPr>
        <w:t>pure sopra</w:t>
      </w:r>
      <w:r>
        <w:rPr>
          <w:color w:val="231F20"/>
          <w:spacing w:val="-8"/>
        </w:rPr>
        <w:t> </w:t>
      </w:r>
      <w:r>
        <w:rPr>
          <w:color w:val="231F20"/>
          <w:spacing w:val="-2"/>
        </w:rPr>
        <w:t>esaminata,</w:t>
      </w:r>
      <w:r>
        <w:rPr>
          <w:color w:val="231F20"/>
          <w:spacing w:val="-8"/>
        </w:rPr>
        <w:t> </w:t>
      </w:r>
      <w:r>
        <w:rPr>
          <w:color w:val="231F20"/>
          <w:spacing w:val="-2"/>
        </w:rPr>
        <w:t>i</w:t>
      </w:r>
      <w:r>
        <w:rPr>
          <w:color w:val="231F20"/>
          <w:spacing w:val="-8"/>
        </w:rPr>
        <w:t> </w:t>
      </w:r>
      <w:r>
        <w:rPr>
          <w:color w:val="231F20"/>
          <w:spacing w:val="-2"/>
        </w:rPr>
        <w:t>giudici</w:t>
      </w:r>
      <w:r>
        <w:rPr>
          <w:color w:val="231F20"/>
          <w:spacing w:val="-8"/>
        </w:rPr>
        <w:t> </w:t>
      </w:r>
      <w:r>
        <w:rPr>
          <w:color w:val="231F20"/>
          <w:spacing w:val="-2"/>
        </w:rPr>
        <w:t>dell’Unione</w:t>
      </w:r>
      <w:r>
        <w:rPr>
          <w:color w:val="231F20"/>
          <w:spacing w:val="-8"/>
        </w:rPr>
        <w:t> </w:t>
      </w:r>
      <w:r>
        <w:rPr>
          <w:color w:val="231F20"/>
          <w:spacing w:val="-2"/>
        </w:rPr>
        <w:t>hanno</w:t>
      </w:r>
      <w:r>
        <w:rPr>
          <w:color w:val="231F20"/>
          <w:spacing w:val="-8"/>
        </w:rPr>
        <w:t> </w:t>
      </w:r>
      <w:r>
        <w:rPr>
          <w:color w:val="231F20"/>
          <w:spacing w:val="-2"/>
        </w:rPr>
        <w:t>dovuto</w:t>
      </w:r>
      <w:r>
        <w:rPr>
          <w:color w:val="231F20"/>
          <w:spacing w:val="-8"/>
        </w:rPr>
        <w:t> </w:t>
      </w:r>
      <w:r>
        <w:rPr>
          <w:color w:val="231F20"/>
          <w:spacing w:val="-2"/>
        </w:rPr>
        <w:t>riconoscere</w:t>
      </w:r>
      <w:r>
        <w:rPr>
          <w:color w:val="231F20"/>
          <w:spacing w:val="-8"/>
        </w:rPr>
        <w:t> </w:t>
      </w:r>
      <w:r>
        <w:rPr>
          <w:color w:val="231F20"/>
          <w:spacing w:val="-2"/>
        </w:rPr>
        <w:t>che</w:t>
      </w:r>
      <w:r>
        <w:rPr>
          <w:color w:val="231F20"/>
          <w:spacing w:val="-8"/>
        </w:rPr>
        <w:t> </w:t>
      </w:r>
      <w:r>
        <w:rPr>
          <w:color w:val="231F20"/>
          <w:spacing w:val="-2"/>
        </w:rPr>
        <w:t>i</w:t>
      </w:r>
      <w:r>
        <w:rPr>
          <w:color w:val="231F20"/>
          <w:spacing w:val="-8"/>
        </w:rPr>
        <w:t> </w:t>
      </w:r>
      <w:r>
        <w:rPr>
          <w:color w:val="231F20"/>
          <w:spacing w:val="-2"/>
        </w:rPr>
        <w:t>dove- ri</w:t>
      </w:r>
      <w:r>
        <w:rPr>
          <w:color w:val="231F20"/>
          <w:spacing w:val="-9"/>
        </w:rPr>
        <w:t> </w:t>
      </w:r>
      <w:r>
        <w:rPr>
          <w:color w:val="231F20"/>
          <w:spacing w:val="-2"/>
        </w:rPr>
        <w:t>di</w:t>
      </w:r>
      <w:r>
        <w:rPr>
          <w:color w:val="231F20"/>
          <w:spacing w:val="-9"/>
        </w:rPr>
        <w:t> </w:t>
      </w:r>
      <w:r>
        <w:rPr>
          <w:color w:val="231F20"/>
          <w:spacing w:val="-2"/>
        </w:rPr>
        <w:t>cooperazione</w:t>
      </w:r>
      <w:r>
        <w:rPr>
          <w:color w:val="231F20"/>
          <w:spacing w:val="-9"/>
        </w:rPr>
        <w:t> </w:t>
      </w:r>
      <w:r>
        <w:rPr>
          <w:color w:val="231F20"/>
          <w:spacing w:val="-2"/>
        </w:rPr>
        <w:t>previsti</w:t>
      </w:r>
      <w:r>
        <w:rPr>
          <w:color w:val="231F20"/>
          <w:spacing w:val="-9"/>
        </w:rPr>
        <w:t> </w:t>
      </w:r>
      <w:r>
        <w:rPr>
          <w:color w:val="231F20"/>
          <w:spacing w:val="-2"/>
        </w:rPr>
        <w:t>dal</w:t>
      </w:r>
      <w:r>
        <w:rPr>
          <w:color w:val="231F20"/>
          <w:spacing w:val="-9"/>
        </w:rPr>
        <w:t> </w:t>
      </w:r>
      <w:r>
        <w:rPr>
          <w:color w:val="231F20"/>
          <w:spacing w:val="-2"/>
        </w:rPr>
        <w:t>regolamento</w:t>
      </w:r>
      <w:r>
        <w:rPr>
          <w:color w:val="231F20"/>
          <w:spacing w:val="-9"/>
        </w:rPr>
        <w:t> </w:t>
      </w:r>
      <w:r>
        <w:rPr>
          <w:color w:val="231F20"/>
          <w:spacing w:val="-2"/>
        </w:rPr>
        <w:t>(UE)</w:t>
      </w:r>
      <w:r>
        <w:rPr>
          <w:color w:val="231F20"/>
          <w:spacing w:val="-9"/>
        </w:rPr>
        <w:t> </w:t>
      </w:r>
      <w:r>
        <w:rPr>
          <w:color w:val="231F20"/>
          <w:spacing w:val="-2"/>
        </w:rPr>
        <w:t>904/2010</w:t>
      </w:r>
      <w:r>
        <w:rPr>
          <w:color w:val="231F20"/>
          <w:spacing w:val="-9"/>
        </w:rPr>
        <w:t> </w:t>
      </w:r>
      <w:r>
        <w:rPr>
          <w:color w:val="231F20"/>
          <w:spacing w:val="-2"/>
        </w:rPr>
        <w:t>non</w:t>
      </w:r>
      <w:r>
        <w:rPr>
          <w:color w:val="231F20"/>
          <w:spacing w:val="-9"/>
        </w:rPr>
        <w:t> </w:t>
      </w:r>
      <w:r>
        <w:rPr>
          <w:color w:val="231F20"/>
          <w:spacing w:val="-2"/>
        </w:rPr>
        <w:t>impongono alle</w:t>
      </w:r>
      <w:r>
        <w:rPr>
          <w:color w:val="231F20"/>
          <w:spacing w:val="-11"/>
        </w:rPr>
        <w:t> </w:t>
      </w:r>
      <w:r>
        <w:rPr>
          <w:color w:val="231F20"/>
          <w:spacing w:val="-2"/>
        </w:rPr>
        <w:t>amministrazioni</w:t>
      </w:r>
      <w:r>
        <w:rPr>
          <w:color w:val="231F20"/>
          <w:spacing w:val="-11"/>
        </w:rPr>
        <w:t> </w:t>
      </w:r>
      <w:r>
        <w:rPr>
          <w:color w:val="231F20"/>
          <w:spacing w:val="-2"/>
        </w:rPr>
        <w:t>finanziarie</w:t>
      </w:r>
      <w:r>
        <w:rPr>
          <w:color w:val="231F20"/>
          <w:spacing w:val="-11"/>
        </w:rPr>
        <w:t> </w:t>
      </w:r>
      <w:r>
        <w:rPr>
          <w:color w:val="231F20"/>
          <w:spacing w:val="-2"/>
        </w:rPr>
        <w:t>nazionali</w:t>
      </w:r>
      <w:r>
        <w:rPr>
          <w:color w:val="231F20"/>
          <w:spacing w:val="-11"/>
        </w:rPr>
        <w:t> </w:t>
      </w:r>
      <w:r>
        <w:rPr>
          <w:color w:val="231F20"/>
          <w:spacing w:val="-2"/>
        </w:rPr>
        <w:t>alcun</w:t>
      </w:r>
      <w:r>
        <w:rPr>
          <w:color w:val="231F20"/>
          <w:spacing w:val="-11"/>
        </w:rPr>
        <w:t> </w:t>
      </w:r>
      <w:r>
        <w:rPr>
          <w:color w:val="231F20"/>
          <w:spacing w:val="-2"/>
        </w:rPr>
        <w:t>obbligo</w:t>
      </w:r>
      <w:r>
        <w:rPr>
          <w:color w:val="231F20"/>
          <w:spacing w:val="-11"/>
        </w:rPr>
        <w:t> </w:t>
      </w:r>
      <w:r>
        <w:rPr>
          <w:color w:val="231F20"/>
          <w:spacing w:val="-2"/>
        </w:rPr>
        <w:t>«di</w:t>
      </w:r>
      <w:r>
        <w:rPr>
          <w:color w:val="231F20"/>
          <w:spacing w:val="-11"/>
        </w:rPr>
        <w:t> </w:t>
      </w:r>
      <w:r>
        <w:rPr>
          <w:color w:val="231F20"/>
          <w:spacing w:val="-2"/>
        </w:rPr>
        <w:t>pervenire</w:t>
      </w:r>
      <w:r>
        <w:rPr>
          <w:color w:val="231F20"/>
          <w:spacing w:val="-11"/>
        </w:rPr>
        <w:t> </w:t>
      </w:r>
      <w:r>
        <w:rPr>
          <w:color w:val="231F20"/>
          <w:spacing w:val="-2"/>
        </w:rPr>
        <w:t>ad</w:t>
      </w:r>
      <w:r>
        <w:rPr>
          <w:color w:val="231F20"/>
          <w:spacing w:val="-11"/>
        </w:rPr>
        <w:t> </w:t>
      </w:r>
      <w:r>
        <w:rPr>
          <w:color w:val="231F20"/>
          <w:spacing w:val="-2"/>
        </w:rPr>
        <w:t>una </w:t>
      </w:r>
      <w:r>
        <w:rPr>
          <w:color w:val="231F20"/>
        </w:rPr>
        <w:t>soluzione</w:t>
      </w:r>
      <w:r>
        <w:rPr>
          <w:color w:val="231F20"/>
          <w:spacing w:val="-8"/>
        </w:rPr>
        <w:t> </w:t>
      </w:r>
      <w:r>
        <w:rPr>
          <w:color w:val="231F20"/>
        </w:rPr>
        <w:t>comune</w:t>
      </w:r>
      <w:r>
        <w:rPr>
          <w:color w:val="231F20"/>
          <w:spacing w:val="-8"/>
        </w:rPr>
        <w:t> </w:t>
      </w:r>
      <w:r>
        <w:rPr>
          <w:color w:val="231F20"/>
        </w:rPr>
        <w:t>quanto</w:t>
      </w:r>
      <w:r>
        <w:rPr>
          <w:color w:val="231F20"/>
          <w:spacing w:val="-8"/>
        </w:rPr>
        <w:t> </w:t>
      </w:r>
      <w:r>
        <w:rPr>
          <w:color w:val="231F20"/>
        </w:rPr>
        <w:t>al</w:t>
      </w:r>
      <w:r>
        <w:rPr>
          <w:color w:val="231F20"/>
          <w:spacing w:val="-8"/>
        </w:rPr>
        <w:t> </w:t>
      </w:r>
      <w:r>
        <w:rPr>
          <w:color w:val="231F20"/>
        </w:rPr>
        <w:t>trattamento</w:t>
      </w:r>
      <w:r>
        <w:rPr>
          <w:color w:val="231F20"/>
          <w:spacing w:val="-8"/>
        </w:rPr>
        <w:t> </w:t>
      </w:r>
      <w:r>
        <w:rPr>
          <w:color w:val="231F20"/>
        </w:rPr>
        <w:t>di</w:t>
      </w:r>
      <w:r>
        <w:rPr>
          <w:color w:val="231F20"/>
          <w:spacing w:val="-8"/>
        </w:rPr>
        <w:t> </w:t>
      </w:r>
      <w:r>
        <w:rPr>
          <w:color w:val="231F20"/>
        </w:rPr>
        <w:t>un’operazione</w:t>
      </w:r>
      <w:r>
        <w:rPr>
          <w:color w:val="231F20"/>
          <w:spacing w:val="-8"/>
        </w:rPr>
        <w:t> </w:t>
      </w:r>
      <w:r>
        <w:rPr>
          <w:color w:val="231F20"/>
        </w:rPr>
        <w:t>a</w:t>
      </w:r>
      <w:r>
        <w:rPr>
          <w:color w:val="231F20"/>
          <w:spacing w:val="-8"/>
        </w:rPr>
        <w:t> </w:t>
      </w:r>
      <w:r>
        <w:rPr>
          <w:color w:val="231F20"/>
        </w:rPr>
        <w:t>fini</w:t>
      </w:r>
      <w:r>
        <w:rPr>
          <w:color w:val="231F20"/>
          <w:spacing w:val="-8"/>
        </w:rPr>
        <w:t> </w:t>
      </w:r>
      <w:r>
        <w:rPr>
          <w:color w:val="231F20"/>
        </w:rPr>
        <w:t>IVA»</w:t>
      </w:r>
      <w:r>
        <w:rPr>
          <w:color w:val="231F20"/>
          <w:position w:val="8"/>
          <w:sz w:val="14"/>
        </w:rPr>
        <w:t>172</w:t>
      </w:r>
      <w:r>
        <w:rPr>
          <w:color w:val="231F20"/>
        </w:rPr>
        <w:t>,</w:t>
      </w:r>
      <w:r>
        <w:rPr>
          <w:color w:val="231F20"/>
          <w:spacing w:val="-8"/>
        </w:rPr>
        <w:t> </w:t>
      </w:r>
      <w:r>
        <w:rPr>
          <w:color w:val="231F20"/>
        </w:rPr>
        <w:t>il che</w:t>
      </w:r>
      <w:r>
        <w:rPr>
          <w:color w:val="231F20"/>
          <w:spacing w:val="-6"/>
        </w:rPr>
        <w:t> </w:t>
      </w:r>
      <w:r>
        <w:rPr>
          <w:color w:val="231F20"/>
        </w:rPr>
        <w:t>appare</w:t>
      </w:r>
      <w:r>
        <w:rPr>
          <w:color w:val="231F20"/>
          <w:spacing w:val="-6"/>
        </w:rPr>
        <w:t> </w:t>
      </w:r>
      <w:r>
        <w:rPr>
          <w:color w:val="231F20"/>
        </w:rPr>
        <w:t>del</w:t>
      </w:r>
      <w:r>
        <w:rPr>
          <w:color w:val="231F20"/>
          <w:spacing w:val="-6"/>
        </w:rPr>
        <w:t> </w:t>
      </w:r>
      <w:r>
        <w:rPr>
          <w:color w:val="231F20"/>
        </w:rPr>
        <w:t>tutto</w:t>
      </w:r>
      <w:r>
        <w:rPr>
          <w:color w:val="231F20"/>
          <w:spacing w:val="-6"/>
        </w:rPr>
        <w:t> </w:t>
      </w:r>
      <w:r>
        <w:rPr>
          <w:color w:val="231F20"/>
        </w:rPr>
        <w:t>logico</w:t>
      </w:r>
      <w:r>
        <w:rPr>
          <w:color w:val="231F20"/>
          <w:spacing w:val="-6"/>
        </w:rPr>
        <w:t> </w:t>
      </w:r>
      <w:r>
        <w:rPr>
          <w:color w:val="231F20"/>
        </w:rPr>
        <w:t>in</w:t>
      </w:r>
      <w:r>
        <w:rPr>
          <w:color w:val="231F20"/>
          <w:spacing w:val="-6"/>
        </w:rPr>
        <w:t> </w:t>
      </w:r>
      <w:r>
        <w:rPr>
          <w:color w:val="231F20"/>
        </w:rPr>
        <w:t>quanto</w:t>
      </w:r>
      <w:r>
        <w:rPr>
          <w:color w:val="231F20"/>
          <w:spacing w:val="-6"/>
        </w:rPr>
        <w:t> </w:t>
      </w:r>
      <w:r>
        <w:rPr>
          <w:color w:val="231F20"/>
        </w:rPr>
        <w:t>i</w:t>
      </w:r>
      <w:r>
        <w:rPr>
          <w:color w:val="231F20"/>
          <w:spacing w:val="-6"/>
        </w:rPr>
        <w:t> </w:t>
      </w:r>
      <w:r>
        <w:rPr>
          <w:color w:val="231F20"/>
        </w:rPr>
        <w:t>doveri</w:t>
      </w:r>
      <w:r>
        <w:rPr>
          <w:color w:val="231F20"/>
          <w:spacing w:val="-6"/>
        </w:rPr>
        <w:t> </w:t>
      </w:r>
      <w:r>
        <w:rPr>
          <w:color w:val="231F20"/>
        </w:rPr>
        <w:t>di</w:t>
      </w:r>
      <w:r>
        <w:rPr>
          <w:color w:val="231F20"/>
          <w:spacing w:val="-6"/>
        </w:rPr>
        <w:t> </w:t>
      </w:r>
      <w:r>
        <w:rPr>
          <w:color w:val="231F20"/>
        </w:rPr>
        <w:t>cooperazione</w:t>
      </w:r>
      <w:r>
        <w:rPr>
          <w:color w:val="231F20"/>
          <w:spacing w:val="-6"/>
        </w:rPr>
        <w:t> </w:t>
      </w:r>
      <w:r>
        <w:rPr>
          <w:color w:val="231F20"/>
        </w:rPr>
        <w:t>amministra- tiva si sostanziano in obblighi puramente procedurali.</w:t>
      </w:r>
    </w:p>
    <w:p>
      <w:pPr>
        <w:pStyle w:val="BodyText"/>
        <w:spacing w:line="225" w:lineRule="auto" w:before="21"/>
        <w:ind w:left="157" w:right="117" w:firstLine="340"/>
        <w:jc w:val="both"/>
      </w:pPr>
      <w:r>
        <w:rPr>
          <w:color w:val="231F20"/>
        </w:rPr>
        <w:t>D’altra parte la Corte ha affermato esplicitamente che la diversa quali- ficazione giuridica data alla stessa operazione imponibile da due ammini- strazioni</w:t>
      </w:r>
      <w:r>
        <w:rPr>
          <w:color w:val="231F20"/>
          <w:spacing w:val="-14"/>
        </w:rPr>
        <w:t> </w:t>
      </w:r>
      <w:r>
        <w:rPr>
          <w:color w:val="231F20"/>
        </w:rPr>
        <w:t>di</w:t>
      </w:r>
      <w:r>
        <w:rPr>
          <w:color w:val="231F20"/>
          <w:spacing w:val="-14"/>
        </w:rPr>
        <w:t> </w:t>
      </w:r>
      <w:r>
        <w:rPr>
          <w:color w:val="231F20"/>
        </w:rPr>
        <w:t>diversi</w:t>
      </w:r>
      <w:r>
        <w:rPr>
          <w:color w:val="231F20"/>
          <w:spacing w:val="-14"/>
        </w:rPr>
        <w:t> </w:t>
      </w:r>
      <w:r>
        <w:rPr>
          <w:color w:val="231F20"/>
        </w:rPr>
        <w:t>Stati</w:t>
      </w:r>
      <w:r>
        <w:rPr>
          <w:color w:val="231F20"/>
          <w:spacing w:val="-14"/>
        </w:rPr>
        <w:t> </w:t>
      </w:r>
      <w:r>
        <w:rPr>
          <w:color w:val="231F20"/>
        </w:rPr>
        <w:t>membri</w:t>
      </w:r>
      <w:r>
        <w:rPr>
          <w:color w:val="231F20"/>
          <w:spacing w:val="-14"/>
        </w:rPr>
        <w:t> </w:t>
      </w:r>
      <w:r>
        <w:rPr>
          <w:color w:val="231F20"/>
        </w:rPr>
        <w:t>rappresenta</w:t>
      </w:r>
      <w:r>
        <w:rPr>
          <w:color w:val="231F20"/>
          <w:spacing w:val="-14"/>
        </w:rPr>
        <w:t> </w:t>
      </w:r>
      <w:r>
        <w:rPr>
          <w:color w:val="231F20"/>
        </w:rPr>
        <w:t>«un’applicazione</w:t>
      </w:r>
      <w:r>
        <w:rPr>
          <w:color w:val="231F20"/>
          <w:spacing w:val="-14"/>
        </w:rPr>
        <w:t> </w:t>
      </w:r>
      <w:r>
        <w:rPr>
          <w:color w:val="231F20"/>
        </w:rPr>
        <w:t>erronea</w:t>
      </w:r>
      <w:r>
        <w:rPr>
          <w:color w:val="231F20"/>
          <w:spacing w:val="-14"/>
        </w:rPr>
        <w:t> </w:t>
      </w:r>
      <w:r>
        <w:rPr>
          <w:color w:val="231F20"/>
        </w:rPr>
        <w:t>delle </w:t>
      </w:r>
      <w:r>
        <w:rPr>
          <w:color w:val="231F20"/>
          <w:spacing w:val="-2"/>
        </w:rPr>
        <w:t>disposizioni</w:t>
      </w:r>
      <w:r>
        <w:rPr>
          <w:color w:val="231F20"/>
          <w:spacing w:val="-13"/>
        </w:rPr>
        <w:t> </w:t>
      </w:r>
      <w:r>
        <w:rPr>
          <w:color w:val="231F20"/>
          <w:spacing w:val="-2"/>
        </w:rPr>
        <w:t>della</w:t>
      </w:r>
      <w:r>
        <w:rPr>
          <w:color w:val="231F20"/>
          <w:spacing w:val="-13"/>
        </w:rPr>
        <w:t> </w:t>
      </w:r>
      <w:r>
        <w:rPr>
          <w:color w:val="231F20"/>
          <w:spacing w:val="-2"/>
        </w:rPr>
        <w:t>direttiva</w:t>
      </w:r>
      <w:r>
        <w:rPr>
          <w:color w:val="231F20"/>
          <w:spacing w:val="-13"/>
        </w:rPr>
        <w:t> </w:t>
      </w:r>
      <w:r>
        <w:rPr>
          <w:color w:val="231F20"/>
          <w:spacing w:val="-2"/>
        </w:rPr>
        <w:t>IVA»</w:t>
      </w:r>
      <w:r>
        <w:rPr>
          <w:color w:val="231F20"/>
          <w:spacing w:val="-2"/>
          <w:position w:val="8"/>
          <w:sz w:val="14"/>
        </w:rPr>
        <w:t>173</w:t>
      </w:r>
      <w:r>
        <w:rPr>
          <w:color w:val="231F20"/>
          <w:spacing w:val="-2"/>
        </w:rPr>
        <w:t>,</w:t>
      </w:r>
      <w:r>
        <w:rPr>
          <w:color w:val="231F20"/>
          <w:spacing w:val="-13"/>
        </w:rPr>
        <w:t> </w:t>
      </w:r>
      <w:r>
        <w:rPr>
          <w:color w:val="231F20"/>
          <w:spacing w:val="-2"/>
        </w:rPr>
        <w:t>così</w:t>
      </w:r>
      <w:r>
        <w:rPr>
          <w:color w:val="231F20"/>
          <w:spacing w:val="-13"/>
        </w:rPr>
        <w:t> </w:t>
      </w:r>
      <w:r>
        <w:rPr>
          <w:color w:val="231F20"/>
          <w:spacing w:val="-2"/>
        </w:rPr>
        <w:t>come</w:t>
      </w:r>
      <w:r>
        <w:rPr>
          <w:color w:val="231F20"/>
          <w:spacing w:val="-13"/>
        </w:rPr>
        <w:t> </w:t>
      </w:r>
      <w:r>
        <w:rPr>
          <w:color w:val="231F20"/>
          <w:spacing w:val="-2"/>
        </w:rPr>
        <w:t>«la</w:t>
      </w:r>
      <w:r>
        <w:rPr>
          <w:color w:val="231F20"/>
          <w:spacing w:val="-13"/>
        </w:rPr>
        <w:t> </w:t>
      </w:r>
      <w:r>
        <w:rPr>
          <w:color w:val="231F20"/>
          <w:spacing w:val="-2"/>
        </w:rPr>
        <w:t>doppia</w:t>
      </w:r>
      <w:r>
        <w:rPr>
          <w:color w:val="231F20"/>
          <w:spacing w:val="-13"/>
        </w:rPr>
        <w:t> </w:t>
      </w:r>
      <w:r>
        <w:rPr>
          <w:color w:val="231F20"/>
          <w:spacing w:val="-2"/>
        </w:rPr>
        <w:t>riscossione</w:t>
      </w:r>
      <w:r>
        <w:rPr>
          <w:color w:val="231F20"/>
          <w:spacing w:val="-13"/>
        </w:rPr>
        <w:t> </w:t>
      </w:r>
      <w:r>
        <w:rPr>
          <w:color w:val="231F20"/>
          <w:spacing w:val="-2"/>
        </w:rPr>
        <w:t>di</w:t>
      </w:r>
      <w:r>
        <w:rPr>
          <w:color w:val="231F20"/>
          <w:spacing w:val="-13"/>
        </w:rPr>
        <w:t> </w:t>
      </w:r>
      <w:r>
        <w:rPr>
          <w:color w:val="231F20"/>
          <w:spacing w:val="-2"/>
        </w:rPr>
        <w:t>diritti </w:t>
      </w:r>
      <w:r>
        <w:rPr>
          <w:color w:val="231F20"/>
        </w:rPr>
        <w:t>d’accisa</w:t>
      </w:r>
      <w:r>
        <w:rPr>
          <w:color w:val="231F20"/>
          <w:spacing w:val="-15"/>
        </w:rPr>
        <w:t> </w:t>
      </w:r>
      <w:r>
        <w:rPr>
          <w:color w:val="231F20"/>
        </w:rPr>
        <w:t>gravanti</w:t>
      </w:r>
      <w:r>
        <w:rPr>
          <w:color w:val="231F20"/>
          <w:spacing w:val="-15"/>
        </w:rPr>
        <w:t> </w:t>
      </w:r>
      <w:r>
        <w:rPr>
          <w:color w:val="231F20"/>
        </w:rPr>
        <w:t>sulle</w:t>
      </w:r>
      <w:r>
        <w:rPr>
          <w:color w:val="231F20"/>
          <w:spacing w:val="-15"/>
        </w:rPr>
        <w:t> </w:t>
      </w:r>
      <w:r>
        <w:rPr>
          <w:color w:val="231F20"/>
        </w:rPr>
        <w:t>stesse</w:t>
      </w:r>
      <w:r>
        <w:rPr>
          <w:color w:val="231F20"/>
          <w:spacing w:val="-15"/>
        </w:rPr>
        <w:t> </w:t>
      </w:r>
      <w:r>
        <w:rPr>
          <w:color w:val="231F20"/>
        </w:rPr>
        <w:t>operazioni»</w:t>
      </w:r>
      <w:r>
        <w:rPr>
          <w:color w:val="231F20"/>
          <w:spacing w:val="-15"/>
        </w:rPr>
        <w:t> </w:t>
      </w:r>
      <w:r>
        <w:rPr>
          <w:color w:val="231F20"/>
        </w:rPr>
        <w:t>costituisce</w:t>
      </w:r>
      <w:r>
        <w:rPr>
          <w:color w:val="231F20"/>
          <w:spacing w:val="-15"/>
        </w:rPr>
        <w:t> </w:t>
      </w:r>
      <w:r>
        <w:rPr>
          <w:color w:val="231F20"/>
        </w:rPr>
        <w:t>una</w:t>
      </w:r>
      <w:r>
        <w:rPr>
          <w:color w:val="231F20"/>
          <w:spacing w:val="-15"/>
        </w:rPr>
        <w:t> </w:t>
      </w:r>
      <w:r>
        <w:rPr>
          <w:color w:val="231F20"/>
        </w:rPr>
        <w:t>«violazione</w:t>
      </w:r>
      <w:r>
        <w:rPr>
          <w:color w:val="231F20"/>
          <w:spacing w:val="-15"/>
        </w:rPr>
        <w:t> </w:t>
      </w:r>
      <w:r>
        <w:rPr>
          <w:color w:val="231F20"/>
        </w:rPr>
        <w:t>della</w:t>
      </w:r>
      <w:r>
        <w:rPr>
          <w:color w:val="231F20"/>
          <w:spacing w:val="-15"/>
        </w:rPr>
        <w:t> </w:t>
      </w:r>
      <w:r>
        <w:rPr>
          <w:color w:val="231F20"/>
        </w:rPr>
        <w:t>di- </w:t>
      </w:r>
      <w:r>
        <w:rPr>
          <w:color w:val="231F20"/>
          <w:spacing w:val="-2"/>
        </w:rPr>
        <w:t>rettiva</w:t>
      </w:r>
      <w:r>
        <w:rPr>
          <w:color w:val="231F20"/>
          <w:spacing w:val="-6"/>
        </w:rPr>
        <w:t> </w:t>
      </w:r>
      <w:r>
        <w:rPr>
          <w:color w:val="231F20"/>
          <w:spacing w:val="-2"/>
        </w:rPr>
        <w:t>generale</w:t>
      </w:r>
      <w:r>
        <w:rPr>
          <w:color w:val="231F20"/>
          <w:spacing w:val="-6"/>
        </w:rPr>
        <w:t> </w:t>
      </w:r>
      <w:r>
        <w:rPr>
          <w:color w:val="231F20"/>
          <w:spacing w:val="-2"/>
        </w:rPr>
        <w:t>accise»</w:t>
      </w:r>
      <w:r>
        <w:rPr>
          <w:color w:val="231F20"/>
          <w:spacing w:val="-2"/>
          <w:position w:val="8"/>
          <w:sz w:val="14"/>
        </w:rPr>
        <w:t>174</w:t>
      </w:r>
      <w:r>
        <w:rPr>
          <w:color w:val="231F20"/>
          <w:spacing w:val="-2"/>
        </w:rPr>
        <w:t>.</w:t>
      </w:r>
      <w:r>
        <w:rPr>
          <w:color w:val="231F20"/>
          <w:spacing w:val="-6"/>
        </w:rPr>
        <w:t> </w:t>
      </w:r>
      <w:r>
        <w:rPr>
          <w:color w:val="231F20"/>
          <w:spacing w:val="-2"/>
        </w:rPr>
        <w:t>Non</w:t>
      </w:r>
      <w:r>
        <w:rPr>
          <w:color w:val="231F20"/>
          <w:spacing w:val="-6"/>
        </w:rPr>
        <w:t> </w:t>
      </w:r>
      <w:r>
        <w:rPr>
          <w:color w:val="231F20"/>
          <w:spacing w:val="-2"/>
        </w:rPr>
        <w:t>essendo</w:t>
      </w:r>
      <w:r>
        <w:rPr>
          <w:color w:val="231F20"/>
          <w:spacing w:val="-6"/>
        </w:rPr>
        <w:t> </w:t>
      </w:r>
      <w:r>
        <w:rPr>
          <w:color w:val="231F20"/>
          <w:spacing w:val="-2"/>
        </w:rPr>
        <w:t>pertanto</w:t>
      </w:r>
      <w:r>
        <w:rPr>
          <w:color w:val="231F20"/>
          <w:spacing w:val="-6"/>
        </w:rPr>
        <w:t> </w:t>
      </w:r>
      <w:r>
        <w:rPr>
          <w:color w:val="231F20"/>
          <w:spacing w:val="-2"/>
        </w:rPr>
        <w:t>gli</w:t>
      </w:r>
      <w:r>
        <w:rPr>
          <w:color w:val="231F20"/>
          <w:spacing w:val="-6"/>
        </w:rPr>
        <w:t> </w:t>
      </w:r>
      <w:r>
        <w:rPr>
          <w:color w:val="231F20"/>
          <w:spacing w:val="-2"/>
        </w:rPr>
        <w:t>atti</w:t>
      </w:r>
      <w:r>
        <w:rPr>
          <w:color w:val="231F20"/>
          <w:spacing w:val="-6"/>
        </w:rPr>
        <w:t> </w:t>
      </w:r>
      <w:r>
        <w:rPr>
          <w:color w:val="231F20"/>
          <w:spacing w:val="-2"/>
        </w:rPr>
        <w:t>legislativi</w:t>
      </w:r>
      <w:r>
        <w:rPr>
          <w:color w:val="231F20"/>
          <w:spacing w:val="-6"/>
        </w:rPr>
        <w:t> </w:t>
      </w:r>
      <w:r>
        <w:rPr>
          <w:color w:val="231F20"/>
          <w:spacing w:val="-2"/>
        </w:rPr>
        <w:t>in</w:t>
      </w:r>
      <w:r>
        <w:rPr>
          <w:color w:val="231F20"/>
          <w:spacing w:val="-6"/>
        </w:rPr>
        <w:t> </w:t>
      </w:r>
      <w:r>
        <w:rPr>
          <w:color w:val="231F20"/>
          <w:spacing w:val="-2"/>
        </w:rPr>
        <w:t>materia </w:t>
      </w:r>
      <w:r>
        <w:rPr>
          <w:color w:val="231F20"/>
        </w:rPr>
        <w:t>di cooperazione amministrativa idonei a prevenire tali violazioni di diritto tributario sostanziale dell’Unione, la soluzione del problema delle doppie imposizioni</w:t>
      </w:r>
      <w:r>
        <w:rPr>
          <w:color w:val="231F20"/>
          <w:spacing w:val="-15"/>
        </w:rPr>
        <w:t> </w:t>
      </w:r>
      <w:r>
        <w:rPr>
          <w:color w:val="231F20"/>
        </w:rPr>
        <w:t>IVA</w:t>
      </w:r>
      <w:r>
        <w:rPr>
          <w:color w:val="231F20"/>
          <w:spacing w:val="-15"/>
        </w:rPr>
        <w:t> </w:t>
      </w:r>
      <w:r>
        <w:rPr>
          <w:color w:val="231F20"/>
        </w:rPr>
        <w:t>e</w:t>
      </w:r>
      <w:r>
        <w:rPr>
          <w:color w:val="231F20"/>
          <w:spacing w:val="-15"/>
        </w:rPr>
        <w:t> </w:t>
      </w:r>
      <w:r>
        <w:rPr>
          <w:color w:val="231F20"/>
        </w:rPr>
        <w:t>accise</w:t>
      </w:r>
      <w:r>
        <w:rPr>
          <w:color w:val="231F20"/>
          <w:spacing w:val="-15"/>
        </w:rPr>
        <w:t> </w:t>
      </w:r>
      <w:r>
        <w:rPr>
          <w:color w:val="231F20"/>
        </w:rPr>
        <w:t>spetterà</w:t>
      </w:r>
      <w:r>
        <w:rPr>
          <w:color w:val="231F20"/>
          <w:spacing w:val="-15"/>
        </w:rPr>
        <w:t> </w:t>
      </w:r>
      <w:r>
        <w:rPr>
          <w:color w:val="231F20"/>
        </w:rPr>
        <w:t>inevitabilmente</w:t>
      </w:r>
      <w:r>
        <w:rPr>
          <w:color w:val="231F20"/>
          <w:spacing w:val="-15"/>
        </w:rPr>
        <w:t> </w:t>
      </w:r>
      <w:r>
        <w:rPr>
          <w:color w:val="231F20"/>
        </w:rPr>
        <w:t>al</w:t>
      </w:r>
      <w:r>
        <w:rPr>
          <w:color w:val="231F20"/>
          <w:spacing w:val="-15"/>
        </w:rPr>
        <w:t> </w:t>
      </w:r>
      <w:r>
        <w:rPr>
          <w:color w:val="231F20"/>
        </w:rPr>
        <w:t>legislatore</w:t>
      </w:r>
      <w:r>
        <w:rPr>
          <w:color w:val="231F20"/>
          <w:spacing w:val="-15"/>
        </w:rPr>
        <w:t> </w:t>
      </w:r>
      <w:r>
        <w:rPr>
          <w:color w:val="231F20"/>
        </w:rPr>
        <w:t>dell’Unione. Quest’ultimo dovrà infatti integrare le direttive di armonizzazione con un atto legislativo – preferibilmente un regolamento direttamente applicabile –</w:t>
      </w:r>
      <w:r>
        <w:rPr>
          <w:color w:val="231F20"/>
          <w:spacing w:val="-2"/>
        </w:rPr>
        <w:t> </w:t>
      </w:r>
      <w:r>
        <w:rPr>
          <w:color w:val="231F20"/>
        </w:rPr>
        <w:t>che</w:t>
      </w:r>
      <w:r>
        <w:rPr>
          <w:color w:val="231F20"/>
          <w:spacing w:val="-2"/>
        </w:rPr>
        <w:t> </w:t>
      </w:r>
      <w:r>
        <w:rPr>
          <w:color w:val="231F20"/>
        </w:rPr>
        <w:t>preveda</w:t>
      </w:r>
      <w:r>
        <w:rPr>
          <w:color w:val="231F20"/>
          <w:spacing w:val="-2"/>
        </w:rPr>
        <w:t> </w:t>
      </w:r>
      <w:r>
        <w:rPr>
          <w:color w:val="231F20"/>
        </w:rPr>
        <w:t>una</w:t>
      </w:r>
      <w:r>
        <w:rPr>
          <w:color w:val="231F20"/>
          <w:spacing w:val="-2"/>
        </w:rPr>
        <w:t> </w:t>
      </w:r>
      <w:r>
        <w:rPr>
          <w:color w:val="231F20"/>
        </w:rPr>
        <w:t>procedura</w:t>
      </w:r>
      <w:r>
        <w:rPr>
          <w:color w:val="231F20"/>
          <w:spacing w:val="-2"/>
        </w:rPr>
        <w:t> </w:t>
      </w:r>
      <w:r>
        <w:rPr>
          <w:color w:val="231F20"/>
        </w:rPr>
        <w:t>di</w:t>
      </w:r>
      <w:r>
        <w:rPr>
          <w:color w:val="231F20"/>
          <w:spacing w:val="-2"/>
        </w:rPr>
        <w:t> </w:t>
      </w:r>
      <w:r>
        <w:rPr>
          <w:color w:val="231F20"/>
        </w:rPr>
        <w:t>arbitrato</w:t>
      </w:r>
      <w:r>
        <w:rPr>
          <w:color w:val="231F20"/>
          <w:spacing w:val="-2"/>
        </w:rPr>
        <w:t> </w:t>
      </w:r>
      <w:r>
        <w:rPr>
          <w:color w:val="231F20"/>
        </w:rPr>
        <w:t>preventivo</w:t>
      </w:r>
      <w:r>
        <w:rPr>
          <w:color w:val="231F20"/>
          <w:spacing w:val="-2"/>
        </w:rPr>
        <w:t> </w:t>
      </w:r>
      <w:r>
        <w:rPr>
          <w:color w:val="231F20"/>
        </w:rPr>
        <w:t>(della</w:t>
      </w:r>
      <w:r>
        <w:rPr>
          <w:color w:val="231F20"/>
          <w:spacing w:val="-2"/>
        </w:rPr>
        <w:t> </w:t>
      </w:r>
      <w:r>
        <w:rPr>
          <w:color w:val="231F20"/>
        </w:rPr>
        <w:t>doppia</w:t>
      </w:r>
      <w:r>
        <w:rPr>
          <w:color w:val="231F20"/>
          <w:spacing w:val="-2"/>
        </w:rPr>
        <w:t> </w:t>
      </w:r>
      <w:r>
        <w:rPr>
          <w:color w:val="231F20"/>
        </w:rPr>
        <w:t>imposi- zione)</w:t>
      </w:r>
      <w:r>
        <w:rPr>
          <w:color w:val="231F20"/>
          <w:spacing w:val="-7"/>
        </w:rPr>
        <w:t> </w:t>
      </w:r>
      <w:r>
        <w:rPr>
          <w:color w:val="231F20"/>
        </w:rPr>
        <w:t>obbligatorio</w:t>
      </w:r>
      <w:r>
        <w:rPr>
          <w:color w:val="231F20"/>
          <w:spacing w:val="-7"/>
        </w:rPr>
        <w:t> </w:t>
      </w:r>
      <w:r>
        <w:rPr>
          <w:color w:val="231F20"/>
        </w:rPr>
        <w:t>secondo</w:t>
      </w:r>
      <w:r>
        <w:rPr>
          <w:color w:val="231F20"/>
          <w:spacing w:val="-7"/>
        </w:rPr>
        <w:t> </w:t>
      </w:r>
      <w:r>
        <w:rPr>
          <w:color w:val="231F20"/>
        </w:rPr>
        <w:t>un</w:t>
      </w:r>
      <w:r>
        <w:rPr>
          <w:color w:val="231F20"/>
          <w:spacing w:val="-7"/>
        </w:rPr>
        <w:t> </w:t>
      </w:r>
      <w:r>
        <w:rPr>
          <w:color w:val="231F20"/>
        </w:rPr>
        <w:t>modello</w:t>
      </w:r>
      <w:r>
        <w:rPr>
          <w:color w:val="231F20"/>
          <w:spacing w:val="-7"/>
        </w:rPr>
        <w:t> </w:t>
      </w:r>
      <w:r>
        <w:rPr>
          <w:color w:val="231F20"/>
        </w:rPr>
        <w:t>istituzionale</w:t>
      </w:r>
      <w:r>
        <w:rPr>
          <w:color w:val="231F20"/>
          <w:spacing w:val="-7"/>
        </w:rPr>
        <w:t> </w:t>
      </w:r>
      <w:r>
        <w:rPr>
          <w:color w:val="231F20"/>
        </w:rPr>
        <w:t>di</w:t>
      </w:r>
      <w:r>
        <w:rPr>
          <w:color w:val="231F20"/>
          <w:spacing w:val="-7"/>
        </w:rPr>
        <w:t> </w:t>
      </w:r>
      <w:r>
        <w:rPr>
          <w:color w:val="231F20"/>
        </w:rPr>
        <w:t>nuova</w:t>
      </w:r>
      <w:r>
        <w:rPr>
          <w:color w:val="231F20"/>
          <w:spacing w:val="-7"/>
        </w:rPr>
        <w:t> </w:t>
      </w:r>
      <w:r>
        <w:rPr>
          <w:color w:val="231F20"/>
        </w:rPr>
        <w:t>concezione.</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35"/>
        <w:rPr>
          <w:sz w:val="20"/>
        </w:rPr>
      </w:pPr>
      <w:r>
        <w:rPr/>
        <mc:AlternateContent>
          <mc:Choice Requires="wps">
            <w:drawing>
              <wp:anchor distT="0" distB="0" distL="0" distR="0" allowOverlap="1" layoutInCell="1" locked="0" behindDoc="1" simplePos="0" relativeHeight="487664640">
                <wp:simplePos x="0" y="0"/>
                <wp:positionH relativeFrom="page">
                  <wp:posOffset>899999</wp:posOffset>
                </wp:positionH>
                <wp:positionV relativeFrom="paragraph">
                  <wp:posOffset>199448</wp:posOffset>
                </wp:positionV>
                <wp:extent cx="792480" cy="1270"/>
                <wp:effectExtent l="0" t="0" r="0" b="0"/>
                <wp:wrapTopAndBottom/>
                <wp:docPr id="245" name="Graphic 245"/>
                <wp:cNvGraphicFramePr>
                  <a:graphicFrameLocks/>
                </wp:cNvGraphicFramePr>
                <a:graphic>
                  <a:graphicData uri="http://schemas.microsoft.com/office/word/2010/wordprocessingShape">
                    <wps:wsp>
                      <wps:cNvPr id="245" name="Graphic 245"/>
                      <wps:cNvSpPr/>
                      <wps:spPr>
                        <a:xfrm>
                          <a:off x="0" y="0"/>
                          <a:ext cx="792480" cy="1270"/>
                        </a:xfrm>
                        <a:custGeom>
                          <a:avLst/>
                          <a:gdLst/>
                          <a:ahLst/>
                          <a:cxnLst/>
                          <a:rect l="l" t="t" r="r" b="b"/>
                          <a:pathLst>
                            <a:path w="792480" h="0">
                              <a:moveTo>
                                <a:pt x="0" y="0"/>
                              </a:moveTo>
                              <a:lnTo>
                                <a:pt x="791997"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shape style="position:absolute;margin-left:70.866096pt;margin-top:15.70458pt;width:62.4pt;height:.1pt;mso-position-horizontal-relative:page;mso-position-vertical-relative:paragraph;z-index:-15651840;mso-wrap-distance-left:0;mso-wrap-distance-right:0" id="docshape203" coordorigin="1417,314" coordsize="1248,0" path="m1417,314l2665,314e" filled="false" stroked="true" strokeweight=".5pt" strokecolor="#231f20">
                <v:path arrowok="t"/>
                <v:stroke dashstyle="solid"/>
                <w10:wrap type="topAndBottom"/>
              </v:shape>
            </w:pict>
          </mc:Fallback>
        </mc:AlternateContent>
      </w:r>
    </w:p>
    <w:p>
      <w:pPr>
        <w:spacing w:line="235" w:lineRule="exact" w:before="190"/>
        <w:ind w:left="157" w:right="0" w:firstLine="0"/>
        <w:jc w:val="left"/>
        <w:rPr>
          <w:sz w:val="19"/>
        </w:rPr>
      </w:pPr>
      <w:r>
        <w:rPr>
          <w:color w:val="231F20"/>
          <w:position w:val="6"/>
          <w:sz w:val="11"/>
        </w:rPr>
        <w:t>171</w:t>
      </w:r>
      <w:r>
        <w:rPr>
          <w:color w:val="231F20"/>
          <w:spacing w:val="79"/>
          <w:position w:val="6"/>
          <w:sz w:val="11"/>
        </w:rPr>
        <w:t> </w:t>
      </w:r>
      <w:r>
        <w:rPr>
          <w:color w:val="231F20"/>
          <w:sz w:val="19"/>
        </w:rPr>
        <w:t>Corte Giust.</w:t>
      </w:r>
      <w:r>
        <w:rPr>
          <w:color w:val="231F20"/>
          <w:spacing w:val="-1"/>
          <w:sz w:val="19"/>
        </w:rPr>
        <w:t> </w:t>
      </w:r>
      <w:r>
        <w:rPr>
          <w:color w:val="231F20"/>
          <w:sz w:val="19"/>
        </w:rPr>
        <w:t>UE, sent. del 17</w:t>
      </w:r>
      <w:r>
        <w:rPr>
          <w:color w:val="231F20"/>
          <w:spacing w:val="-1"/>
          <w:sz w:val="19"/>
        </w:rPr>
        <w:t> </w:t>
      </w:r>
      <w:r>
        <w:rPr>
          <w:color w:val="231F20"/>
          <w:sz w:val="19"/>
        </w:rPr>
        <w:t>dicembre 2015, C-419/14, cit,</w:t>
      </w:r>
      <w:r>
        <w:rPr>
          <w:color w:val="231F20"/>
          <w:spacing w:val="-1"/>
          <w:sz w:val="19"/>
        </w:rPr>
        <w:t> </w:t>
      </w:r>
      <w:r>
        <w:rPr>
          <w:color w:val="231F20"/>
          <w:sz w:val="19"/>
        </w:rPr>
        <w:t>punti da 57 a </w:t>
      </w:r>
      <w:r>
        <w:rPr>
          <w:color w:val="231F20"/>
          <w:spacing w:val="-5"/>
          <w:sz w:val="19"/>
        </w:rPr>
        <w:t>59.</w:t>
      </w:r>
    </w:p>
    <w:p>
      <w:pPr>
        <w:spacing w:line="228" w:lineRule="exact" w:before="0"/>
        <w:ind w:left="157" w:right="0" w:firstLine="0"/>
        <w:jc w:val="left"/>
        <w:rPr>
          <w:sz w:val="19"/>
        </w:rPr>
      </w:pPr>
      <w:r>
        <w:rPr>
          <w:color w:val="231F20"/>
          <w:position w:val="6"/>
          <w:sz w:val="11"/>
        </w:rPr>
        <w:t>172</w:t>
      </w:r>
      <w:r>
        <w:rPr>
          <w:color w:val="231F20"/>
          <w:spacing w:val="79"/>
          <w:position w:val="6"/>
          <w:sz w:val="11"/>
        </w:rPr>
        <w:t> </w:t>
      </w:r>
      <w:r>
        <w:rPr>
          <w:color w:val="231F20"/>
          <w:sz w:val="19"/>
        </w:rPr>
        <w:t>Corte Giust. UE, sent. del 18</w:t>
      </w:r>
      <w:r>
        <w:rPr>
          <w:color w:val="231F20"/>
          <w:spacing w:val="-1"/>
          <w:sz w:val="19"/>
        </w:rPr>
        <w:t> </w:t>
      </w:r>
      <w:r>
        <w:rPr>
          <w:color w:val="231F20"/>
          <w:sz w:val="19"/>
        </w:rPr>
        <w:t>giugno 2020, C-276/18, cit, punti 48 e </w:t>
      </w:r>
      <w:r>
        <w:rPr>
          <w:color w:val="231F20"/>
          <w:spacing w:val="-5"/>
          <w:sz w:val="19"/>
        </w:rPr>
        <w:t>49.</w:t>
      </w:r>
    </w:p>
    <w:p>
      <w:pPr>
        <w:spacing w:line="228" w:lineRule="exact" w:before="0"/>
        <w:ind w:left="157" w:right="0" w:firstLine="0"/>
        <w:jc w:val="left"/>
        <w:rPr>
          <w:sz w:val="19"/>
        </w:rPr>
      </w:pPr>
      <w:r>
        <w:rPr>
          <w:color w:val="231F20"/>
          <w:position w:val="6"/>
          <w:sz w:val="11"/>
        </w:rPr>
        <w:t>173</w:t>
      </w:r>
      <w:r>
        <w:rPr>
          <w:color w:val="231F20"/>
          <w:spacing w:val="79"/>
          <w:position w:val="6"/>
          <w:sz w:val="11"/>
        </w:rPr>
        <w:t> </w:t>
      </w:r>
      <w:r>
        <w:rPr>
          <w:color w:val="231F20"/>
          <w:sz w:val="19"/>
        </w:rPr>
        <w:t>Corte Giust. UE,</w:t>
      </w:r>
      <w:r>
        <w:rPr>
          <w:color w:val="231F20"/>
          <w:spacing w:val="-1"/>
          <w:sz w:val="19"/>
        </w:rPr>
        <w:t> </w:t>
      </w:r>
      <w:r>
        <w:rPr>
          <w:color w:val="231F20"/>
          <w:sz w:val="19"/>
        </w:rPr>
        <w:t>C-276/18, ult. cit., punto </w:t>
      </w:r>
      <w:r>
        <w:rPr>
          <w:color w:val="231F20"/>
          <w:spacing w:val="-5"/>
          <w:sz w:val="19"/>
        </w:rPr>
        <w:t>50.</w:t>
      </w:r>
    </w:p>
    <w:p>
      <w:pPr>
        <w:spacing w:line="235" w:lineRule="exact" w:before="0"/>
        <w:ind w:left="157" w:right="0" w:firstLine="0"/>
        <w:jc w:val="left"/>
        <w:rPr>
          <w:sz w:val="19"/>
        </w:rPr>
      </w:pPr>
      <w:r>
        <w:rPr>
          <w:color w:val="231F20"/>
          <w:position w:val="6"/>
          <w:sz w:val="11"/>
        </w:rPr>
        <w:t>174</w:t>
      </w:r>
      <w:r>
        <w:rPr>
          <w:color w:val="231F20"/>
          <w:spacing w:val="79"/>
          <w:position w:val="6"/>
          <w:sz w:val="11"/>
        </w:rPr>
        <w:t> </w:t>
      </w:r>
      <w:r>
        <w:rPr>
          <w:color w:val="231F20"/>
          <w:sz w:val="19"/>
        </w:rPr>
        <w:t>Corte Giust. UE, sent. del</w:t>
      </w:r>
      <w:r>
        <w:rPr>
          <w:color w:val="231F20"/>
          <w:spacing w:val="-1"/>
          <w:sz w:val="19"/>
        </w:rPr>
        <w:t> </w:t>
      </w:r>
      <w:r>
        <w:rPr>
          <w:color w:val="231F20"/>
          <w:sz w:val="19"/>
        </w:rPr>
        <w:t>24 febbraio 2021, C-95/19, cit</w:t>
      </w:r>
      <w:r>
        <w:rPr>
          <w:i/>
          <w:color w:val="231F20"/>
          <w:sz w:val="19"/>
        </w:rPr>
        <w:t>.</w:t>
      </w:r>
      <w:r>
        <w:rPr>
          <w:color w:val="231F20"/>
          <w:sz w:val="19"/>
        </w:rPr>
        <w:t>, punto </w:t>
      </w:r>
      <w:r>
        <w:rPr>
          <w:color w:val="231F20"/>
          <w:spacing w:val="-5"/>
          <w:sz w:val="19"/>
        </w:rPr>
        <w:t>78.</w:t>
      </w:r>
    </w:p>
    <w:p>
      <w:pPr>
        <w:spacing w:after="0" w:line="235" w:lineRule="exact"/>
        <w:jc w:val="left"/>
        <w:rPr>
          <w:sz w:val="19"/>
        </w:rPr>
        <w:sectPr>
          <w:pgSz w:w="9640" w:h="13610"/>
          <w:pgMar w:header="0" w:footer="625" w:top="1260" w:bottom="820" w:left="1260" w:right="1240"/>
        </w:sectPr>
      </w:pPr>
    </w:p>
    <w:p>
      <w:pPr>
        <w:pStyle w:val="BodyText"/>
        <w:spacing w:before="9"/>
        <w:rPr>
          <w:sz w:val="15"/>
        </w:rPr>
      </w:pPr>
    </w:p>
    <w:sectPr>
      <w:headerReference w:type="even" r:id="rId12"/>
      <w:footerReference w:type="even" r:id="rId13"/>
      <w:pgSz w:w="9640" w:h="13610"/>
      <w:pgMar w:header="0" w:footer="0" w:top="1540" w:bottom="280" w:left="1260" w:right="124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dobe Garamond Pro">
    <w:altName w:val="Adobe Garamond Pro"/>
    <w:charset w:val="0"/>
    <w:family w:val="roman"/>
    <w:pitch w:val="variable"/>
  </w:font>
  <w:font w:name="Minion Pro">
    <w:altName w:val="Minion Pro"/>
    <w:charset w:val="0"/>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86951424">
              <wp:simplePos x="0" y="0"/>
              <wp:positionH relativeFrom="page">
                <wp:posOffset>2935124</wp:posOffset>
              </wp:positionH>
              <wp:positionV relativeFrom="page">
                <wp:posOffset>8103195</wp:posOffset>
              </wp:positionV>
              <wp:extent cx="298450" cy="203200"/>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298450" cy="203200"/>
                      </a:xfrm>
                      <a:prstGeom prst="rect">
                        <a:avLst/>
                      </a:prstGeom>
                    </wps:spPr>
                    <wps:txbx>
                      <w:txbxContent>
                        <w:p>
                          <w:pPr>
                            <w:spacing w:before="20"/>
                            <w:ind w:left="60" w:right="0" w:firstLine="0"/>
                            <w:jc w:val="left"/>
                            <w:rPr>
                              <w:sz w:val="22"/>
                            </w:rPr>
                          </w:pPr>
                          <w:r>
                            <w:rPr>
                              <w:color w:val="231F20"/>
                              <w:spacing w:val="-5"/>
                              <w:sz w:val="22"/>
                            </w:rPr>
                            <w:fldChar w:fldCharType="begin"/>
                          </w:r>
                          <w:r>
                            <w:rPr>
                              <w:color w:val="231F20"/>
                              <w:spacing w:val="-5"/>
                              <w:sz w:val="22"/>
                            </w:rPr>
                            <w:instrText> PAGE </w:instrText>
                          </w:r>
                          <w:r>
                            <w:rPr>
                              <w:color w:val="231F20"/>
                              <w:spacing w:val="-5"/>
                              <w:sz w:val="22"/>
                            </w:rPr>
                            <w:fldChar w:fldCharType="separate"/>
                          </w:r>
                          <w:r>
                            <w:rPr>
                              <w:color w:val="231F20"/>
                              <w:spacing w:val="-5"/>
                              <w:sz w:val="22"/>
                            </w:rPr>
                            <w:t>139</w:t>
                          </w:r>
                          <w:r>
                            <w:rPr>
                              <w:color w:val="231F20"/>
                              <w:spacing w:val="-5"/>
                              <w:sz w:val="22"/>
                            </w:rPr>
                            <w:fldChar w:fldCharType="end"/>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231.112198pt;margin-top:638.046875pt;width:23.5pt;height:16pt;mso-position-horizontal-relative:page;mso-position-vertical-relative:page;z-index:-16365056" type="#_x0000_t202" id="docshape1" filled="false" stroked="false">
              <v:textbox inset="0,0,0,0">
                <w:txbxContent>
                  <w:p>
                    <w:pPr>
                      <w:spacing w:before="20"/>
                      <w:ind w:left="60" w:right="0" w:firstLine="0"/>
                      <w:jc w:val="left"/>
                      <w:rPr>
                        <w:sz w:val="22"/>
                      </w:rPr>
                    </w:pPr>
                    <w:r>
                      <w:rPr>
                        <w:color w:val="231F20"/>
                        <w:spacing w:val="-5"/>
                        <w:sz w:val="22"/>
                      </w:rPr>
                      <w:fldChar w:fldCharType="begin"/>
                    </w:r>
                    <w:r>
                      <w:rPr>
                        <w:color w:val="231F20"/>
                        <w:spacing w:val="-5"/>
                        <w:sz w:val="22"/>
                      </w:rPr>
                      <w:instrText> PAGE </w:instrText>
                    </w:r>
                    <w:r>
                      <w:rPr>
                        <w:color w:val="231F20"/>
                        <w:spacing w:val="-5"/>
                        <w:sz w:val="22"/>
                      </w:rPr>
                      <w:fldChar w:fldCharType="separate"/>
                    </w:r>
                    <w:r>
                      <w:rPr>
                        <w:color w:val="231F20"/>
                        <w:spacing w:val="-5"/>
                        <w:sz w:val="22"/>
                      </w:rPr>
                      <w:t>139</w:t>
                    </w:r>
                    <w:r>
                      <w:rPr>
                        <w:color w:val="231F20"/>
                        <w:spacing w:val="-5"/>
                        <w:sz w:val="22"/>
                      </w:rPr>
                      <w:fldChar w:fldCharType="end"/>
                    </w:r>
                  </w:p>
                </w:txbxContent>
              </v:textbox>
              <w10:wrap type="none"/>
            </v:shape>
          </w:pict>
        </mc:Fallback>
      </mc:AlternateContent>
    </w: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86951936">
              <wp:simplePos x="0" y="0"/>
              <wp:positionH relativeFrom="page">
                <wp:posOffset>2899125</wp:posOffset>
              </wp:positionH>
              <wp:positionV relativeFrom="page">
                <wp:posOffset>8103195</wp:posOffset>
              </wp:positionV>
              <wp:extent cx="298450" cy="203200"/>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298450" cy="203200"/>
                      </a:xfrm>
                      <a:prstGeom prst="rect">
                        <a:avLst/>
                      </a:prstGeom>
                    </wps:spPr>
                    <wps:txbx>
                      <w:txbxContent>
                        <w:p>
                          <w:pPr>
                            <w:spacing w:before="20"/>
                            <w:ind w:left="60" w:right="0" w:firstLine="0"/>
                            <w:jc w:val="left"/>
                            <w:rPr>
                              <w:sz w:val="22"/>
                            </w:rPr>
                          </w:pPr>
                          <w:r>
                            <w:rPr>
                              <w:color w:val="231F20"/>
                              <w:spacing w:val="-5"/>
                              <w:sz w:val="22"/>
                            </w:rPr>
                            <w:fldChar w:fldCharType="begin"/>
                          </w:r>
                          <w:r>
                            <w:rPr>
                              <w:color w:val="231F20"/>
                              <w:spacing w:val="-5"/>
                              <w:sz w:val="22"/>
                            </w:rPr>
                            <w:instrText> PAGE </w:instrText>
                          </w:r>
                          <w:r>
                            <w:rPr>
                              <w:color w:val="231F20"/>
                              <w:spacing w:val="-5"/>
                              <w:sz w:val="22"/>
                            </w:rPr>
                            <w:fldChar w:fldCharType="separate"/>
                          </w:r>
                          <w:r>
                            <w:rPr>
                              <w:color w:val="231F20"/>
                              <w:spacing w:val="-5"/>
                              <w:sz w:val="22"/>
                            </w:rPr>
                            <w:t>140</w:t>
                          </w:r>
                          <w:r>
                            <w:rPr>
                              <w:color w:val="231F20"/>
                              <w:spacing w:val="-5"/>
                              <w:sz w:val="22"/>
                            </w:rPr>
                            <w:fldChar w:fldCharType="end"/>
                          </w:r>
                        </w:p>
                      </w:txbxContent>
                    </wps:txbx>
                    <wps:bodyPr wrap="square" lIns="0" tIns="0" rIns="0" bIns="0" rtlCol="0">
                      <a:noAutofit/>
                    </wps:bodyPr>
                  </wps:wsp>
                </a:graphicData>
              </a:graphic>
            </wp:anchor>
          </w:drawing>
        </mc:Choice>
        <mc:Fallback>
          <w:pict>
            <v:shape style="position:absolute;margin-left:228.277603pt;margin-top:638.046875pt;width:23.5pt;height:16pt;mso-position-horizontal-relative:page;mso-position-vertical-relative:page;z-index:-16364544" type="#_x0000_t202" id="docshape2" filled="false" stroked="false">
              <v:textbox inset="0,0,0,0">
                <w:txbxContent>
                  <w:p>
                    <w:pPr>
                      <w:spacing w:before="20"/>
                      <w:ind w:left="60" w:right="0" w:firstLine="0"/>
                      <w:jc w:val="left"/>
                      <w:rPr>
                        <w:sz w:val="22"/>
                      </w:rPr>
                    </w:pPr>
                    <w:r>
                      <w:rPr>
                        <w:color w:val="231F20"/>
                        <w:spacing w:val="-5"/>
                        <w:sz w:val="22"/>
                      </w:rPr>
                      <w:fldChar w:fldCharType="begin"/>
                    </w:r>
                    <w:r>
                      <w:rPr>
                        <w:color w:val="231F20"/>
                        <w:spacing w:val="-5"/>
                        <w:sz w:val="22"/>
                      </w:rPr>
                      <w:instrText> PAGE </w:instrText>
                    </w:r>
                    <w:r>
                      <w:rPr>
                        <w:color w:val="231F20"/>
                        <w:spacing w:val="-5"/>
                        <w:sz w:val="22"/>
                      </w:rPr>
                      <w:fldChar w:fldCharType="separate"/>
                    </w:r>
                    <w:r>
                      <w:rPr>
                        <w:color w:val="231F20"/>
                        <w:spacing w:val="-5"/>
                        <w:sz w:val="22"/>
                      </w:rPr>
                      <w:t>140</w:t>
                    </w:r>
                    <w:r>
                      <w:rPr>
                        <w:color w:val="231F20"/>
                        <w:spacing w:val="-5"/>
                        <w:sz w:val="22"/>
                      </w:rPr>
                      <w:fldChar w:fldCharType="end"/>
                    </w:r>
                  </w:p>
                </w:txbxContent>
              </v:textbox>
              <w10:wrap type="none"/>
            </v:shape>
          </w:pict>
        </mc:Fallback>
      </mc:AlternateContent>
    </w:r>
  </w:p>
</w:ftr>
</file>

<file path=word/footer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86954496">
              <wp:simplePos x="0" y="0"/>
              <wp:positionH relativeFrom="page">
                <wp:posOffset>2935124</wp:posOffset>
              </wp:positionH>
              <wp:positionV relativeFrom="page">
                <wp:posOffset>8103195</wp:posOffset>
              </wp:positionV>
              <wp:extent cx="298450" cy="203200"/>
              <wp:effectExtent l="0" t="0" r="0" b="0"/>
              <wp:wrapNone/>
              <wp:docPr id="16" name="Textbox 16"/>
              <wp:cNvGraphicFramePr>
                <a:graphicFrameLocks/>
              </wp:cNvGraphicFramePr>
              <a:graphic>
                <a:graphicData uri="http://schemas.microsoft.com/office/word/2010/wordprocessingShape">
                  <wps:wsp>
                    <wps:cNvPr id="16" name="Textbox 16"/>
                    <wps:cNvSpPr txBox="1"/>
                    <wps:spPr>
                      <a:xfrm>
                        <a:off x="0" y="0"/>
                        <a:ext cx="298450" cy="203200"/>
                      </a:xfrm>
                      <a:prstGeom prst="rect">
                        <a:avLst/>
                      </a:prstGeom>
                    </wps:spPr>
                    <wps:txbx>
                      <w:txbxContent>
                        <w:p>
                          <w:pPr>
                            <w:spacing w:before="20"/>
                            <w:ind w:left="60" w:right="0" w:firstLine="0"/>
                            <w:jc w:val="left"/>
                            <w:rPr>
                              <w:sz w:val="22"/>
                            </w:rPr>
                          </w:pPr>
                          <w:r>
                            <w:rPr>
                              <w:color w:val="231F20"/>
                              <w:spacing w:val="-5"/>
                              <w:sz w:val="22"/>
                            </w:rPr>
                            <w:fldChar w:fldCharType="begin"/>
                          </w:r>
                          <w:r>
                            <w:rPr>
                              <w:color w:val="231F20"/>
                              <w:spacing w:val="-5"/>
                              <w:sz w:val="22"/>
                            </w:rPr>
                            <w:instrText> PAGE </w:instrText>
                          </w:r>
                          <w:r>
                            <w:rPr>
                              <w:color w:val="231F20"/>
                              <w:spacing w:val="-5"/>
                              <w:sz w:val="22"/>
                            </w:rPr>
                            <w:fldChar w:fldCharType="separate"/>
                          </w:r>
                          <w:r>
                            <w:rPr>
                              <w:color w:val="231F20"/>
                              <w:spacing w:val="-5"/>
                              <w:sz w:val="22"/>
                            </w:rPr>
                            <w:t>141</w:t>
                          </w:r>
                          <w:r>
                            <w:rPr>
                              <w:color w:val="231F20"/>
                              <w:spacing w:val="-5"/>
                              <w:sz w:val="22"/>
                            </w:rPr>
                            <w:fldChar w:fldCharType="end"/>
                          </w:r>
                        </w:p>
                      </w:txbxContent>
                    </wps:txbx>
                    <wps:bodyPr wrap="square" lIns="0" tIns="0" rIns="0" bIns="0" rtlCol="0">
                      <a:noAutofit/>
                    </wps:bodyPr>
                  </wps:wsp>
                </a:graphicData>
              </a:graphic>
            </wp:anchor>
          </w:drawing>
        </mc:Choice>
        <mc:Fallback>
          <w:pict>
            <v:shape style="position:absolute;margin-left:231.112198pt;margin-top:638.046875pt;width:23.5pt;height:16pt;mso-position-horizontal-relative:page;mso-position-vertical-relative:page;z-index:-16361984" type="#_x0000_t202" id="docshape13" filled="false" stroked="false">
              <v:textbox inset="0,0,0,0">
                <w:txbxContent>
                  <w:p>
                    <w:pPr>
                      <w:spacing w:before="20"/>
                      <w:ind w:left="60" w:right="0" w:firstLine="0"/>
                      <w:jc w:val="left"/>
                      <w:rPr>
                        <w:sz w:val="22"/>
                      </w:rPr>
                    </w:pPr>
                    <w:r>
                      <w:rPr>
                        <w:color w:val="231F20"/>
                        <w:spacing w:val="-5"/>
                        <w:sz w:val="22"/>
                      </w:rPr>
                      <w:fldChar w:fldCharType="begin"/>
                    </w:r>
                    <w:r>
                      <w:rPr>
                        <w:color w:val="231F20"/>
                        <w:spacing w:val="-5"/>
                        <w:sz w:val="22"/>
                      </w:rPr>
                      <w:instrText> PAGE </w:instrText>
                    </w:r>
                    <w:r>
                      <w:rPr>
                        <w:color w:val="231F20"/>
                        <w:spacing w:val="-5"/>
                        <w:sz w:val="22"/>
                      </w:rPr>
                      <w:fldChar w:fldCharType="separate"/>
                    </w:r>
                    <w:r>
                      <w:rPr>
                        <w:color w:val="231F20"/>
                        <w:spacing w:val="-5"/>
                        <w:sz w:val="22"/>
                      </w:rPr>
                      <w:t>141</w:t>
                    </w:r>
                    <w:r>
                      <w:rPr>
                        <w:color w:val="231F20"/>
                        <w:spacing w:val="-5"/>
                        <w:sz w:val="22"/>
                      </w:rPr>
                      <w:fldChar w:fldCharType="end"/>
                    </w:r>
                  </w:p>
                </w:txbxContent>
              </v:textbox>
              <w10:wrap type="none"/>
            </v:shape>
          </w:pict>
        </mc:Fallback>
      </mc:AlternateContent>
    </w:r>
  </w:p>
</w:ftr>
</file>

<file path=word/footer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86955008">
              <wp:simplePos x="0" y="0"/>
              <wp:positionH relativeFrom="page">
                <wp:posOffset>2899125</wp:posOffset>
              </wp:positionH>
              <wp:positionV relativeFrom="page">
                <wp:posOffset>8103195</wp:posOffset>
              </wp:positionV>
              <wp:extent cx="298450" cy="203200"/>
              <wp:effectExtent l="0" t="0" r="0" b="0"/>
              <wp:wrapNone/>
              <wp:docPr id="17" name="Textbox 17"/>
              <wp:cNvGraphicFramePr>
                <a:graphicFrameLocks/>
              </wp:cNvGraphicFramePr>
              <a:graphic>
                <a:graphicData uri="http://schemas.microsoft.com/office/word/2010/wordprocessingShape">
                  <wps:wsp>
                    <wps:cNvPr id="17" name="Textbox 17"/>
                    <wps:cNvSpPr txBox="1"/>
                    <wps:spPr>
                      <a:xfrm>
                        <a:off x="0" y="0"/>
                        <a:ext cx="298450" cy="203200"/>
                      </a:xfrm>
                      <a:prstGeom prst="rect">
                        <a:avLst/>
                      </a:prstGeom>
                    </wps:spPr>
                    <wps:txbx>
                      <w:txbxContent>
                        <w:p>
                          <w:pPr>
                            <w:spacing w:before="20"/>
                            <w:ind w:left="60" w:right="0" w:firstLine="0"/>
                            <w:jc w:val="left"/>
                            <w:rPr>
                              <w:sz w:val="22"/>
                            </w:rPr>
                          </w:pPr>
                          <w:r>
                            <w:rPr>
                              <w:color w:val="231F20"/>
                              <w:spacing w:val="-5"/>
                              <w:sz w:val="22"/>
                            </w:rPr>
                            <w:fldChar w:fldCharType="begin"/>
                          </w:r>
                          <w:r>
                            <w:rPr>
                              <w:color w:val="231F20"/>
                              <w:spacing w:val="-5"/>
                              <w:sz w:val="22"/>
                            </w:rPr>
                            <w:instrText> PAGE </w:instrText>
                          </w:r>
                          <w:r>
                            <w:rPr>
                              <w:color w:val="231F20"/>
                              <w:spacing w:val="-5"/>
                              <w:sz w:val="22"/>
                            </w:rPr>
                            <w:fldChar w:fldCharType="separate"/>
                          </w:r>
                          <w:r>
                            <w:rPr>
                              <w:color w:val="231F20"/>
                              <w:spacing w:val="-5"/>
                              <w:sz w:val="22"/>
                            </w:rPr>
                            <w:t>142</w:t>
                          </w:r>
                          <w:r>
                            <w:rPr>
                              <w:color w:val="231F20"/>
                              <w:spacing w:val="-5"/>
                              <w:sz w:val="22"/>
                            </w:rPr>
                            <w:fldChar w:fldCharType="end"/>
                          </w:r>
                        </w:p>
                      </w:txbxContent>
                    </wps:txbx>
                    <wps:bodyPr wrap="square" lIns="0" tIns="0" rIns="0" bIns="0" rtlCol="0">
                      <a:noAutofit/>
                    </wps:bodyPr>
                  </wps:wsp>
                </a:graphicData>
              </a:graphic>
            </wp:anchor>
          </w:drawing>
        </mc:Choice>
        <mc:Fallback>
          <w:pict>
            <v:shape style="position:absolute;margin-left:228.277603pt;margin-top:638.046875pt;width:23.5pt;height:16pt;mso-position-horizontal-relative:page;mso-position-vertical-relative:page;z-index:-16361472" type="#_x0000_t202" id="docshape14" filled="false" stroked="false">
              <v:textbox inset="0,0,0,0">
                <w:txbxContent>
                  <w:p>
                    <w:pPr>
                      <w:spacing w:before="20"/>
                      <w:ind w:left="60" w:right="0" w:firstLine="0"/>
                      <w:jc w:val="left"/>
                      <w:rPr>
                        <w:sz w:val="22"/>
                      </w:rPr>
                    </w:pPr>
                    <w:r>
                      <w:rPr>
                        <w:color w:val="231F20"/>
                        <w:spacing w:val="-5"/>
                        <w:sz w:val="22"/>
                      </w:rPr>
                      <w:fldChar w:fldCharType="begin"/>
                    </w:r>
                    <w:r>
                      <w:rPr>
                        <w:color w:val="231F20"/>
                        <w:spacing w:val="-5"/>
                        <w:sz w:val="22"/>
                      </w:rPr>
                      <w:instrText> PAGE </w:instrText>
                    </w:r>
                    <w:r>
                      <w:rPr>
                        <w:color w:val="231F20"/>
                        <w:spacing w:val="-5"/>
                        <w:sz w:val="22"/>
                      </w:rPr>
                      <w:fldChar w:fldCharType="separate"/>
                    </w:r>
                    <w:r>
                      <w:rPr>
                        <w:color w:val="231F20"/>
                        <w:spacing w:val="-5"/>
                        <w:sz w:val="22"/>
                      </w:rPr>
                      <w:t>142</w:t>
                    </w:r>
                    <w:r>
                      <w:rPr>
                        <w:color w:val="231F20"/>
                        <w:spacing w:val="-5"/>
                        <w:sz w:val="22"/>
                      </w:rPr>
                      <w:fldChar w:fldCharType="end"/>
                    </w:r>
                  </w:p>
                </w:txbxContent>
              </v:textbox>
              <w10:wrap type="none"/>
            </v:shape>
          </w:pict>
        </mc:Fallback>
      </mc:AlternateContent>
    </w:r>
  </w:p>
</w:ftr>
</file>

<file path=word/footer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86952448">
              <wp:simplePos x="0" y="0"/>
              <wp:positionH relativeFrom="page">
                <wp:posOffset>864000</wp:posOffset>
              </wp:positionH>
              <wp:positionV relativeFrom="page">
                <wp:posOffset>395998</wp:posOffset>
              </wp:positionV>
              <wp:extent cx="4356100" cy="150495"/>
              <wp:effectExtent l="0" t="0" r="0" b="0"/>
              <wp:wrapNone/>
              <wp:docPr id="7" name="Group 7"/>
              <wp:cNvGraphicFramePr>
                <a:graphicFrameLocks/>
              </wp:cNvGraphicFramePr>
              <a:graphic>
                <a:graphicData uri="http://schemas.microsoft.com/office/word/2010/wordprocessingGroup">
                  <wpg:wgp>
                    <wpg:cNvPr id="7" name="Group 7"/>
                    <wpg:cNvGrpSpPr/>
                    <wpg:grpSpPr>
                      <a:xfrm>
                        <a:off x="0" y="0"/>
                        <a:ext cx="4356100" cy="150495"/>
                        <a:chExt cx="4356100" cy="150495"/>
                      </a:xfrm>
                    </wpg:grpSpPr>
                    <wps:wsp>
                      <wps:cNvPr id="8" name="Graphic 8"/>
                      <wps:cNvSpPr/>
                      <wps:spPr>
                        <a:xfrm>
                          <a:off x="0" y="147176"/>
                          <a:ext cx="4356100" cy="1270"/>
                        </a:xfrm>
                        <a:custGeom>
                          <a:avLst/>
                          <a:gdLst/>
                          <a:ahLst/>
                          <a:cxnLst/>
                          <a:rect l="l" t="t" r="r" b="b"/>
                          <a:pathLst>
                            <a:path w="4356100" h="0">
                              <a:moveTo>
                                <a:pt x="0" y="0"/>
                              </a:moveTo>
                              <a:lnTo>
                                <a:pt x="4355998" y="0"/>
                              </a:lnTo>
                            </a:path>
                          </a:pathLst>
                        </a:custGeom>
                        <a:ln w="6350">
                          <a:solidFill>
                            <a:srgbClr val="939598"/>
                          </a:solidFill>
                          <a:prstDash val="solid"/>
                        </a:ln>
                      </wps:spPr>
                      <wps:bodyPr wrap="square" lIns="0" tIns="0" rIns="0" bIns="0" rtlCol="0">
                        <a:prstTxWarp prst="textNoShape">
                          <a:avLst/>
                        </a:prstTxWarp>
                        <a:noAutofit/>
                      </wps:bodyPr>
                    </wps:wsp>
                    <wps:wsp>
                      <wps:cNvPr id="9" name="Graphic 9"/>
                      <wps:cNvSpPr/>
                      <wps:spPr>
                        <a:xfrm>
                          <a:off x="6" y="0"/>
                          <a:ext cx="360045" cy="147955"/>
                        </a:xfrm>
                        <a:custGeom>
                          <a:avLst/>
                          <a:gdLst/>
                          <a:ahLst/>
                          <a:cxnLst/>
                          <a:rect l="l" t="t" r="r" b="b"/>
                          <a:pathLst>
                            <a:path w="360045" h="147955">
                              <a:moveTo>
                                <a:pt x="359994" y="0"/>
                              </a:moveTo>
                              <a:lnTo>
                                <a:pt x="0" y="0"/>
                              </a:lnTo>
                              <a:lnTo>
                                <a:pt x="0" y="147599"/>
                              </a:lnTo>
                              <a:lnTo>
                                <a:pt x="359994" y="147599"/>
                              </a:lnTo>
                              <a:lnTo>
                                <a:pt x="359994" y="0"/>
                              </a:lnTo>
                              <a:close/>
                            </a:path>
                          </a:pathLst>
                        </a:custGeom>
                        <a:solidFill>
                          <a:srgbClr val="939598"/>
                        </a:solidFill>
                      </wps:spPr>
                      <wps:bodyPr wrap="square" lIns="0" tIns="0" rIns="0" bIns="0" rtlCol="0">
                        <a:prstTxWarp prst="textNoShape">
                          <a:avLst/>
                        </a:prstTxWarp>
                        <a:noAutofit/>
                      </wps:bodyPr>
                    </wps:wsp>
                  </wpg:wgp>
                </a:graphicData>
              </a:graphic>
            </wp:anchor>
          </w:drawing>
        </mc:Choice>
        <mc:Fallback>
          <w:pict>
            <v:group style="position:absolute;margin-left:68.031502pt;margin-top:31.181002pt;width:343pt;height:11.85pt;mso-position-horizontal-relative:page;mso-position-vertical-relative:page;z-index:-16364032" id="docshapegroup6" coordorigin="1361,624" coordsize="6860,237">
              <v:line style="position:absolute" from="1361,855" to="8220,855" stroked="true" strokeweight=".5pt" strokecolor="#939598">
                <v:stroke dashstyle="solid"/>
              </v:line>
              <v:rect style="position:absolute;left:1360;top:623;width:567;height:233" id="docshape7" filled="true" fillcolor="#939598" stroked="false">
                <v:fill type="solid"/>
              </v:rect>
              <w10:wrap type="none"/>
            </v:group>
          </w:pict>
        </mc:Fallback>
      </mc:AlternateContent>
    </w:r>
    <w:r>
      <w:rPr/>
      <mc:AlternateContent>
        <mc:Choice Requires="wps">
          <w:drawing>
            <wp:anchor distT="0" distB="0" distL="0" distR="0" allowOverlap="1" layoutInCell="1" locked="0" behindDoc="1" simplePos="0" relativeHeight="486952960">
              <wp:simplePos x="0" y="0"/>
              <wp:positionH relativeFrom="page">
                <wp:posOffset>1283300</wp:posOffset>
              </wp:positionH>
              <wp:positionV relativeFrom="page">
                <wp:posOffset>393720</wp:posOffset>
              </wp:positionV>
              <wp:extent cx="2847340" cy="170815"/>
              <wp:effectExtent l="0" t="0" r="0" b="0"/>
              <wp:wrapNone/>
              <wp:docPr id="10" name="Textbox 10"/>
              <wp:cNvGraphicFramePr>
                <a:graphicFrameLocks/>
              </wp:cNvGraphicFramePr>
              <a:graphic>
                <a:graphicData uri="http://schemas.microsoft.com/office/word/2010/wordprocessingShape">
                  <wps:wsp>
                    <wps:cNvPr id="10" name="Textbox 10"/>
                    <wps:cNvSpPr txBox="1"/>
                    <wps:spPr>
                      <a:xfrm>
                        <a:off x="0" y="0"/>
                        <a:ext cx="2847340" cy="170815"/>
                      </a:xfrm>
                      <a:prstGeom prst="rect">
                        <a:avLst/>
                      </a:prstGeom>
                    </wps:spPr>
                    <wps:txbx>
                      <w:txbxContent>
                        <w:p>
                          <w:pPr>
                            <w:spacing w:before="20"/>
                            <w:ind w:left="20" w:right="0" w:firstLine="0"/>
                            <w:jc w:val="left"/>
                            <w:rPr>
                              <w:sz w:val="18"/>
                            </w:rPr>
                          </w:pPr>
                          <w:r>
                            <w:rPr>
                              <w:color w:val="231F20"/>
                              <w:sz w:val="18"/>
                            </w:rPr>
                            <w:t>RIVISTA</w:t>
                          </w:r>
                          <w:r>
                            <w:rPr>
                              <w:color w:val="231F20"/>
                              <w:spacing w:val="-12"/>
                              <w:sz w:val="18"/>
                            </w:rPr>
                            <w:t> </w:t>
                          </w:r>
                          <w:r>
                            <w:rPr>
                              <w:color w:val="231F20"/>
                              <w:sz w:val="18"/>
                            </w:rPr>
                            <w:t>DI</w:t>
                          </w:r>
                          <w:r>
                            <w:rPr>
                              <w:color w:val="231F20"/>
                              <w:spacing w:val="-8"/>
                              <w:sz w:val="18"/>
                            </w:rPr>
                            <w:t> </w:t>
                          </w:r>
                          <w:r>
                            <w:rPr>
                              <w:color w:val="231F20"/>
                              <w:sz w:val="18"/>
                            </w:rPr>
                            <w:t>DIRITTO</w:t>
                          </w:r>
                          <w:r>
                            <w:rPr>
                              <w:color w:val="231F20"/>
                              <w:spacing w:val="-12"/>
                              <w:sz w:val="18"/>
                            </w:rPr>
                            <w:t> </w:t>
                          </w:r>
                          <w:r>
                            <w:rPr>
                              <w:color w:val="231F20"/>
                              <w:sz w:val="18"/>
                            </w:rPr>
                            <w:t>TRIBUTARIO</w:t>
                          </w:r>
                          <w:r>
                            <w:rPr>
                              <w:color w:val="231F20"/>
                              <w:spacing w:val="-7"/>
                              <w:sz w:val="18"/>
                            </w:rPr>
                            <w:t> </w:t>
                          </w:r>
                          <w:r>
                            <w:rPr>
                              <w:color w:val="231F20"/>
                              <w:spacing w:val="-2"/>
                              <w:sz w:val="18"/>
                            </w:rPr>
                            <w:t>INTERNAZIONALE</w:t>
                          </w:r>
                        </w:p>
                      </w:txbxContent>
                    </wps:txbx>
                    <wps:bodyPr wrap="square" lIns="0" tIns="0" rIns="0" bIns="0" rtlCol="0">
                      <a:noAutofit/>
                    </wps:bodyPr>
                  </wps:wsp>
                </a:graphicData>
              </a:graphic>
            </wp:anchor>
          </w:drawing>
        </mc:Choice>
        <mc:Fallback>
          <w:pict>
            <v:shape style="position:absolute;margin-left:101.047302pt;margin-top:31.001602pt;width:224.2pt;height:13.45pt;mso-position-horizontal-relative:page;mso-position-vertical-relative:page;z-index:-16363520" type="#_x0000_t202" id="docshape8" filled="false" stroked="false">
              <v:textbox inset="0,0,0,0">
                <w:txbxContent>
                  <w:p>
                    <w:pPr>
                      <w:spacing w:before="20"/>
                      <w:ind w:left="20" w:right="0" w:firstLine="0"/>
                      <w:jc w:val="left"/>
                      <w:rPr>
                        <w:sz w:val="18"/>
                      </w:rPr>
                    </w:pPr>
                    <w:r>
                      <w:rPr>
                        <w:color w:val="231F20"/>
                        <w:sz w:val="18"/>
                      </w:rPr>
                      <w:t>RIVISTA</w:t>
                    </w:r>
                    <w:r>
                      <w:rPr>
                        <w:color w:val="231F20"/>
                        <w:spacing w:val="-12"/>
                        <w:sz w:val="18"/>
                      </w:rPr>
                      <w:t> </w:t>
                    </w:r>
                    <w:r>
                      <w:rPr>
                        <w:color w:val="231F20"/>
                        <w:sz w:val="18"/>
                      </w:rPr>
                      <w:t>DI</w:t>
                    </w:r>
                    <w:r>
                      <w:rPr>
                        <w:color w:val="231F20"/>
                        <w:spacing w:val="-8"/>
                        <w:sz w:val="18"/>
                      </w:rPr>
                      <w:t> </w:t>
                    </w:r>
                    <w:r>
                      <w:rPr>
                        <w:color w:val="231F20"/>
                        <w:sz w:val="18"/>
                      </w:rPr>
                      <w:t>DIRITTO</w:t>
                    </w:r>
                    <w:r>
                      <w:rPr>
                        <w:color w:val="231F20"/>
                        <w:spacing w:val="-12"/>
                        <w:sz w:val="18"/>
                      </w:rPr>
                      <w:t> </w:t>
                    </w:r>
                    <w:r>
                      <w:rPr>
                        <w:color w:val="231F20"/>
                        <w:sz w:val="18"/>
                      </w:rPr>
                      <w:t>TRIBUTARIO</w:t>
                    </w:r>
                    <w:r>
                      <w:rPr>
                        <w:color w:val="231F20"/>
                        <w:spacing w:val="-7"/>
                        <w:sz w:val="18"/>
                      </w:rPr>
                      <w:t> </w:t>
                    </w:r>
                    <w:r>
                      <w:rPr>
                        <w:color w:val="231F20"/>
                        <w:spacing w:val="-2"/>
                        <w:sz w:val="18"/>
                      </w:rPr>
                      <w:t>INTERNAZIONALE</w:t>
                    </w:r>
                  </w:p>
                </w:txbxContent>
              </v:textbox>
              <w10:wrap type="none"/>
            </v:shape>
          </w:pict>
        </mc:Fallback>
      </mc:AlternateContent>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86953472">
              <wp:simplePos x="0" y="0"/>
              <wp:positionH relativeFrom="page">
                <wp:posOffset>899998</wp:posOffset>
              </wp:positionH>
              <wp:positionV relativeFrom="page">
                <wp:posOffset>395998</wp:posOffset>
              </wp:positionV>
              <wp:extent cx="4356100" cy="150495"/>
              <wp:effectExtent l="0" t="0" r="0" b="0"/>
              <wp:wrapNone/>
              <wp:docPr id="11" name="Group 11"/>
              <wp:cNvGraphicFramePr>
                <a:graphicFrameLocks/>
              </wp:cNvGraphicFramePr>
              <a:graphic>
                <a:graphicData uri="http://schemas.microsoft.com/office/word/2010/wordprocessingGroup">
                  <wpg:wgp>
                    <wpg:cNvPr id="11" name="Group 11"/>
                    <wpg:cNvGrpSpPr/>
                    <wpg:grpSpPr>
                      <a:xfrm>
                        <a:off x="0" y="0"/>
                        <a:ext cx="4356100" cy="150495"/>
                        <a:chExt cx="4356100" cy="150495"/>
                      </a:xfrm>
                    </wpg:grpSpPr>
                    <wps:wsp>
                      <wps:cNvPr id="12" name="Graphic 12"/>
                      <wps:cNvSpPr/>
                      <wps:spPr>
                        <a:xfrm>
                          <a:off x="1" y="147176"/>
                          <a:ext cx="4356100" cy="1270"/>
                        </a:xfrm>
                        <a:custGeom>
                          <a:avLst/>
                          <a:gdLst/>
                          <a:ahLst/>
                          <a:cxnLst/>
                          <a:rect l="l" t="t" r="r" b="b"/>
                          <a:pathLst>
                            <a:path w="4356100" h="0">
                              <a:moveTo>
                                <a:pt x="0" y="0"/>
                              </a:moveTo>
                              <a:lnTo>
                                <a:pt x="4355998" y="0"/>
                              </a:lnTo>
                            </a:path>
                          </a:pathLst>
                        </a:custGeom>
                        <a:ln w="6350">
                          <a:solidFill>
                            <a:srgbClr val="939598"/>
                          </a:solidFill>
                          <a:prstDash val="solid"/>
                        </a:ln>
                      </wps:spPr>
                      <wps:bodyPr wrap="square" lIns="0" tIns="0" rIns="0" bIns="0" rtlCol="0">
                        <a:prstTxWarp prst="textNoShape">
                          <a:avLst/>
                        </a:prstTxWarp>
                        <a:noAutofit/>
                      </wps:bodyPr>
                    </wps:wsp>
                    <wps:wsp>
                      <wps:cNvPr id="13" name="Graphic 13"/>
                      <wps:cNvSpPr/>
                      <wps:spPr>
                        <a:xfrm>
                          <a:off x="0" y="0"/>
                          <a:ext cx="360045" cy="147955"/>
                        </a:xfrm>
                        <a:custGeom>
                          <a:avLst/>
                          <a:gdLst/>
                          <a:ahLst/>
                          <a:cxnLst/>
                          <a:rect l="l" t="t" r="r" b="b"/>
                          <a:pathLst>
                            <a:path w="360045" h="147955">
                              <a:moveTo>
                                <a:pt x="359994" y="0"/>
                              </a:moveTo>
                              <a:lnTo>
                                <a:pt x="0" y="0"/>
                              </a:lnTo>
                              <a:lnTo>
                                <a:pt x="0" y="147599"/>
                              </a:lnTo>
                              <a:lnTo>
                                <a:pt x="359994" y="147599"/>
                              </a:lnTo>
                              <a:lnTo>
                                <a:pt x="359994" y="0"/>
                              </a:lnTo>
                              <a:close/>
                            </a:path>
                          </a:pathLst>
                        </a:custGeom>
                        <a:solidFill>
                          <a:srgbClr val="939598"/>
                        </a:solidFill>
                      </wps:spPr>
                      <wps:bodyPr wrap="square" lIns="0" tIns="0" rIns="0" bIns="0" rtlCol="0">
                        <a:prstTxWarp prst="textNoShape">
                          <a:avLst/>
                        </a:prstTxWarp>
                        <a:noAutofit/>
                      </wps:bodyPr>
                    </wps:wsp>
                  </wpg:wgp>
                </a:graphicData>
              </a:graphic>
            </wp:anchor>
          </w:drawing>
        </mc:Choice>
        <mc:Fallback>
          <w:pict>
            <v:group style="position:absolute;margin-left:70.865997pt;margin-top:31.181002pt;width:343pt;height:11.85pt;mso-position-horizontal-relative:page;mso-position-vertical-relative:page;z-index:-16363008" id="docshapegroup9" coordorigin="1417,624" coordsize="6860,237">
              <v:line style="position:absolute" from="1417,855" to="8277,855" stroked="true" strokeweight=".5pt" strokecolor="#939598">
                <v:stroke dashstyle="solid"/>
              </v:line>
              <v:rect style="position:absolute;left:1417;top:623;width:567;height:233" id="docshape10" filled="true" fillcolor="#939598" stroked="false">
                <v:fill type="solid"/>
              </v:rect>
              <w10:wrap type="none"/>
            </v:group>
          </w:pict>
        </mc:Fallback>
      </mc:AlternateContent>
    </w:r>
    <w:r>
      <w:rPr/>
      <mc:AlternateContent>
        <mc:Choice Requires="wps">
          <w:drawing>
            <wp:anchor distT="0" distB="0" distL="0" distR="0" allowOverlap="1" layoutInCell="1" locked="0" behindDoc="1" simplePos="0" relativeHeight="486953984">
              <wp:simplePos x="0" y="0"/>
              <wp:positionH relativeFrom="page">
                <wp:posOffset>1319300</wp:posOffset>
              </wp:positionH>
              <wp:positionV relativeFrom="page">
                <wp:posOffset>393720</wp:posOffset>
              </wp:positionV>
              <wp:extent cx="703580" cy="170815"/>
              <wp:effectExtent l="0" t="0" r="0" b="0"/>
              <wp:wrapNone/>
              <wp:docPr id="14" name="Textbox 14"/>
              <wp:cNvGraphicFramePr>
                <a:graphicFrameLocks/>
              </wp:cNvGraphicFramePr>
              <a:graphic>
                <a:graphicData uri="http://schemas.microsoft.com/office/word/2010/wordprocessingShape">
                  <wps:wsp>
                    <wps:cNvPr id="14" name="Textbox 14"/>
                    <wps:cNvSpPr txBox="1"/>
                    <wps:spPr>
                      <a:xfrm>
                        <a:off x="0" y="0"/>
                        <a:ext cx="703580" cy="170815"/>
                      </a:xfrm>
                      <a:prstGeom prst="rect">
                        <a:avLst/>
                      </a:prstGeom>
                    </wps:spPr>
                    <wps:txbx>
                      <w:txbxContent>
                        <w:p>
                          <w:pPr>
                            <w:spacing w:before="20"/>
                            <w:ind w:left="20" w:right="0" w:firstLine="0"/>
                            <w:jc w:val="left"/>
                            <w:rPr>
                              <w:sz w:val="18"/>
                            </w:rPr>
                          </w:pPr>
                          <w:r>
                            <w:rPr>
                              <w:color w:val="231F20"/>
                              <w:sz w:val="18"/>
                            </w:rPr>
                            <w:t>Enrico</w:t>
                          </w:r>
                          <w:r>
                            <w:rPr>
                              <w:color w:val="231F20"/>
                              <w:spacing w:val="-13"/>
                              <w:sz w:val="18"/>
                            </w:rPr>
                            <w:t> </w:t>
                          </w:r>
                          <w:r>
                            <w:rPr>
                              <w:color w:val="231F20"/>
                              <w:spacing w:val="-2"/>
                              <w:sz w:val="18"/>
                            </w:rPr>
                            <w:t>Traversa</w:t>
                          </w:r>
                        </w:p>
                      </w:txbxContent>
                    </wps:txbx>
                    <wps:bodyPr wrap="square" lIns="0" tIns="0" rIns="0" bIns="0" rtlCol="0">
                      <a:noAutofit/>
                    </wps:bodyPr>
                  </wps:wsp>
                </a:graphicData>
              </a:graphic>
            </wp:anchor>
          </w:drawing>
        </mc:Choice>
        <mc:Fallback>
          <w:pict>
            <v:shape style="position:absolute;margin-left:103.881897pt;margin-top:31.001602pt;width:55.4pt;height:13.45pt;mso-position-horizontal-relative:page;mso-position-vertical-relative:page;z-index:-16362496" type="#_x0000_t202" id="docshape11" filled="false" stroked="false">
              <v:textbox inset="0,0,0,0">
                <w:txbxContent>
                  <w:p>
                    <w:pPr>
                      <w:spacing w:before="20"/>
                      <w:ind w:left="20" w:right="0" w:firstLine="0"/>
                      <w:jc w:val="left"/>
                      <w:rPr>
                        <w:sz w:val="18"/>
                      </w:rPr>
                    </w:pPr>
                    <w:r>
                      <w:rPr>
                        <w:color w:val="231F20"/>
                        <w:sz w:val="18"/>
                      </w:rPr>
                      <w:t>Enrico</w:t>
                    </w:r>
                    <w:r>
                      <w:rPr>
                        <w:color w:val="231F20"/>
                        <w:spacing w:val="-13"/>
                        <w:sz w:val="18"/>
                      </w:rPr>
                      <w:t> </w:t>
                    </w:r>
                    <w:r>
                      <w:rPr>
                        <w:color w:val="231F20"/>
                        <w:spacing w:val="-2"/>
                        <w:sz w:val="18"/>
                      </w:rPr>
                      <w:t>Traversa</w:t>
                    </w:r>
                  </w:p>
                </w:txbxContent>
              </v:textbox>
              <w10:wrap type="none"/>
            </v:shape>
          </w:pict>
        </mc:Fallback>
      </mc:AlternateContent>
    </w:r>
  </w:p>
</w:hdr>
</file>

<file path=word/header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multiLevelType w:val="hybridMultilevel"/>
    <w:lvl w:ilvl="0">
      <w:start w:val="1"/>
      <w:numFmt w:val="decimal"/>
      <w:lvlText w:val="%1."/>
      <w:lvlJc w:val="left"/>
      <w:pPr>
        <w:ind w:left="383" w:hanging="283"/>
        <w:jc w:val="left"/>
      </w:pPr>
      <w:rPr>
        <w:rFonts w:hint="default" w:ascii="Adobe Garamond Pro" w:hAnsi="Adobe Garamond Pro" w:eastAsia="Adobe Garamond Pro" w:cs="Adobe Garamond Pro"/>
        <w:b/>
        <w:bCs/>
        <w:i w:val="0"/>
        <w:iCs w:val="0"/>
        <w:color w:val="231F20"/>
        <w:spacing w:val="0"/>
        <w:w w:val="100"/>
        <w:sz w:val="28"/>
        <w:szCs w:val="28"/>
        <w:lang w:val="en-US" w:eastAsia="en-US" w:bidi="ar-SA"/>
      </w:rPr>
    </w:lvl>
    <w:lvl w:ilvl="1">
      <w:start w:val="1"/>
      <w:numFmt w:val="decimal"/>
      <w:lvlText w:val="%1.%2."/>
      <w:lvlJc w:val="left"/>
      <w:pPr>
        <w:ind w:left="571" w:hanging="414"/>
        <w:jc w:val="left"/>
      </w:pPr>
      <w:rPr>
        <w:rFonts w:hint="default" w:ascii="Adobe Garamond Pro" w:hAnsi="Adobe Garamond Pro" w:eastAsia="Adobe Garamond Pro" w:cs="Adobe Garamond Pro"/>
        <w:b/>
        <w:bCs/>
        <w:i w:val="0"/>
        <w:iCs w:val="0"/>
        <w:color w:val="231F20"/>
        <w:spacing w:val="-3"/>
        <w:w w:val="100"/>
        <w:sz w:val="24"/>
        <w:szCs w:val="24"/>
        <w:lang w:val="en-US" w:eastAsia="en-US" w:bidi="ar-SA"/>
      </w:rPr>
    </w:lvl>
    <w:lvl w:ilvl="2">
      <w:start w:val="1"/>
      <w:numFmt w:val="decimal"/>
      <w:lvlText w:val="%1.%2.%3."/>
      <w:lvlJc w:val="left"/>
      <w:pPr>
        <w:ind w:left="757" w:hanging="600"/>
        <w:jc w:val="left"/>
      </w:pPr>
      <w:rPr>
        <w:rFonts w:hint="default" w:ascii="Adobe Garamond Pro" w:hAnsi="Adobe Garamond Pro" w:eastAsia="Adobe Garamond Pro" w:cs="Adobe Garamond Pro"/>
        <w:b w:val="0"/>
        <w:bCs w:val="0"/>
        <w:i/>
        <w:iCs/>
        <w:color w:val="231F20"/>
        <w:spacing w:val="0"/>
        <w:w w:val="100"/>
        <w:sz w:val="24"/>
        <w:szCs w:val="24"/>
        <w:lang w:val="en-US" w:eastAsia="en-US" w:bidi="ar-SA"/>
      </w:rPr>
    </w:lvl>
    <w:lvl w:ilvl="3">
      <w:start w:val="0"/>
      <w:numFmt w:val="bullet"/>
      <w:lvlText w:val="•"/>
      <w:lvlJc w:val="left"/>
      <w:pPr>
        <w:ind w:left="520" w:hanging="600"/>
      </w:pPr>
      <w:rPr>
        <w:rFonts w:hint="default"/>
        <w:lang w:val="en-US" w:eastAsia="en-US" w:bidi="ar-SA"/>
      </w:rPr>
    </w:lvl>
    <w:lvl w:ilvl="4">
      <w:start w:val="0"/>
      <w:numFmt w:val="bullet"/>
      <w:lvlText w:val="•"/>
      <w:lvlJc w:val="left"/>
      <w:pPr>
        <w:ind w:left="580" w:hanging="600"/>
      </w:pPr>
      <w:rPr>
        <w:rFonts w:hint="default"/>
        <w:lang w:val="en-US" w:eastAsia="en-US" w:bidi="ar-SA"/>
      </w:rPr>
    </w:lvl>
    <w:lvl w:ilvl="5">
      <w:start w:val="0"/>
      <w:numFmt w:val="bullet"/>
      <w:lvlText w:val="•"/>
      <w:lvlJc w:val="left"/>
      <w:pPr>
        <w:ind w:left="700" w:hanging="600"/>
      </w:pPr>
      <w:rPr>
        <w:rFonts w:hint="default"/>
        <w:lang w:val="en-US" w:eastAsia="en-US" w:bidi="ar-SA"/>
      </w:rPr>
    </w:lvl>
    <w:lvl w:ilvl="6">
      <w:start w:val="0"/>
      <w:numFmt w:val="bullet"/>
      <w:lvlText w:val="•"/>
      <w:lvlJc w:val="left"/>
      <w:pPr>
        <w:ind w:left="760" w:hanging="600"/>
      </w:pPr>
      <w:rPr>
        <w:rFonts w:hint="default"/>
        <w:lang w:val="en-US" w:eastAsia="en-US" w:bidi="ar-SA"/>
      </w:rPr>
    </w:lvl>
    <w:lvl w:ilvl="7">
      <w:start w:val="0"/>
      <w:numFmt w:val="bullet"/>
      <w:lvlText w:val="•"/>
      <w:lvlJc w:val="left"/>
      <w:pPr>
        <w:ind w:left="2354" w:hanging="600"/>
      </w:pPr>
      <w:rPr>
        <w:rFonts w:hint="default"/>
        <w:lang w:val="en-US" w:eastAsia="en-US" w:bidi="ar-SA"/>
      </w:rPr>
    </w:lvl>
    <w:lvl w:ilvl="8">
      <w:start w:val="0"/>
      <w:numFmt w:val="bullet"/>
      <w:lvlText w:val="•"/>
      <w:lvlJc w:val="left"/>
      <w:pPr>
        <w:ind w:left="3948" w:hanging="600"/>
      </w:pPr>
      <w:rPr>
        <w:rFonts w:hint="default"/>
        <w:lang w:val="en-US" w:eastAsia="en-US" w:bidi="ar-SA"/>
      </w:rPr>
    </w:lvl>
  </w:abstractNum>
  <w:abstractNum w:abstractNumId="2">
    <w:multiLevelType w:val="hybridMultilevel"/>
    <w:lvl w:ilvl="0">
      <w:start w:val="0"/>
      <w:numFmt w:val="bullet"/>
      <w:lvlText w:val="-"/>
      <w:lvlJc w:val="left"/>
      <w:pPr>
        <w:ind w:left="157" w:hanging="166"/>
      </w:pPr>
      <w:rPr>
        <w:rFonts w:hint="default" w:ascii="Adobe Garamond Pro" w:hAnsi="Adobe Garamond Pro" w:eastAsia="Adobe Garamond Pro" w:cs="Adobe Garamond Pro"/>
        <w:b w:val="0"/>
        <w:bCs w:val="0"/>
        <w:i/>
        <w:iCs/>
        <w:color w:val="231F20"/>
        <w:spacing w:val="0"/>
        <w:w w:val="100"/>
        <w:sz w:val="24"/>
        <w:szCs w:val="24"/>
        <w:lang w:val="en-US" w:eastAsia="en-US" w:bidi="ar-SA"/>
      </w:rPr>
    </w:lvl>
    <w:lvl w:ilvl="1">
      <w:start w:val="0"/>
      <w:numFmt w:val="bullet"/>
      <w:lvlText w:val="•"/>
      <w:lvlJc w:val="left"/>
      <w:pPr>
        <w:ind w:left="857" w:hanging="166"/>
      </w:pPr>
      <w:rPr>
        <w:rFonts w:hint="default"/>
        <w:lang w:val="en-US" w:eastAsia="en-US" w:bidi="ar-SA"/>
      </w:rPr>
    </w:lvl>
    <w:lvl w:ilvl="2">
      <w:start w:val="0"/>
      <w:numFmt w:val="bullet"/>
      <w:lvlText w:val="•"/>
      <w:lvlJc w:val="left"/>
      <w:pPr>
        <w:ind w:left="1555" w:hanging="166"/>
      </w:pPr>
      <w:rPr>
        <w:rFonts w:hint="default"/>
        <w:lang w:val="en-US" w:eastAsia="en-US" w:bidi="ar-SA"/>
      </w:rPr>
    </w:lvl>
    <w:lvl w:ilvl="3">
      <w:start w:val="0"/>
      <w:numFmt w:val="bullet"/>
      <w:lvlText w:val="•"/>
      <w:lvlJc w:val="left"/>
      <w:pPr>
        <w:ind w:left="2253" w:hanging="166"/>
      </w:pPr>
      <w:rPr>
        <w:rFonts w:hint="default"/>
        <w:lang w:val="en-US" w:eastAsia="en-US" w:bidi="ar-SA"/>
      </w:rPr>
    </w:lvl>
    <w:lvl w:ilvl="4">
      <w:start w:val="0"/>
      <w:numFmt w:val="bullet"/>
      <w:lvlText w:val="•"/>
      <w:lvlJc w:val="left"/>
      <w:pPr>
        <w:ind w:left="2951" w:hanging="166"/>
      </w:pPr>
      <w:rPr>
        <w:rFonts w:hint="default"/>
        <w:lang w:val="en-US" w:eastAsia="en-US" w:bidi="ar-SA"/>
      </w:rPr>
    </w:lvl>
    <w:lvl w:ilvl="5">
      <w:start w:val="0"/>
      <w:numFmt w:val="bullet"/>
      <w:lvlText w:val="•"/>
      <w:lvlJc w:val="left"/>
      <w:pPr>
        <w:ind w:left="3648" w:hanging="166"/>
      </w:pPr>
      <w:rPr>
        <w:rFonts w:hint="default"/>
        <w:lang w:val="en-US" w:eastAsia="en-US" w:bidi="ar-SA"/>
      </w:rPr>
    </w:lvl>
    <w:lvl w:ilvl="6">
      <w:start w:val="0"/>
      <w:numFmt w:val="bullet"/>
      <w:lvlText w:val="•"/>
      <w:lvlJc w:val="left"/>
      <w:pPr>
        <w:ind w:left="4346" w:hanging="166"/>
      </w:pPr>
      <w:rPr>
        <w:rFonts w:hint="default"/>
        <w:lang w:val="en-US" w:eastAsia="en-US" w:bidi="ar-SA"/>
      </w:rPr>
    </w:lvl>
    <w:lvl w:ilvl="7">
      <w:start w:val="0"/>
      <w:numFmt w:val="bullet"/>
      <w:lvlText w:val="•"/>
      <w:lvlJc w:val="left"/>
      <w:pPr>
        <w:ind w:left="5044" w:hanging="166"/>
      </w:pPr>
      <w:rPr>
        <w:rFonts w:hint="default"/>
        <w:lang w:val="en-US" w:eastAsia="en-US" w:bidi="ar-SA"/>
      </w:rPr>
    </w:lvl>
    <w:lvl w:ilvl="8">
      <w:start w:val="0"/>
      <w:numFmt w:val="bullet"/>
      <w:lvlText w:val="•"/>
      <w:lvlJc w:val="left"/>
      <w:pPr>
        <w:ind w:left="5742" w:hanging="166"/>
      </w:pPr>
      <w:rPr>
        <w:rFonts w:hint="default"/>
        <w:lang w:val="en-US" w:eastAsia="en-US" w:bidi="ar-SA"/>
      </w:rPr>
    </w:lvl>
  </w:abstractNum>
  <w:abstractNum w:abstractNumId="1">
    <w:multiLevelType w:val="hybridMultilevel"/>
    <w:lvl w:ilvl="0">
      <w:start w:val="0"/>
      <w:numFmt w:val="bullet"/>
      <w:lvlText w:val="*"/>
      <w:lvlJc w:val="left"/>
      <w:pPr>
        <w:ind w:left="157" w:hanging="128"/>
      </w:pPr>
      <w:rPr>
        <w:rFonts w:hint="default" w:ascii="Adobe Garamond Pro" w:hAnsi="Adobe Garamond Pro" w:eastAsia="Adobe Garamond Pro" w:cs="Adobe Garamond Pro"/>
        <w:b w:val="0"/>
        <w:bCs w:val="0"/>
        <w:i w:val="0"/>
        <w:iCs w:val="0"/>
        <w:color w:val="231F20"/>
        <w:spacing w:val="0"/>
        <w:w w:val="100"/>
        <w:sz w:val="19"/>
        <w:szCs w:val="19"/>
        <w:lang w:val="en-US" w:eastAsia="en-US" w:bidi="ar-SA"/>
      </w:rPr>
    </w:lvl>
    <w:lvl w:ilvl="1">
      <w:start w:val="0"/>
      <w:numFmt w:val="bullet"/>
      <w:lvlText w:val="•"/>
      <w:lvlJc w:val="left"/>
      <w:pPr>
        <w:ind w:left="857" w:hanging="128"/>
      </w:pPr>
      <w:rPr>
        <w:rFonts w:hint="default"/>
        <w:lang w:val="en-US" w:eastAsia="en-US" w:bidi="ar-SA"/>
      </w:rPr>
    </w:lvl>
    <w:lvl w:ilvl="2">
      <w:start w:val="0"/>
      <w:numFmt w:val="bullet"/>
      <w:lvlText w:val="•"/>
      <w:lvlJc w:val="left"/>
      <w:pPr>
        <w:ind w:left="1555" w:hanging="128"/>
      </w:pPr>
      <w:rPr>
        <w:rFonts w:hint="default"/>
        <w:lang w:val="en-US" w:eastAsia="en-US" w:bidi="ar-SA"/>
      </w:rPr>
    </w:lvl>
    <w:lvl w:ilvl="3">
      <w:start w:val="0"/>
      <w:numFmt w:val="bullet"/>
      <w:lvlText w:val="•"/>
      <w:lvlJc w:val="left"/>
      <w:pPr>
        <w:ind w:left="2253" w:hanging="128"/>
      </w:pPr>
      <w:rPr>
        <w:rFonts w:hint="default"/>
        <w:lang w:val="en-US" w:eastAsia="en-US" w:bidi="ar-SA"/>
      </w:rPr>
    </w:lvl>
    <w:lvl w:ilvl="4">
      <w:start w:val="0"/>
      <w:numFmt w:val="bullet"/>
      <w:lvlText w:val="•"/>
      <w:lvlJc w:val="left"/>
      <w:pPr>
        <w:ind w:left="2951" w:hanging="128"/>
      </w:pPr>
      <w:rPr>
        <w:rFonts w:hint="default"/>
        <w:lang w:val="en-US" w:eastAsia="en-US" w:bidi="ar-SA"/>
      </w:rPr>
    </w:lvl>
    <w:lvl w:ilvl="5">
      <w:start w:val="0"/>
      <w:numFmt w:val="bullet"/>
      <w:lvlText w:val="•"/>
      <w:lvlJc w:val="left"/>
      <w:pPr>
        <w:ind w:left="3648" w:hanging="128"/>
      </w:pPr>
      <w:rPr>
        <w:rFonts w:hint="default"/>
        <w:lang w:val="en-US" w:eastAsia="en-US" w:bidi="ar-SA"/>
      </w:rPr>
    </w:lvl>
    <w:lvl w:ilvl="6">
      <w:start w:val="0"/>
      <w:numFmt w:val="bullet"/>
      <w:lvlText w:val="•"/>
      <w:lvlJc w:val="left"/>
      <w:pPr>
        <w:ind w:left="4346" w:hanging="128"/>
      </w:pPr>
      <w:rPr>
        <w:rFonts w:hint="default"/>
        <w:lang w:val="en-US" w:eastAsia="en-US" w:bidi="ar-SA"/>
      </w:rPr>
    </w:lvl>
    <w:lvl w:ilvl="7">
      <w:start w:val="0"/>
      <w:numFmt w:val="bullet"/>
      <w:lvlText w:val="•"/>
      <w:lvlJc w:val="left"/>
      <w:pPr>
        <w:ind w:left="5044" w:hanging="128"/>
      </w:pPr>
      <w:rPr>
        <w:rFonts w:hint="default"/>
        <w:lang w:val="en-US" w:eastAsia="en-US" w:bidi="ar-SA"/>
      </w:rPr>
    </w:lvl>
    <w:lvl w:ilvl="8">
      <w:start w:val="0"/>
      <w:numFmt w:val="bullet"/>
      <w:lvlText w:val="•"/>
      <w:lvlJc w:val="left"/>
      <w:pPr>
        <w:ind w:left="5742" w:hanging="128"/>
      </w:pPr>
      <w:rPr>
        <w:rFonts w:hint="default"/>
        <w:lang w:val="en-US" w:eastAsia="en-US" w:bidi="ar-SA"/>
      </w:rPr>
    </w:lvl>
  </w:abstractNum>
  <w:abstractNum w:abstractNumId="0">
    <w:multiLevelType w:val="hybridMultilevel"/>
    <w:lvl w:ilvl="0">
      <w:start w:val="1"/>
      <w:numFmt w:val="decimal"/>
      <w:lvlText w:val="%1."/>
      <w:lvlJc w:val="left"/>
      <w:pPr>
        <w:ind w:left="383" w:hanging="283"/>
        <w:jc w:val="left"/>
      </w:pPr>
      <w:rPr>
        <w:rFonts w:hint="default" w:ascii="Adobe Garamond Pro" w:hAnsi="Adobe Garamond Pro" w:eastAsia="Adobe Garamond Pro" w:cs="Adobe Garamond Pro"/>
        <w:b/>
        <w:bCs/>
        <w:i w:val="0"/>
        <w:iCs w:val="0"/>
        <w:color w:val="231F20"/>
        <w:spacing w:val="0"/>
        <w:w w:val="100"/>
        <w:sz w:val="28"/>
        <w:szCs w:val="28"/>
        <w:lang w:val="en-US" w:eastAsia="en-US" w:bidi="ar-SA"/>
      </w:rPr>
    </w:lvl>
    <w:lvl w:ilvl="1">
      <w:start w:val="1"/>
      <w:numFmt w:val="decimal"/>
      <w:lvlText w:val="%1.%2."/>
      <w:lvlJc w:val="left"/>
      <w:pPr>
        <w:ind w:left="100" w:hanging="403"/>
        <w:jc w:val="left"/>
      </w:pPr>
      <w:rPr>
        <w:rFonts w:hint="default" w:ascii="Adobe Garamond Pro" w:hAnsi="Adobe Garamond Pro" w:eastAsia="Adobe Garamond Pro" w:cs="Adobe Garamond Pro"/>
        <w:b/>
        <w:bCs/>
        <w:i w:val="0"/>
        <w:iCs w:val="0"/>
        <w:color w:val="231F20"/>
        <w:spacing w:val="-2"/>
        <w:w w:val="100"/>
        <w:sz w:val="24"/>
        <w:szCs w:val="24"/>
        <w:lang w:val="en-US" w:eastAsia="en-US" w:bidi="ar-SA"/>
      </w:rPr>
    </w:lvl>
    <w:lvl w:ilvl="2">
      <w:start w:val="0"/>
      <w:numFmt w:val="bullet"/>
      <w:lvlText w:val="•"/>
      <w:lvlJc w:val="left"/>
      <w:pPr>
        <w:ind w:left="380" w:hanging="403"/>
      </w:pPr>
      <w:rPr>
        <w:rFonts w:hint="default"/>
        <w:lang w:val="en-US" w:eastAsia="en-US" w:bidi="ar-SA"/>
      </w:rPr>
    </w:lvl>
    <w:lvl w:ilvl="3">
      <w:start w:val="0"/>
      <w:numFmt w:val="bullet"/>
      <w:lvlText w:val="•"/>
      <w:lvlJc w:val="left"/>
      <w:pPr>
        <w:ind w:left="1224" w:hanging="403"/>
      </w:pPr>
      <w:rPr>
        <w:rFonts w:hint="default"/>
        <w:lang w:val="en-US" w:eastAsia="en-US" w:bidi="ar-SA"/>
      </w:rPr>
    </w:lvl>
    <w:lvl w:ilvl="4">
      <w:start w:val="0"/>
      <w:numFmt w:val="bullet"/>
      <w:lvlText w:val="•"/>
      <w:lvlJc w:val="left"/>
      <w:pPr>
        <w:ind w:left="2069" w:hanging="403"/>
      </w:pPr>
      <w:rPr>
        <w:rFonts w:hint="default"/>
        <w:lang w:val="en-US" w:eastAsia="en-US" w:bidi="ar-SA"/>
      </w:rPr>
    </w:lvl>
    <w:lvl w:ilvl="5">
      <w:start w:val="0"/>
      <w:numFmt w:val="bullet"/>
      <w:lvlText w:val="•"/>
      <w:lvlJc w:val="left"/>
      <w:pPr>
        <w:ind w:left="2914" w:hanging="403"/>
      </w:pPr>
      <w:rPr>
        <w:rFonts w:hint="default"/>
        <w:lang w:val="en-US" w:eastAsia="en-US" w:bidi="ar-SA"/>
      </w:rPr>
    </w:lvl>
    <w:lvl w:ilvl="6">
      <w:start w:val="0"/>
      <w:numFmt w:val="bullet"/>
      <w:lvlText w:val="•"/>
      <w:lvlJc w:val="left"/>
      <w:pPr>
        <w:ind w:left="3758" w:hanging="403"/>
      </w:pPr>
      <w:rPr>
        <w:rFonts w:hint="default"/>
        <w:lang w:val="en-US" w:eastAsia="en-US" w:bidi="ar-SA"/>
      </w:rPr>
    </w:lvl>
    <w:lvl w:ilvl="7">
      <w:start w:val="0"/>
      <w:numFmt w:val="bullet"/>
      <w:lvlText w:val="•"/>
      <w:lvlJc w:val="left"/>
      <w:pPr>
        <w:ind w:left="4603" w:hanging="403"/>
      </w:pPr>
      <w:rPr>
        <w:rFonts w:hint="default"/>
        <w:lang w:val="en-US" w:eastAsia="en-US" w:bidi="ar-SA"/>
      </w:rPr>
    </w:lvl>
    <w:lvl w:ilvl="8">
      <w:start w:val="0"/>
      <w:numFmt w:val="bullet"/>
      <w:lvlText w:val="•"/>
      <w:lvlJc w:val="left"/>
      <w:pPr>
        <w:ind w:left="5448" w:hanging="403"/>
      </w:pPr>
      <w:rPr>
        <w:rFonts w:hint="default"/>
        <w:lang w:val="en-US" w:eastAsia="en-US" w:bidi="ar-SA"/>
      </w:rPr>
    </w:lvl>
  </w:abstract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evenAndOddHeaders/>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dobe Garamond Pro" w:hAnsi="Adobe Garamond Pro" w:eastAsia="Adobe Garamond Pro" w:cs="Adobe Garamond Pro"/>
      <w:lang w:val="en-US" w:eastAsia="en-US" w:bidi="ar-SA"/>
    </w:rPr>
  </w:style>
  <w:style w:styleId="BodyText" w:type="paragraph">
    <w:name w:val="Body Text"/>
    <w:basedOn w:val="Normal"/>
    <w:uiPriority w:val="1"/>
    <w:qFormat/>
    <w:pPr/>
    <w:rPr>
      <w:rFonts w:ascii="Adobe Garamond Pro" w:hAnsi="Adobe Garamond Pro" w:eastAsia="Adobe Garamond Pro" w:cs="Adobe Garamond Pro"/>
      <w:sz w:val="24"/>
      <w:szCs w:val="24"/>
      <w:lang w:val="en-US" w:eastAsia="en-US" w:bidi="ar-SA"/>
    </w:rPr>
  </w:style>
  <w:style w:styleId="Heading1" w:type="paragraph">
    <w:name w:val="Heading 1"/>
    <w:basedOn w:val="Normal"/>
    <w:uiPriority w:val="1"/>
    <w:qFormat/>
    <w:pPr>
      <w:ind w:left="157" w:right="174"/>
      <w:outlineLvl w:val="1"/>
    </w:pPr>
    <w:rPr>
      <w:rFonts w:ascii="Adobe Garamond Pro" w:hAnsi="Adobe Garamond Pro" w:eastAsia="Adobe Garamond Pro" w:cs="Adobe Garamond Pro"/>
      <w:sz w:val="36"/>
      <w:szCs w:val="36"/>
      <w:lang w:val="en-US" w:eastAsia="en-US" w:bidi="ar-SA"/>
    </w:rPr>
  </w:style>
  <w:style w:styleId="Heading2" w:type="paragraph">
    <w:name w:val="Heading 2"/>
    <w:basedOn w:val="Normal"/>
    <w:uiPriority w:val="1"/>
    <w:qFormat/>
    <w:pPr>
      <w:spacing w:before="20"/>
      <w:ind w:left="20"/>
      <w:outlineLvl w:val="2"/>
    </w:pPr>
    <w:rPr>
      <w:rFonts w:ascii="Minion Pro" w:hAnsi="Minion Pro" w:eastAsia="Minion Pro" w:cs="Minion Pro"/>
      <w:sz w:val="32"/>
      <w:szCs w:val="32"/>
      <w:lang w:val="en-US" w:eastAsia="en-US" w:bidi="ar-SA"/>
    </w:rPr>
  </w:style>
  <w:style w:styleId="Heading3" w:type="paragraph">
    <w:name w:val="Heading 3"/>
    <w:basedOn w:val="Normal"/>
    <w:uiPriority w:val="1"/>
    <w:qFormat/>
    <w:pPr>
      <w:ind w:left="382"/>
      <w:outlineLvl w:val="3"/>
    </w:pPr>
    <w:rPr>
      <w:rFonts w:ascii="Adobe Garamond Pro" w:hAnsi="Adobe Garamond Pro" w:eastAsia="Adobe Garamond Pro" w:cs="Adobe Garamond Pro"/>
      <w:sz w:val="28"/>
      <w:szCs w:val="28"/>
      <w:lang w:val="en-US" w:eastAsia="en-US" w:bidi="ar-SA"/>
    </w:rPr>
  </w:style>
  <w:style w:styleId="Heading4" w:type="paragraph">
    <w:name w:val="Heading 4"/>
    <w:basedOn w:val="Normal"/>
    <w:uiPriority w:val="1"/>
    <w:qFormat/>
    <w:pPr>
      <w:ind w:left="100"/>
      <w:outlineLvl w:val="4"/>
    </w:pPr>
    <w:rPr>
      <w:rFonts w:ascii="Adobe Garamond Pro" w:hAnsi="Adobe Garamond Pro" w:eastAsia="Adobe Garamond Pro" w:cs="Adobe Garamond Pro"/>
      <w:i/>
      <w:iCs/>
      <w:sz w:val="28"/>
      <w:szCs w:val="28"/>
      <w:lang w:val="en-US" w:eastAsia="en-US" w:bidi="ar-SA"/>
    </w:rPr>
  </w:style>
  <w:style w:styleId="Title" w:type="paragraph">
    <w:name w:val="Title"/>
    <w:basedOn w:val="Normal"/>
    <w:uiPriority w:val="1"/>
    <w:qFormat/>
    <w:pPr>
      <w:spacing w:before="283"/>
      <w:ind w:left="42"/>
      <w:jc w:val="center"/>
    </w:pPr>
    <w:rPr>
      <w:rFonts w:ascii="Adobe Garamond Pro" w:hAnsi="Adobe Garamond Pro" w:eastAsia="Adobe Garamond Pro" w:cs="Adobe Garamond Pro"/>
      <w:sz w:val="42"/>
      <w:szCs w:val="42"/>
      <w:lang w:val="en-US" w:eastAsia="en-US" w:bidi="ar-SA"/>
    </w:rPr>
  </w:style>
  <w:style w:styleId="ListParagraph" w:type="paragraph">
    <w:name w:val="List Paragraph"/>
    <w:basedOn w:val="Normal"/>
    <w:uiPriority w:val="1"/>
    <w:qFormat/>
    <w:pPr>
      <w:ind w:left="100"/>
    </w:pPr>
    <w:rPr>
      <w:rFonts w:ascii="Adobe Garamond Pro" w:hAnsi="Adobe Garamond Pro" w:eastAsia="Adobe Garamond Pro" w:cs="Adobe Garamond Pro"/>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footer" Target="footer4.xml"/><Relationship Id="rId11" Type="http://schemas.openxmlformats.org/officeDocument/2006/relationships/footer" Target="footer5.xml"/><Relationship Id="rId12" Type="http://schemas.openxmlformats.org/officeDocument/2006/relationships/header" Target="header3.xml"/><Relationship Id="rId13" Type="http://schemas.openxmlformats.org/officeDocument/2006/relationships/footer" Target="footer6.xml"/><Relationship Id="rId1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2025-10-24T20:16:55Z</dcterms:created>
  <dcterms:modified xsi:type="dcterms:W3CDTF">2025-10-24T20:16:55Z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2025-10-08T00:00:00Z</vt:filetime>
  </property>
  <property fmtid="{D5CDD505-2E9C-101B-9397-08002B2CF9AE}" pid="3" name="Creator">
    <vt:lpwstr>Adobe InDesign 20.5 (Macintosh)</vt:lpwstr>
  </property>
  <property fmtid="{D5CDD505-2E9C-101B-9397-08002B2CF9AE}" pid="4" name="LastSaved">
    <vt:filetime>2025-10-24T00:00:00Z</vt:filetime>
  </property>
  <property fmtid="{D5CDD505-2E9C-101B-9397-08002B2CF9AE}" pid="5" name="Producer">
    <vt:lpwstr>Adobe PDF Library 17.0</vt:lpwstr>
  </property>
</Properties>
</file>